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327"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75" w:after="30"/>
              <w:jc w:val="left"/>
              <w:rPr/>
            </w:pPr>
            <w:r>
              <w:rPr/>
            </w:r>
          </w:p>
        </w:tc>
      </w:tr>
    </w:tbl>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 xml:space="preserve">UNITED STATES </w:t>
      </w:r>
    </w:p>
    <w:p>
      <w:pPr>
        <w:pStyle w:val="TextBody"/>
        <w:bidi w:val="0"/>
        <w:spacing w:lineRule="auto" w:line="288" w:before="0" w:after="0"/>
        <w:jc w:val="center"/>
        <w:rPr/>
      </w:pPr>
      <w:r>
        <w:rPr>
          <w:rFonts w:ascii="Times New Roman;sans-serif" w:hAnsi="Times New Roman;sans-serif"/>
          <w:b/>
          <w:color w:val="000000"/>
          <w:sz w:val="32"/>
        </w:rPr>
        <w:t>SECURITIES AND EXCHANGE COMMISSION</w:t>
      </w:r>
      <w:r>
        <w:rPr>
          <w:color w:val="000000"/>
        </w:rPr>
        <w:t xml:space="preserve">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12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w:t>
      </w:r>
    </w:p>
    <w:p>
      <w:pPr>
        <w:pStyle w:val="TextBody"/>
        <w:bidi w:val="0"/>
        <w:spacing w:lineRule="auto" w:line="288" w:before="0" w:after="18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CURRENT REPORT </w:t>
      </w:r>
    </w:p>
    <w:p>
      <w:pPr>
        <w:pStyle w:val="TextBody"/>
        <w:bidi w:val="0"/>
        <w:spacing w:lineRule="auto" w:line="288" w:before="0" w:after="0"/>
        <w:ind w:left="0" w:right="0" w:firstLine="72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of The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Exchange Act of 1934</w:t>
      </w:r>
    </w:p>
    <w:p>
      <w:pPr>
        <w:pStyle w:val="TextBody"/>
        <w:bidi w:val="0"/>
        <w:spacing w:lineRule="auto" w:line="312" w:before="18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Date of Report (Date of earliest event reported): August 7, 2023 </w:t>
      </w:r>
    </w:p>
    <w:p>
      <w:pPr>
        <w:pStyle w:val="TextBody"/>
        <w:bidi w:val="0"/>
        <w:spacing w:before="0" w:after="60"/>
        <w:jc w:val="center"/>
        <w:rPr/>
      </w:pPr>
      <w:r>
        <w:rPr/>
        <w:drawing>
          <wp:inline distT="0" distB="0" distL="0" distR="0">
            <wp:extent cx="1666875"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66875" cy="876300"/>
                    </a:xfrm>
                    <a:prstGeom prst="rect">
                      <a:avLst/>
                    </a:prstGeom>
                  </pic:spPr>
                </pic:pic>
              </a:graphicData>
            </a:graphic>
          </wp:inline>
        </w:drawing>
      </w:r>
    </w:p>
    <w:p>
      <w:pPr>
        <w:pStyle w:val="TextBody"/>
        <w:bidi w:val="0"/>
        <w:spacing w:lineRule="auto" w:line="288" w:before="0" w:after="140"/>
        <w:jc w:val="center"/>
        <w:rPr/>
      </w:pPr>
      <w:r>
        <w:rPr>
          <w:rFonts w:ascii="Times New Roman;sans-serif" w:hAnsi="Times New Roman;sans-serif"/>
          <w:b/>
          <w:color w:val="000000"/>
          <w:sz w:val="40"/>
        </w:rPr>
        <w:t>BellRing Brands, Inc.</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861" w:type="dxa"/>
        <w:jc w:val="center"/>
        <w:tblInd w:w="0" w:type="dxa"/>
        <w:tblLayout w:type="fixed"/>
        <w:tblCellMar>
          <w:top w:w="28" w:type="dxa"/>
          <w:left w:w="28" w:type="dxa"/>
          <w:bottom w:w="28" w:type="dxa"/>
          <w:right w:w="28" w:type="dxa"/>
        </w:tblCellMar>
      </w:tblPr>
      <w:tblGrid>
        <w:gridCol w:w="1328"/>
        <w:gridCol w:w="1167"/>
        <w:gridCol w:w="1179"/>
        <w:gridCol w:w="379"/>
        <w:gridCol w:w="379"/>
        <w:gridCol w:w="379"/>
        <w:gridCol w:w="379"/>
        <w:gridCol w:w="379"/>
        <w:gridCol w:w="398"/>
        <w:gridCol w:w="847"/>
        <w:gridCol w:w="847"/>
        <w:gridCol w:w="1200"/>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Delaware</w:t>
            </w:r>
          </w:p>
        </w:tc>
        <w:tc>
          <w:tcPr>
            <w:tcW w:w="22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001-39093</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87-3296749</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w:t>
            </w:r>
          </w:p>
        </w:tc>
        <w:tc>
          <w:tcPr>
            <w:tcW w:w="22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3674"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1137"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1156"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2894" w:type="dxa"/>
            <w:gridSpan w:val="3"/>
            <w:tcBorders/>
            <w:tcMar>
              <w:top w:w="0" w:type="dxa"/>
              <w:left w:w="0" w:type="dxa"/>
              <w:bottom w:w="0" w:type="dxa"/>
              <w:right w:w="0" w:type="dxa"/>
            </w:tcMar>
            <w:vAlign w:val="center"/>
          </w:tcPr>
          <w:p>
            <w:pPr>
              <w:pStyle w:val="TableContents"/>
              <w:bidi w:val="0"/>
              <w:spacing w:before="75" w:after="30"/>
              <w:jc w:val="left"/>
              <w:rPr/>
            </w:pPr>
            <w:r>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2503 S. Hanley Road</w:t>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St. Louis</w:t>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Missouri</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63144</w:t>
            </w:r>
          </w:p>
        </w:tc>
      </w:tr>
      <w:tr>
        <w:trPr/>
        <w:tc>
          <w:tcPr>
            <w:tcW w:w="5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312" w:before="120" w:after="18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2"/>
        </w:rPr>
        <w:t>(314) 644-7600</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20"/>
        <w:jc w:val="left"/>
        <w:rPr>
          <w:color w:val="000000"/>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0" w:after="120"/>
        <w:jc w:val="left"/>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0" w:after="120"/>
        <w:jc w:val="left"/>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983" w:type="dxa"/>
        <w:jc w:val="left"/>
        <w:tblInd w:w="0" w:type="dxa"/>
        <w:tblLayout w:type="fixed"/>
        <w:tblCellMar>
          <w:top w:w="28" w:type="dxa"/>
          <w:left w:w="28" w:type="dxa"/>
          <w:bottom w:w="28" w:type="dxa"/>
          <w:right w:w="28" w:type="dxa"/>
        </w:tblCellMar>
      </w:tblPr>
      <w:tblGrid>
        <w:gridCol w:w="1325"/>
        <w:gridCol w:w="1160"/>
        <w:gridCol w:w="1174"/>
        <w:gridCol w:w="539"/>
        <w:gridCol w:w="539"/>
        <w:gridCol w:w="541"/>
        <w:gridCol w:w="1085"/>
        <w:gridCol w:w="1085"/>
        <w:gridCol w:w="1535"/>
      </w:tblGrid>
      <w:tr>
        <w:trPr/>
        <w:tc>
          <w:tcPr>
            <w:tcW w:w="132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 of each exchange on which registered</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$0.01 par value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BRBR</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75" w:after="30"/>
              <w:jc w:val="center"/>
              <w:rPr/>
            </w:pPr>
            <w:r>
              <w:rPr/>
            </w:r>
          </w:p>
        </w:tc>
      </w:tr>
    </w:tbl>
    <w:p>
      <w:pPr>
        <w:pStyle w:val="TextBody"/>
        <w:bidi w:val="0"/>
        <w:spacing w:before="12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1440"/>
        <w:jc w:val="left"/>
        <w:rPr/>
      </w:pPr>
      <w:r>
        <w:rPr/>
      </w:r>
    </w:p>
    <w:p>
      <w:pPr>
        <w:pStyle w:val="TextBody"/>
        <w:bidi w:val="0"/>
        <w:spacing w:lineRule="auto" w:line="312" w:before="0" w:after="0"/>
        <w:jc w:val="left"/>
        <w:rPr>
          <w:rFonts w:ascii="Times New Roman;sans-serif" w:hAnsi="Times New Roman;sans-serif"/>
          <w:b/>
          <w:color w:val="000000"/>
          <w:sz w:val="20"/>
        </w:rPr>
      </w:pPr>
      <w:r>
        <w:rPr>
          <w:rFonts w:ascii="Times New Roman;sans-serif" w:hAnsi="Times New Roman;sans-serif"/>
          <w:b/>
          <w:color w:val="000000"/>
          <w:sz w:val="20"/>
        </w:rPr>
        <w:t>Item 2.02.    Results of Operation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7, 2023, BellRing Brands, Inc. (the "Company") issued a press release announcing results for its third fiscal quarter ended June 30, 2023. A copy of the press release is attached hereto as Exhibit 99.1 and incorporated herein by reference.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on August 7, 2023, the Company published to the "Investor Relations" section of its website, www.bellringbrands.com, a supplemental presentation related to results for its third fiscal quarter ended June 30, 2023. A copy of the presentation is attached hereto as Exhibit 99.2 and incorporated herein by reference.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Item 2.02, including Exhibit 99.1 and Exhibit 99.2 attached hereto, shall not be deemed to be "filed" for purposes of Section 18 of the Securities Exchange Act of 1934, as amended (the "Exchange Act"), or otherwise subject to the liabilities of that Section, nor shall they be deemed incorporated by reference into any filings under the Securities Act of 1933, as amended, or the Exchange Act, except as expressly set forth by specific reference in such filing.</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Item 5.02.</w:t>
      </w:r>
      <w:r>
        <w:rPr>
          <w:color w:val="000000"/>
        </w:rPr>
        <w:t xml:space="preserve"> </w:t>
      </w:r>
      <w:r>
        <w:rPr>
          <w:rFonts w:ascii="Times New Roman;sans-serif" w:hAnsi="Times New Roman;sans-serif"/>
          <w:b/>
          <w:color w:val="000000"/>
          <w:sz w:val="20"/>
        </w:rPr>
        <w:t>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 Newly Elected Directors.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On August 2, 2023, the Board of Directors (the “Board”) of the Company appointed Shawn W. Conway to serve as a Class II</w:t>
      </w:r>
      <w:r>
        <w:rPr>
          <w:color w:val="000000"/>
        </w:rPr>
        <w:t xml:space="preserve"> </w:t>
      </w:r>
      <w:r>
        <w:rPr>
          <w:rFonts w:ascii="Times New Roman;sans-serif" w:hAnsi="Times New Roman;sans-serif"/>
          <w:b w:val="false"/>
          <w:color w:val="000000"/>
          <w:sz w:val="20"/>
        </w:rPr>
        <w:t>director of the Board, effective October 1, 2023. With the addition of Mr. Conway, the Board of Directors now consists of seven members. Mr. Conway’s initial term will expire at the Company’s Annual Meeting of Shareholders in 2024. The Board has determined that Mr. Conway satisfies the requirements for independence and financial literacy under the listing standards of the New York Stock Exchange and the Company’s Corporate Governance Guidelines.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Mr. Conway was appointed to the Board after a thorough review of his qualifications by the Corporate Governance and Compensation Committee of the Board. Mr. Conway will receive compensation as a non-employee director in accordance with the Company’s non-employee director compensation program described in the Company’s Annual Proxy Statement filed with the Securities and Exchange Commission on December 21, 2022. There is no arrangement or understanding between Mr. Conway and any other persons pursuant to which he was appointed as a director, and there are no transactions in which he has an interest requiring disclosure under Item 404(a) of Regulation S-K. The Company expects to enter into its standard form of indemnification agreement with Mr. Conway, as described in BellRing Distribution LLC’s proxy statement/prospectus (Registration No. 333-261741, as amended or supplemented), dated February 3, 2022, and prospectus (Registration No. 333-261873, as amended or supplemented), dated February 14, 2022, in each case, filed with the Securities and Exchange Commission pursuant to Rule 424(b)(3).</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Item 7.01.</w:t>
      </w:r>
      <w:r>
        <w:rPr>
          <w:color w:val="000000"/>
        </w:rPr>
        <w:t xml:space="preserve"> </w:t>
      </w:r>
      <w:r>
        <w:rPr>
          <w:rFonts w:ascii="Times New Roman;sans-serif" w:hAnsi="Times New Roman;sans-serif"/>
          <w:b/>
          <w:color w:val="000000"/>
          <w:sz w:val="20"/>
        </w:rPr>
        <w:t>Regulation FD Disclosure.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issued a press release on August 7, 2023 announcing the appointment of Mr. Conway to the Board, a copy of which is attached hereto as Exhibit 99.3 and incorporated herein by reference.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this Item 7.01 and in the accompanying Exhibit 99.3 shall not be deemed “filed” for purposes of Section 18 of the Exchange Act, or otherwise subject to the liabilities of that Section, nor shall such information or exhibit be deemed incorporated by reference in any filing under the Exchange Act or the Securities Act of 1933, as amended, except as shall be expressly set forth by specific reference in such filing.</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 Exhibits</w:t>
      </w:r>
    </w:p>
    <w:p>
      <w:pPr>
        <w:pStyle w:val="TextBody"/>
        <w:bidi w:val="0"/>
        <w:spacing w:before="0" w:after="0"/>
        <w:jc w:val="left"/>
        <w:rPr/>
      </w:pPr>
      <w:r>
        <w:rPr/>
      </w:r>
    </w:p>
    <w:tbl>
      <w:tblPr>
        <w:tblW w:w="10183" w:type="dxa"/>
        <w:jc w:val="left"/>
        <w:tblInd w:w="0" w:type="dxa"/>
        <w:tblLayout w:type="fixed"/>
        <w:tblCellMar>
          <w:top w:w="28" w:type="dxa"/>
          <w:left w:w="28" w:type="dxa"/>
          <w:bottom w:w="28" w:type="dxa"/>
          <w:right w:w="28" w:type="dxa"/>
        </w:tblCellMar>
      </w:tblPr>
      <w:tblGrid>
        <w:gridCol w:w="385"/>
        <w:gridCol w:w="338"/>
        <w:gridCol w:w="341"/>
        <w:gridCol w:w="2670"/>
        <w:gridCol w:w="2670"/>
        <w:gridCol w:w="3779"/>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3779"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 No.</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rbrexh991-q32023earningsr.htm">
              <w:r>
                <w:rPr>
                  <w:rStyle w:val="InternetLink"/>
                  <w:rFonts w:ascii="Times New Roman;sans-serif" w:hAnsi="Times New Roman;sans-serif"/>
                  <w:b w:val="false"/>
                  <w:color w:val="0000FF"/>
                  <w:sz w:val="20"/>
                  <w:u w:val="single"/>
                </w:rPr>
                <w:t>Press Release dated August 7, 2023</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rbrexh992-brbr3q23suppl.htm">
              <w:r>
                <w:rPr>
                  <w:rStyle w:val="InternetLink"/>
                  <w:rFonts w:ascii="Times New Roman;sans-serif" w:hAnsi="Times New Roman;sans-serif"/>
                  <w:b w:val="false"/>
                  <w:color w:val="0000FF"/>
                  <w:sz w:val="20"/>
                  <w:u w:val="single"/>
                </w:rPr>
                <w:t>Third Fiscal Quarter Ended June 30, 2023 Supplemental Presentation</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99.3</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rbrexh993-brbrappointssha.htm">
              <w:r>
                <w:rPr>
                  <w:rStyle w:val="InternetLink"/>
                  <w:rFonts w:ascii="Times New Roman;sans-serif" w:hAnsi="Times New Roman;sans-serif"/>
                  <w:b w:val="false"/>
                  <w:color w:val="0000FF"/>
                  <w:sz w:val="20"/>
                  <w:u w:val="single"/>
                </w:rPr>
                <w:t>Press Release dated August 7, 2023 - Appointment of Shawn W. Conway to Board</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(the cover page iXBRL tags are embedded within the Inline XBRL document)</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4769" w:type="dxa"/>
        <w:jc w:val="left"/>
        <w:tblInd w:w="0" w:type="dxa"/>
        <w:tblLayout w:type="fixed"/>
        <w:tblCellMar>
          <w:top w:w="28" w:type="dxa"/>
          <w:left w:w="28" w:type="dxa"/>
          <w:bottom w:w="28" w:type="dxa"/>
          <w:right w:w="28" w:type="dxa"/>
        </w:tblCellMar>
      </w:tblPr>
      <w:tblGrid>
        <w:gridCol w:w="667"/>
        <w:gridCol w:w="587"/>
        <w:gridCol w:w="590"/>
        <w:gridCol w:w="305"/>
        <w:gridCol w:w="305"/>
        <w:gridCol w:w="305"/>
        <w:gridCol w:w="585"/>
        <w:gridCol w:w="585"/>
        <w:gridCol w:w="84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2023</w:t>
            </w:r>
          </w:p>
        </w:tc>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BellRing Brands, Inc.</w:t>
            </w:r>
          </w:p>
        </w:tc>
      </w:tr>
      <w:tr>
        <w:trPr/>
        <w:tc>
          <w:tcPr>
            <w:tcW w:w="1844"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844"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915"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2010" w:type="dxa"/>
            <w:gridSpan w:val="3"/>
            <w:tcBorders/>
            <w:tcMar>
              <w:top w:w="0" w:type="dxa"/>
              <w:left w:w="0" w:type="dxa"/>
              <w:bottom w:w="0" w:type="dxa"/>
              <w:right w:w="0" w:type="dxa"/>
            </w:tcMar>
            <w:vAlign w:val="center"/>
          </w:tcPr>
          <w:p>
            <w:pPr>
              <w:pStyle w:val="TableContents"/>
              <w:bidi w:val="0"/>
              <w:spacing w:before="75" w:after="30"/>
              <w:jc w:val="left"/>
              <w:rPr/>
            </w:pPr>
            <w:r>
              <w:rPr/>
            </w:r>
          </w:p>
        </w:tc>
      </w:tr>
      <w:tr>
        <w:trPr/>
        <w:tc>
          <w:tcPr>
            <w:tcW w:w="1844"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 A. Rode</w:t>
            </w:r>
          </w:p>
        </w:tc>
      </w:tr>
      <w:tr>
        <w:trPr/>
        <w:tc>
          <w:tcPr>
            <w:tcW w:w="1844"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A. Rode</w:t>
            </w:r>
          </w:p>
        </w:tc>
      </w:tr>
      <w:tr>
        <w:trPr/>
        <w:tc>
          <w:tcPr>
            <w:tcW w:w="1844"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 99.1</w:t>
      </w:r>
    </w:p>
    <w:p>
      <w:pPr>
        <w:pStyle w:val="TextBody"/>
        <w:bidi w:val="0"/>
        <w:spacing w:before="180" w:after="240"/>
        <w:jc w:val="left"/>
        <w:rPr/>
      </w:pPr>
      <w:r>
        <w:rPr/>
        <w:drawing>
          <wp:inline distT="0" distB="0" distL="0" distR="0">
            <wp:extent cx="1657350" cy="79057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657350" cy="790575"/>
                    </a:xfrm>
                    <a:prstGeom prst="rect">
                      <a:avLst/>
                    </a:prstGeom>
                  </pic:spPr>
                </pic:pic>
              </a:graphicData>
            </a:graphic>
          </wp:inline>
        </w:drawing>
      </w:r>
    </w:p>
    <w:p>
      <w:pPr>
        <w:pStyle w:val="TextBody"/>
        <w:bidi w:val="0"/>
        <w:spacing w:lineRule="auto" w:line="288" w:before="180" w:after="240"/>
        <w:jc w:val="center"/>
        <w:rPr>
          <w:rFonts w:ascii="Times New Roman;sans-serif" w:hAnsi="Times New Roman;sans-serif"/>
          <w:b/>
          <w:color w:val="000000"/>
          <w:sz w:val="28"/>
        </w:rPr>
      </w:pPr>
      <w:r>
        <w:rPr>
          <w:rFonts w:ascii="Times New Roman;sans-serif" w:hAnsi="Times New Roman;sans-serif"/>
          <w:b/>
          <w:color w:val="000000"/>
          <w:sz w:val="28"/>
        </w:rPr>
        <w:t>BellRing Brands Reports Results for the Third Quarter of Fiscal Year 2023; Raises Fiscal Year 2023 Outlook</w:t>
      </w:r>
    </w:p>
    <w:p>
      <w:pPr>
        <w:pStyle w:val="TextBody"/>
        <w:bidi w:val="0"/>
        <w:spacing w:lineRule="auto" w:line="288" w:before="0" w:after="0"/>
        <w:jc w:val="left"/>
        <w:rPr/>
      </w:pPr>
      <w:r>
        <w:rPr>
          <w:rFonts w:ascii="Times New Roman;sans-serif" w:hAnsi="Times New Roman;sans-serif"/>
          <w:b/>
          <w:color w:val="000000"/>
          <w:sz w:val="20"/>
        </w:rPr>
        <w:t xml:space="preserve">St. Louis - August 7, 2023 </w:t>
      </w:r>
      <w:r>
        <w:rPr>
          <w:rFonts w:ascii="Times New Roman;sans-serif" w:hAnsi="Times New Roman;sans-serif"/>
          <w:b w:val="false"/>
          <w:color w:val="000000"/>
          <w:sz w:val="20"/>
        </w:rPr>
        <w:t>- BellRing Brands, Inc. (NYSE:BRBR) (“BellRing”), a holding company operating in the global convenient nutrition category, today reported results for the third fiscal quarter ended June 30, 2023.</w:t>
      </w:r>
    </w:p>
    <w:p>
      <w:pPr>
        <w:pStyle w:val="TextBody"/>
        <w:bidi w:val="0"/>
        <w:spacing w:lineRule="auto" w:line="288" w:before="180" w:after="120"/>
        <w:jc w:val="left"/>
        <w:rPr>
          <w:rFonts w:ascii="Times New Roman;sans-serif" w:hAnsi="Times New Roman;sans-serif"/>
          <w:b/>
          <w:color w:val="000000"/>
          <w:sz w:val="20"/>
        </w:rPr>
      </w:pPr>
      <w:r>
        <w:rPr>
          <w:rFonts w:ascii="Times New Roman;sans-serif" w:hAnsi="Times New Roman;sans-serif"/>
          <w:b/>
          <w:color w:val="000000"/>
          <w:sz w:val="20"/>
        </w:rPr>
        <w:t>Highlights:</w:t>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 xml:space="preserve">Third quarter net sales of $445.9 million </w:t>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Operating profit of $76.0 million; net earnings available to common stockholders of $44.3 million and Adjusted EBITDA* of $86.9 million</w:t>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Generated $110.4 million in cash from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color w:val="000000"/>
          <w:sz w:val="20"/>
        </w:rPr>
        <w:t>Raised fiscal year 2023 net sales guidance to $1.63-$1.67 billion and Adjusted EBITDA* guidance to $330-$338 million</w:t>
      </w:r>
    </w:p>
    <w:p>
      <w:pPr>
        <w:pStyle w:val="TextBody"/>
        <w:bidi w:val="0"/>
        <w:spacing w:lineRule="auto" w:line="268" w:before="180" w:after="180"/>
        <w:jc w:val="left"/>
        <w:rPr>
          <w:rFonts w:ascii="Times New Roman;sans-serif" w:hAnsi="Times New Roman;sans-serif"/>
          <w:b w:val="false"/>
          <w:i/>
          <w:color w:val="000000"/>
          <w:sz w:val="16"/>
        </w:rPr>
      </w:pPr>
      <w:r>
        <w:rPr>
          <w:rFonts w:ascii="Times New Roman;sans-serif" w:hAnsi="Times New Roman;sans-serif"/>
          <w:b w:val="false"/>
          <w:i/>
          <w:color w:val="000000"/>
          <w:sz w:val="16"/>
        </w:rPr>
        <w:t>*Adjusted EBITDA is a non-GAAP measure. For additional information regarding non-GAAP measures, see the related explanations presented under “Use of Non-GAAP Measures” later in this release. BellRing provides Adjusted EBITDA guidance only on a non-GAAP basis and does not provide a reconciliation of its forward-looking Adjusted EBITDA non-GAAP guidance measure to the most directly comparable GAAP measure due to the inherent difficulty in forecasting and quantifying certain amounts that are necessary for such reconciliation, including the adjustments described under “Outlook” later in this release.</w:t>
      </w:r>
    </w:p>
    <w:p>
      <w:pPr>
        <w:pStyle w:val="TextBody"/>
        <w:bidi w:val="0"/>
        <w:spacing w:lineRule="auto" w:line="288" w:before="180" w:after="180"/>
        <w:jc w:val="left"/>
        <w:rPr/>
      </w:pPr>
      <w:r>
        <w:rPr>
          <w:color w:val="000000"/>
        </w:rPr>
        <w:t>“</w:t>
      </w:r>
      <w:r>
        <w:rPr>
          <w:rFonts w:ascii="Times New Roman;sans-serif" w:hAnsi="Times New Roman;sans-serif"/>
          <w:b w:val="false"/>
          <w:color w:val="000000"/>
          <w:sz w:val="20"/>
        </w:rPr>
        <w:t xml:space="preserve">Our business momentum continued this quarter, with our results coming in modestly ahead of our expectations. </w:t>
      </w:r>
      <w:r>
        <w:rPr>
          <w:rFonts w:ascii="Times New Roman;sans-serif" w:hAnsi="Times New Roman;sans-serif"/>
          <w:b w:val="false"/>
          <w:i/>
          <w:color w:val="000000"/>
          <w:sz w:val="20"/>
        </w:rPr>
        <w:t>Premier Protein</w:t>
      </w:r>
      <w:r>
        <w:rPr>
          <w:color w:val="000000"/>
        </w:rPr>
        <w:t xml:space="preserve"> </w:t>
      </w:r>
      <w:r>
        <w:rPr>
          <w:rFonts w:ascii="Times New Roman;sans-serif" w:hAnsi="Times New Roman;sans-serif"/>
          <w:b w:val="false"/>
          <w:color w:val="000000"/>
          <w:sz w:val="20"/>
        </w:rPr>
        <w:t xml:space="preserve">saw consumption growth accelerate this quarter on the reintroduction of our shake flavors, and </w:t>
      </w:r>
      <w:r>
        <w:rPr>
          <w:rFonts w:ascii="Times New Roman;sans-serif" w:hAnsi="Times New Roman;sans-serif"/>
          <w:b w:val="false"/>
          <w:i/>
          <w:color w:val="000000"/>
          <w:sz w:val="20"/>
        </w:rPr>
        <w:t>Dymatize</w:t>
      </w:r>
      <w:r>
        <w:rPr>
          <w:color w:val="000000"/>
        </w:rPr>
        <w:t>’</w:t>
      </w:r>
      <w:r>
        <w:rPr>
          <w:rFonts w:ascii="Times New Roman;sans-serif" w:hAnsi="Times New Roman;sans-serif"/>
          <w:b w:val="false"/>
          <w:color w:val="000000"/>
          <w:sz w:val="20"/>
        </w:rPr>
        <w:t>s consumption remained strong on distribution gains. Both brands gained market share and new households, benefiting from increased brand investment and continued category tailwinds,” said Darcy H. Davenport, President and Chief Executive Officer of BellRing. “Our shake capacity expansion is on track. One new greenfield co-manufacturing facility came online in the quarter and started up smoothly. Our third quarter performance and visibility to the fourth quarter give us confidence in our ability to finish the year in a strong position.”</w:t>
      </w:r>
    </w:p>
    <w:p>
      <w:pPr>
        <w:pStyle w:val="TextBody"/>
        <w:bidi w:val="0"/>
        <w:spacing w:lineRule="auto" w:line="288" w:before="180" w:after="180"/>
        <w:jc w:val="left"/>
        <w:rPr/>
      </w:pPr>
      <w:r>
        <w:rPr>
          <w:rFonts w:ascii="Times New Roman;sans-serif" w:hAnsi="Times New Roman;sans-serif"/>
          <w:b w:val="false"/>
          <w:color w:val="000000"/>
          <w:sz w:val="20"/>
        </w:rPr>
        <w:t>Dollar consumption of </w:t>
      </w:r>
      <w:r>
        <w:rPr>
          <w:rFonts w:ascii="Times New Roman;sans-serif" w:hAnsi="Times New Roman;sans-serif"/>
          <w:b w:val="false"/>
          <w:i/>
          <w:color w:val="000000"/>
          <w:sz w:val="20"/>
        </w:rPr>
        <w:t>Premier Protein</w:t>
      </w:r>
      <w:r>
        <w:rPr>
          <w:color w:val="000000"/>
        </w:rPr>
        <w:t> </w:t>
      </w:r>
      <w:r>
        <w:rPr>
          <w:rFonts w:ascii="Times New Roman;sans-serif" w:hAnsi="Times New Roman;sans-serif"/>
          <w:b w:val="false"/>
          <w:color w:val="000000"/>
          <w:sz w:val="20"/>
        </w:rPr>
        <w:t xml:space="preserve">ready-to-drink (“RTD”) shakes and </w:t>
      </w:r>
      <w:r>
        <w:rPr>
          <w:rFonts w:ascii="Times New Roman;sans-serif" w:hAnsi="Times New Roman;sans-serif"/>
          <w:b w:val="false"/>
          <w:i/>
          <w:color w:val="000000"/>
          <w:sz w:val="20"/>
        </w:rPr>
        <w:t>Dymatize</w:t>
      </w:r>
      <w:r>
        <w:rPr>
          <w:color w:val="000000"/>
        </w:rPr>
        <w:t> </w:t>
      </w:r>
      <w:r>
        <w:rPr>
          <w:rFonts w:ascii="Times New Roman;sans-serif" w:hAnsi="Times New Roman;sans-serif"/>
          <w:b w:val="false"/>
          <w:color w:val="000000"/>
          <w:sz w:val="20"/>
        </w:rPr>
        <w:t xml:space="preserve">powder products increased 26.8% and 38.6%, respectively, in the 13-week period ended July 2, 2023, as compared to the same period in 2022 (inclusive of United States (“U.S.”) IRI Multi Outlet including Convenience and management estimates of untracked channels). </w:t>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Third Quarter Operating Results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sales were $445.9 million, an increase of 20.3%, or $75.3 million, compared to the prior year period, driven by 11.0% improvement in price/mix and 9.3% increase in volume.</w:t>
      </w:r>
    </w:p>
    <w:p>
      <w:pPr>
        <w:pStyle w:val="TextBody"/>
        <w:bidi w:val="0"/>
        <w:spacing w:lineRule="auto" w:line="288" w:before="0" w:after="180"/>
        <w:jc w:val="left"/>
        <w:rPr/>
      </w:pPr>
      <w:r>
        <w:rPr>
          <w:rFonts w:ascii="Times New Roman;sans-serif" w:hAnsi="Times New Roman;sans-serif"/>
          <w:b w:val="false"/>
          <w:i/>
          <w:color w:val="000000"/>
          <w:sz w:val="20"/>
        </w:rPr>
        <w:t xml:space="preserve">Premier Protein </w:t>
      </w:r>
      <w:r>
        <w:rPr>
          <w:rFonts w:ascii="Times New Roman;sans-serif" w:hAnsi="Times New Roman;sans-serif"/>
          <w:b w:val="false"/>
          <w:color w:val="000000"/>
          <w:sz w:val="20"/>
        </w:rPr>
        <w:t xml:space="preserve">net sales increased 19.9%, driven by 10.2% improvement in price/mix and 9.7% increase in volume. </w:t>
      </w:r>
      <w:r>
        <w:rPr>
          <w:rFonts w:ascii="Times New Roman;sans-serif" w:hAnsi="Times New Roman;sans-serif"/>
          <w:b w:val="false"/>
          <w:i/>
          <w:color w:val="000000"/>
          <w:sz w:val="20"/>
        </w:rPr>
        <w:t xml:space="preserve">Premier Protein </w:t>
      </w:r>
      <w:r>
        <w:rPr>
          <w:rFonts w:ascii="Times New Roman;sans-serif" w:hAnsi="Times New Roman;sans-serif"/>
          <w:b w:val="false"/>
          <w:color w:val="000000"/>
          <w:sz w:val="20"/>
        </w:rPr>
        <w:t xml:space="preserve">RTD shake net sales increased 19.1%, driven by 10.0% increase in volume and 9.1% improvement in price/mix. Higher RTD shake production, along with the reintroduction of certain shake flavors and RTD category growth drove volume growth. Additionally, net sales benefited from higher average net selling prices driven by price increases to offset significant cost inflation. </w:t>
      </w:r>
    </w:p>
    <w:p>
      <w:pPr>
        <w:pStyle w:val="TextBody"/>
        <w:bidi w:val="0"/>
        <w:spacing w:lineRule="auto" w:line="288" w:before="0" w:after="180"/>
        <w:jc w:val="left"/>
        <w:rPr/>
      </w:pPr>
      <w:r>
        <w:rPr>
          <w:rFonts w:ascii="Times New Roman;sans-serif" w:hAnsi="Times New Roman;sans-serif"/>
          <w:b w:val="false"/>
          <w:i/>
          <w:color w:val="000000"/>
          <w:sz w:val="20"/>
        </w:rPr>
        <w:t>Dymatize</w:t>
      </w:r>
      <w:r>
        <w:rPr>
          <w:color w:val="000000"/>
        </w:rPr>
        <w:t xml:space="preserve"> </w:t>
      </w:r>
      <w:r>
        <w:rPr>
          <w:rFonts w:ascii="Times New Roman;sans-serif" w:hAnsi="Times New Roman;sans-serif"/>
          <w:b w:val="false"/>
          <w:color w:val="000000"/>
          <w:sz w:val="20"/>
        </w:rPr>
        <w:t xml:space="preserve">net sales increased 32.3%, driven by 46.4% increase in volume, which was partially offset by 14.1% decrease in price/mix. Net sales benefited from volume growth driven by (i) distribution gains and organic growth and (ii) lapping prior year period temporary price elasticities. Volume growth was partially offset by lower average net selling prices driven by increased promotional spending and unfavorable product mix shift when compared to the prior year period.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was $136.0 million, or 30.5% of net sales, an increase of 13.1%, or $15.8 million, compared to $120.2 million, or 32.4% of net sales, in the prior year period. Gross profit included unfavorable mark-to-market adjustments on commodity hedges of $1.9 million and $0.7 million in the third quarter of 2023 and 2022, respectively, which were treated as adjustments for non-GAAP measures. The lower gross profit margin was driven by input cost inflation and higher promotional activity, which was only partially offset by pricing actions and favorable freight rates.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(“SG&amp;A”) expenses were $55.1 million, or 12.4% of net sales, an increase of $7.3 million compared to $47.8 million, or 12.9% of net sales, in the prior year period. SG&amp;A expenses in the third quarter of 2022 included $0.9 million of costs incurred in connection with BellRing’s separation from Post Holdings, Inc. (“Post”), which were treated as adjustments for non-GAAP measures. SG&amp;A expenses in the third quarter of 2023 included higher marketing and consumer advertising expenses of $6.7 million and higher distribution and warehousing expenses on higher volumes.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 was $76.0 million, an increase of 12.6%, or $8.5 million, compared to $67.5 million in the prior year period.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available to common stockholders were $44.3 million, an increase of 13.3%, or $5.2 million, compared to $39.1 million in the prior year period. Net earnings per diluted share of common stock were $0.33, compared to $0.29 in the prior year period. Adjusted net earnings available to common stockholders* were $45.7 million, or $0.34 per diluted share of common stock*, compared to $42.5 million, or $0.31 per diluted share of common stock*, in the prior year period.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was $86.9 million, an increase of 7.5%, or $6.1 million, compared to $80.8 million in the prior year period. </w:t>
      </w:r>
    </w:p>
    <w:p>
      <w:pPr>
        <w:pStyle w:val="TextBody"/>
        <w:bidi w:val="0"/>
        <w:spacing w:lineRule="auto" w:line="288" w:before="0" w:after="180"/>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*Adjusted net earnings available to common stockholders, Adjusted diluted earnings per share of common stock and Adjusted EBITDA are non-GAAP measures. For additional information regarding non-GAAP measures, see the related explanations presented under “Use of Non-GAAP Measures” later in this release.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Nine Month Operating Results</w:t>
      </w:r>
    </w:p>
    <w:p>
      <w:pPr>
        <w:pStyle w:val="TextBody"/>
        <w:bidi w:val="0"/>
        <w:spacing w:lineRule="auto" w:line="288" w:before="180" w:after="180"/>
        <w:jc w:val="left"/>
        <w:rPr/>
      </w:pPr>
      <w:r>
        <w:rPr>
          <w:rFonts w:ascii="Times New Roman;sans-serif" w:hAnsi="Times New Roman;sans-serif"/>
          <w:b w:val="false"/>
          <w:color w:val="000000"/>
          <w:sz w:val="20"/>
        </w:rPr>
        <w:t xml:space="preserve">Net sales were $1,194.2 million, an increase of 20.3%, or $201.9 million, compared to the prior year period, driven by 14.6% improvement in price/mix and 5.7% increase in volume. </w:t>
      </w:r>
      <w:r>
        <w:rPr>
          <w:rFonts w:ascii="Times New Roman;sans-serif" w:hAnsi="Times New Roman;sans-serif"/>
          <w:b w:val="false"/>
          <w:i/>
          <w:color w:val="000000"/>
          <w:sz w:val="20"/>
        </w:rPr>
        <w:t xml:space="preserve">Premier Protein </w:t>
      </w:r>
      <w:r>
        <w:rPr>
          <w:rFonts w:ascii="Times New Roman;sans-serif" w:hAnsi="Times New Roman;sans-serif"/>
          <w:b w:val="false"/>
          <w:color w:val="000000"/>
          <w:sz w:val="20"/>
        </w:rPr>
        <w:t xml:space="preserve">net sales increased 22.8%, driven by 15.8% improvement in price/mix and 7.0% increase in volume. </w:t>
      </w:r>
      <w:r>
        <w:rPr>
          <w:rFonts w:ascii="Times New Roman;sans-serif" w:hAnsi="Times New Roman;sans-serif"/>
          <w:b w:val="false"/>
          <w:i/>
          <w:color w:val="000000"/>
          <w:sz w:val="20"/>
        </w:rPr>
        <w:t>Dymatize</w:t>
      </w:r>
      <w:r>
        <w:rPr>
          <w:color w:val="000000"/>
        </w:rPr>
        <w:t xml:space="preserve"> </w:t>
      </w:r>
      <w:r>
        <w:rPr>
          <w:rFonts w:ascii="Times New Roman;sans-serif" w:hAnsi="Times New Roman;sans-serif"/>
          <w:b w:val="false"/>
          <w:color w:val="000000"/>
          <w:sz w:val="20"/>
        </w:rPr>
        <w:t xml:space="preserve">net sales increased 15.4%, driven by 9.9% improvement in price/mix and 5.5% increase in volume. </w:t>
      </w:r>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was $374.9 million, or 31.4% of net sales, an increase of 25.2%, or $75.4 million, compared to $299.5 million, or 30.2% of net sales, in the prior year period. The higher gross profit margin was driven by pricing actions that offset significant cost inflation, lapping logistics inefficiencies in the prior year period and favorable freight rates. </w:t>
      </w:r>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SG&amp;A expenses were $151.1 million, or 12.7% of net sales, an increase of $17.6 million compared to $133.5 million, or 13.5% of net sales, in the prior year period. SG&amp;A expenses included $0.7 million and $13.2 million in the nine months ended June 30, 2023 and 2022, respectively, of costs incurred in connection with BellRing’s separation from Post, which were treated as adjustments for non-GAAP measures. SG&amp;A expenses in the nine months ended June 30, 2023 included higher marketing and consumer advertising expenses of $15.1 million.</w:t>
      </w:r>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earnings available to common stockholders were $119.4 million, an increase of 145.7%, or $70.8 million, compared to $48.6 million in the prior year period. Net earnings available to common stockholders in the prior year period included loss on extinguishment of debt, net of $17.6 million, which is discussed later in this release and was treated as an adjustment for non-GAAP measures, and excluded $33.7 million of net earnings attributable to the Company’s redeemable noncontrolling interest (the “NCI”). Net earnings per diluted share of common stock were $0.89, compared to $0.61 in the prior year period. Adjusted net earnings available to common stockholders* were $122.6 million, or $0.91 per diluted share of common stock*, compared to $67.0 million, or $0.84 per diluted share of common stock*, in the prior year period. Diluted weighted-average shares of common stock outstanding were 134.5 million, compared to 79.7 million in the prior year period, with the increase driven by the Spin-off (see definition below). </w:t>
      </w:r>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was $239.8 million, an increase of 25.2%, or $48.3 million, compared to $191.5 million in the prior year period. Adjusted EBITDA in the prior year period included an adjustment for the portion of BellRing Brands, LLC’s (“BellRing LLC”) consolidated net earnings which was allocated to the NCI in the period prior to Post’s distribution to its shareholders of 80.1% of Post’s interest in BellRing (the “Distribution” and, together with the transactions related thereto, the “Spin-off”), resulting in the calculation of Adjusted EBITDA including 100% of BellRing. </w:t>
      </w:r>
    </w:p>
    <w:p>
      <w:pPr>
        <w:pStyle w:val="TextBody"/>
        <w:bidi w:val="0"/>
        <w:spacing w:lineRule="auto" w:line="268" w:before="180" w:after="180"/>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*Adjusted net earnings available to common stockholders, Adjusted diluted earnings per share of common stock and Adjusted EBITDA are non-GAAP measures. For additional information regarding non-GAAP measures, see the related explanations presented under “Use of Non-GAAP Measures” later in this release.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Interest, Loss on Extinguishment of Debt and Income Tax</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was $17.3 million and $15.9 million in the third quarter of 2023 and 2022, respectively, with the increase primarily driven by an increase in the weighted-average interest rate. Interest expense, net was $50.8 million and $32.8 million in the nine months ended June 30, 2023 and 2022, respectively, with the increase driven by an increase in the aggregate principal amount of debt outstanding, primarily resulting from the effect of the Spin-off transaction, and the weighted-average interest rate.</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8"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on extinguishment of debt, net of $17.6 million was recorded in the nine months ended June 30, 2022 in connection with BellRing LLC’s repayment of the entire principal amount of its term loan and termination of its prior credit agreement. </w:t>
      </w:r>
    </w:p>
    <w:p>
      <w:pPr>
        <w:pStyle w:val="TextBody"/>
        <w:bidi w:val="0"/>
        <w:spacing w:lineRule="auto" w:line="288" w:before="0" w:after="180"/>
        <w:jc w:val="left"/>
        <w:rPr/>
      </w:pPr>
      <w:r>
        <w:rPr>
          <w:rFonts w:ascii="Times New Roman;sans-serif" w:hAnsi="Times New Roman;sans-serif"/>
          <w:b w:val="false"/>
          <w:color w:val="000000"/>
          <w:sz w:val="20"/>
          <w:shd w:fill="FFFFFF" w:val="clear"/>
        </w:rPr>
        <w:t xml:space="preserve">Income tax expense was $14.4 million in the </w:t>
      </w:r>
      <w:r>
        <w:rPr>
          <w:rFonts w:ascii="Times New Roman;sans-serif" w:hAnsi="Times New Roman;sans-serif"/>
          <w:b w:val="false"/>
          <w:color w:val="000000"/>
          <w:sz w:val="20"/>
        </w:rPr>
        <w:t>third</w:t>
      </w:r>
      <w:r>
        <w:rPr>
          <w:color w:val="000000"/>
          <w:shd w:fill="FFFFFF" w:val="clear"/>
        </w:rPr>
        <w:t xml:space="preserve"> </w:t>
      </w:r>
      <w:r>
        <w:rPr>
          <w:rFonts w:ascii="Times New Roman;sans-serif" w:hAnsi="Times New Roman;sans-serif"/>
          <w:b w:val="false"/>
          <w:color w:val="000000"/>
          <w:sz w:val="20"/>
          <w:shd w:fill="FFFFFF" w:val="clear"/>
        </w:rPr>
        <w:t xml:space="preserve">quarter of 2023, an effective income tax rate of 24.5%, compared to $12.5 million in the </w:t>
      </w:r>
      <w:r>
        <w:rPr>
          <w:rFonts w:ascii="Times New Roman;sans-serif" w:hAnsi="Times New Roman;sans-serif"/>
          <w:b w:val="false"/>
          <w:color w:val="000000"/>
          <w:sz w:val="20"/>
        </w:rPr>
        <w:t>third</w:t>
      </w:r>
      <w:r>
        <w:rPr>
          <w:color w:val="000000"/>
          <w:shd w:fill="FFFFFF" w:val="clear"/>
        </w:rPr>
        <w:t xml:space="preserve"> </w:t>
      </w:r>
      <w:r>
        <w:rPr>
          <w:rFonts w:ascii="Times New Roman;sans-serif" w:hAnsi="Times New Roman;sans-serif"/>
          <w:b w:val="false"/>
          <w:color w:val="000000"/>
          <w:sz w:val="20"/>
          <w:shd w:fill="FFFFFF" w:val="clear"/>
        </w:rPr>
        <w:t xml:space="preserve">quarter of 2022, an effective income tax rate of 24.2%. Income tax expense was $39.0 million in the </w:t>
      </w:r>
      <w:r>
        <w:rPr>
          <w:rFonts w:ascii="Times New Roman;sans-serif" w:hAnsi="Times New Roman;sans-serif"/>
          <w:b w:val="false"/>
          <w:color w:val="000000"/>
          <w:sz w:val="20"/>
        </w:rPr>
        <w:t>nine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June 30</w:t>
      </w:r>
      <w:r>
        <w:rPr>
          <w:rFonts w:ascii="Times New Roman;sans-serif" w:hAnsi="Times New Roman;sans-serif"/>
          <w:b w:val="false"/>
          <w:color w:val="000000"/>
          <w:sz w:val="20"/>
          <w:shd w:fill="FFFFFF" w:val="clear"/>
        </w:rPr>
        <w:t xml:space="preserve">, 2023, an effective income tax rate of 24.6%, compared to $18.6 million in the </w:t>
      </w:r>
      <w:r>
        <w:rPr>
          <w:rFonts w:ascii="Times New Roman;sans-serif" w:hAnsi="Times New Roman;sans-serif"/>
          <w:b w:val="false"/>
          <w:color w:val="000000"/>
          <w:sz w:val="20"/>
        </w:rPr>
        <w:t>nine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June 30</w:t>
      </w:r>
      <w:r>
        <w:rPr>
          <w:rFonts w:ascii="Times New Roman;sans-serif" w:hAnsi="Times New Roman;sans-serif"/>
          <w:b w:val="false"/>
          <w:color w:val="000000"/>
          <w:sz w:val="20"/>
          <w:shd w:fill="FFFFFF" w:val="clear"/>
        </w:rPr>
        <w:t xml:space="preserve">, 2022, an effective income tax rate of 18.4%. The increase in the effective income tax rate in the </w:t>
      </w:r>
      <w:r>
        <w:rPr>
          <w:rFonts w:ascii="Times New Roman;sans-serif" w:hAnsi="Times New Roman;sans-serif"/>
          <w:b w:val="false"/>
          <w:color w:val="000000"/>
          <w:sz w:val="20"/>
        </w:rPr>
        <w:t>nine</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June 30</w:t>
      </w:r>
      <w:r>
        <w:rPr>
          <w:rFonts w:ascii="Times New Roman;sans-serif" w:hAnsi="Times New Roman;sans-serif"/>
          <w:b w:val="false"/>
          <w:color w:val="000000"/>
          <w:sz w:val="20"/>
          <w:shd w:fill="FFFFFF" w:val="clear"/>
        </w:rPr>
        <w:t xml:space="preserve">, 2023 when compared to the prior year period was driven by the inclusion of 100% of the income, gain, loss and deduction of BellRing LLC in the periods subsequent to the Spin-off, partially offset by lapping in the prior year period certain separation-related expenses incurred in connection with the Spin-off that were treated as non-deductible.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Share Repurchases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of 2023, BellRing repurchased 1.3 million shares for $49.0 million at an average price of $36.13 per share. During the nine months ended June 30, 2023, BellRing repurchased 4.0 million shares for $117.5 million at an average price of $29.08 per share. As of June 30, 2023, BellRing had $31.0 million remaining under its share repurchase authorization. </w:t>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10, 2022, Post’s distribution to its shareholders of 80.1% of its interest in BellRing was completed. From October 21, 2019 through March 10, 2022, BellRing allocated a portion of the consolidated net earnings of BellRing LLC to the NCI, reflecting the entitlement of Post to a portion of the consolidated net earnings. Subsequent to the Spin-off, any remaining ownership of BellRing by Post did not represent a NCI to BellRing LLC. On November 25, 2022, Post transferred its remaining ownership in BellRing to certain financial institutions and, as a result, no longer had ownership of any shares of BellRing’s common stock.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Outlook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fiscal year 2023, BellRing management has raised its guidance range for net sales to $1.63-$1.67 billion from $1.61-$1.66 billion and Adjusted EBITDA to $330-$338 million from $320-$335 million (resulting in net sales and Adjusted EBITDA growth of 19%-22% and 22%-25%, respectively, over fiscal year 2022). BellRing management expects fiscal year 2023 capital expenditures of approximately $3 million.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BellRing provides Adjusted EBITDA guidance only on a non-GAAP basis and does not provide a reconciliation of its forward-looking Adjusted EBITDA non-GAAP guidance measure to the most directly comparable GAAP measure due to the inherent difficulty in forecasting and quantifying certain amounts that are necessary for such reconciliation, including adjustments that could be made for mark-to-market adjustments on commodity hedges and other charges reflected in BellRing’s reconciliation of historical numbers, the amounts of which, based on historical experience, could be significant. For additional information regarding BellRing’s non-GAAP measures, see the related explanations presented under “Use of Non-GAAP Measures.”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Use of Non-GAAP Measures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BellRing uses certain non-GAAP measures in this release to supplement the financial measures prepared in accordance with U.S. generally accepted accounting principles (“GAAP”). These non-GAAP measures include Adjusted net earnings available to common stockholders, Adjusted diluted earnings per share of common stock and Adjusted EBITDA. The reconciliation of each of these non-GAAP measures to the most directly comparable GAAP measure is provided later in this release under “Explanation and Reconciliation of Non-GAAP Measures.”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uses certain of these non-GAAP measures, including Adjusted EBITDA, as key metrics in the evaluation of underlying company performance, in making financial, operating and planning decisions and, in part, in the determination of bonuses for its executive officers and employees. Additionally, BellRing is required to comply with certain covenants and limitations that are based on variations of EBITDA in its financing documents. Management believes the use of these non-GAAP measures provides increased transparency and assists investors in understanding the underlying operating performance of BellRing and in the analysis of ongoing operating trends. Non-GAAP measures are not prepared in accordance with GAAP, as they exclude certain items as described later in this release. These non-GAAP measures may not be comparable to similarly titled measures of other companies. For additional information regarding BellRing’s non-GAAP measures, see the related explanations provided under “Explanation and Reconciliation of Non-GAAP Measures” later in this release.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9"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Conference Call to Discuss Earnings Results and Outlook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BellRing will host a conference call on Tuesday, August 8, 2023 at 9:00 a.m. EDT to discuss financial results for the third quarter of fiscal year 2023 and fiscal year 2023 outlook and to respond to questions. Darcy H. Davenport, President and Chief Executive Officer, and Paul A. Rode, Chief Financial Officer, will participate in the call.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Interested parties may join the conference call by registering in advance at the following link: BellRing Q3 2023 Earnings Conference Call. Upon registration, participants will receive a dial-in number and a unique passcode to access the conference call. Interested parties are invited to listen to the webcast of the conference call, which can be accessed by visiting the Investor Relations section of BellRing’s website at www.bellring.com. A slide presentation containing supplemental material will also be available at the same location on BellRing’s website. A webcast replay also will be available for a limited period on BellRing’s website in the Investor Relations section.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Prospective Financial Information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Prospective financial information is necessarily speculative in nature, and it can be expected that some or all of the assumptions underlying the prospective financial information described above will not materialize or will vary significantly from actual results. For further discussion of some of the factors that may cause actual results to vary materially from the information provided above, see “Forward-Looking Statements” below. Accordingly, the prospective financial information provided above is only an estimate of what BellRing’s management believes is realizable as of the date of this release. It also should be recognized that the reliability of any forecasted financial data diminishes the farther in the future that the data is forecasted. In light of the foregoing, the information should be viewed in context and undue reliance should not be placed upon it.</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Forward-Looking Statements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matters discussed in this release and on BellRing’s conference call are forward-looking statements, including BellRing’s net sales and Adjusted EBITDA and capital expenditures outlook for fiscal year 2023.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and include all statements regarding future performance, earnings projections, events or developments. There are a number of risks and uncertainties that could cause actual results to differ materially from the forward-looking statements made herein. These risks and uncertainties include, but are not limited to, the following: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BellRing’s dependence on sales from its RTD protein shakes;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BellRing’s ability to continue to compete in its product categories and its ability to retain its market position and favorable perceptions of its brands;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disruptions or inefficiencies in BellRing’s supply chain, including as a result of BellRing’s reliance on third party suppliers or manufacturers for the manufacturing of many of its products, pandemics and other outbreaks of contagious diseases, labor shortages, fires and evacuations related thereto, changes in weather conditions, natural disasters, agricultural diseases and pests and other events beyond BellRing’s control;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BellRing’s dependence on a limited number of third party contract manufacturers for the manufacturing of most of its products, including one manufacturer for the majority of its RTD protein shakes;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ability of BellRing’s third party contract manufacturers to produce an amount of BellRing’s products that enables BellRing to meet customer and consumer demand for the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BellRing’s reliance on a limited number of third party suppliers to provide certain ingredients and packaging;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significant volatility in the cost or availability of inputs to BellRing’s business (including freight, raw materials, packaging, energy, labor and other supplies);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BellRing’s ability to anticipate and respond to changes in consumer and customer preferences and behaviors and introduce new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consolidation in BellRing’s distribution channels;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BellRing’s ability to expand existing market penetration and enter into new markets;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loss of, a significant reduction of purchases by or the bankruptcy of a major customer;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legal and regulatory factors, such as compliance with existing laws and regulations, as well as new laws and regulations and changes to existing laws and regulations and interpretations thereof, affecting BellRing’s business, including current and future laws and regulations regarding food safety, advertising, labeling, tax matters and environmental matters;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fluctuations in BellRing’s business due to changes in its promotional activities and seasonality;</w:t>
      </w:r>
    </w:p>
    <w:p>
      <w:pPr>
        <w:pStyle w:val="TextBody"/>
        <w:bidi w:val="0"/>
        <w:spacing w:lineRule="auto" w:line="288"/>
        <w:ind w:left="0" w:right="0" w:hanging="360"/>
        <w:jc w:val="left"/>
        <w:rPr/>
      </w:pPr>
      <w:r>
        <w:rPr>
          <w:color w:val="000000"/>
        </w:rPr>
        <w:t>•</w:t>
      </w:r>
      <w:r>
        <w:rPr>
          <w:rFonts w:ascii="Times New Roman;sans-serif" w:hAnsi="Times New Roman;sans-serif"/>
          <w:b w:val="false"/>
          <w:color w:val="000000"/>
          <w:sz w:val="20"/>
        </w:rPr>
        <w:t>BellRing’s ability to maintain the net selling prices of its products and manage promotional activities with respect to its products;</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10"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BellRing’s leverage, its ability to obtain additional financing (including both secured and unsecured debt) and its ability to service its outstanding debt (including covenants that restrict the operation of its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accuracy of BellRing’s market data and attributes and related information;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changes in estimates in critical accounting judgments;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uncertain or unfavorable economic conditions that limit customer and consumer demand for BellRing’s products or increase its costs;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related to BellRing’s ongoing relationship with Post following BellRing’s separation from Post and the Spin-off, including BellRing’s obligations under various agreements with Post;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conflicting interests or the appearance of conflicting interests resulting from certain of BellRing’s directors also serving as officers or directors of Post;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related to the Spin-off, including BellRing’s inability to take certain actions because such actions could jeopardize the tax-free status of the Distribution and BellRing’s possible responsibility for U.S. federal tax liabilities related to the Distribution;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ultimate impact litigation or other regulatory matters may have on BellRing;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risks associated with BellRing’s international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BellRing’s ability to protect its intellectual property and other assets and to continue to use third party intellectual property subject to intellectual property licenses;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costs, business disruptions and reputational damage associated with information technology failures, cybersecurity incidents and/or information security breaches;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impairment in the carrying value of goodwill or other intangibles;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BellRing’s ability to identify, complete and integrate or otherwise effectively execute acquisitions or other strategic transactions and effectively manage its growth;</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BellRing’s ability to satisfy the requirements of Section 404 of the Sarbanes-Oxley Act of 2002;</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significant differences in BellRing’s actual operating results from any guidance BellRing may give regarding its performance;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BellRing’s ability to hire and retain talented personnel, employee absenteeism, labor strikes, work stoppages or unionization efforts;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other risks and uncertainties described in BellRing’s filings with the Securities and Exchange Commission. </w:t>
      </w:r>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represent BellRing’s judgment as of the date of this release. BellRing disclaims, however, any intent or obligation to update these forward-looking statements.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About BellRing Brands, Inc. </w:t>
      </w:r>
    </w:p>
    <w:p>
      <w:pPr>
        <w:pStyle w:val="TextBody"/>
        <w:bidi w:val="0"/>
        <w:spacing w:lineRule="auto" w:line="288" w:before="0" w:after="0"/>
        <w:jc w:val="left"/>
        <w:rPr/>
      </w:pPr>
      <w:r>
        <w:rPr>
          <w:rFonts w:ascii="Times New Roman;sans-serif" w:hAnsi="Times New Roman;sans-serif"/>
          <w:b w:val="false"/>
          <w:color w:val="000000"/>
          <w:sz w:val="20"/>
        </w:rPr>
        <w:t xml:space="preserve">BellRing Brands, Inc. is a rapidly growing leader in the global convenient nutrition category offering ready-to-drink shake and powder protein products. Its primary brands, </w:t>
      </w:r>
      <w:r>
        <w:rPr>
          <w:rFonts w:ascii="Times New Roman;sans-serif" w:hAnsi="Times New Roman;sans-serif"/>
          <w:b w:val="false"/>
          <w:i/>
          <w:color w:val="000000"/>
          <w:sz w:val="20"/>
        </w:rPr>
        <w:t>Premier Protein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Dymatize</w:t>
      </w:r>
      <w:r>
        <w:rPr>
          <w:rFonts w:ascii="Times New Roman;sans-serif" w:hAnsi="Times New Roman;sans-serif"/>
          <w:b w:val="false"/>
          <w:color w:val="000000"/>
          <w:sz w:val="13"/>
        </w:rPr>
        <w:t>®</w:t>
      </w:r>
      <w:r>
        <w:rPr>
          <w:rFonts w:ascii="Times New Roman;sans-serif" w:hAnsi="Times New Roman;sans-serif"/>
          <w:b w:val="false"/>
          <w:color w:val="000000"/>
          <w:sz w:val="20"/>
        </w:rPr>
        <w:t>, appeal to a broad range of consumers and are distributed across a diverse network of channels including club, food, drug, mass, eCommerce, specialty and convenience. BellRing’s commitment to consumers is to strive to make highly effective products that deliver best-in-class nutritionals and superior taste. For more information, visit www.bellring.com.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Contact: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Investor Relations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Jennifer Meyer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jennifer.meyer@bellringbrands.com</w:t>
      </w:r>
    </w:p>
    <w:p>
      <w:pPr>
        <w:pStyle w:val="TextBody"/>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(415) 814-9388</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11"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center"/>
        <w:rPr/>
      </w:pPr>
      <w:r>
        <w:rPr>
          <w:rFonts w:ascii="Times New Roman;sans-serif" w:hAnsi="Times New Roman;sans-serif"/>
          <w:b/>
          <w:color w:val="000000"/>
          <w:sz w:val="20"/>
        </w:rPr>
        <w:t>CONDENSED CONSOLIDATED STATEMENTS OF OPERATIONS</w:t>
      </w:r>
      <w:r>
        <w:rPr>
          <w:color w:val="000000"/>
        </w:rPr>
        <w:t xml:space="preserve"> </w:t>
      </w:r>
      <w:r>
        <w:rPr>
          <w:rFonts w:ascii="Times New Roman;sans-serif" w:hAnsi="Times New Roman;sans-serif"/>
          <w:b/>
          <w:color w:val="000000"/>
          <w:sz w:val="18"/>
        </w:rPr>
        <w:t>(Unaudited)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 except for per share data)</w:t>
      </w:r>
    </w:p>
    <w:tbl>
      <w:tblPr>
        <w:tblW w:w="10205" w:type="dxa"/>
        <w:jc w:val="center"/>
        <w:tblInd w:w="0" w:type="dxa"/>
        <w:tblLayout w:type="fixed"/>
        <w:tblCellMar>
          <w:top w:w="28" w:type="dxa"/>
          <w:left w:w="28" w:type="dxa"/>
          <w:bottom w:w="28" w:type="dxa"/>
          <w:right w:w="28" w:type="dxa"/>
        </w:tblCellMar>
      </w:tblPr>
      <w:tblGrid>
        <w:gridCol w:w="1863"/>
        <w:gridCol w:w="1627"/>
        <w:gridCol w:w="1583"/>
        <w:gridCol w:w="230"/>
        <w:gridCol w:w="674"/>
        <w:gridCol w:w="119"/>
        <w:gridCol w:w="119"/>
        <w:gridCol w:w="119"/>
        <w:gridCol w:w="119"/>
        <w:gridCol w:w="230"/>
        <w:gridCol w:w="674"/>
        <w:gridCol w:w="119"/>
        <w:gridCol w:w="109"/>
        <w:gridCol w:w="109"/>
        <w:gridCol w:w="109"/>
        <w:gridCol w:w="211"/>
        <w:gridCol w:w="767"/>
        <w:gridCol w:w="109"/>
        <w:gridCol w:w="109"/>
        <w:gridCol w:w="109"/>
        <w:gridCol w:w="109"/>
        <w:gridCol w:w="211"/>
        <w:gridCol w:w="616"/>
        <w:gridCol w:w="161"/>
      </w:tblGrid>
      <w:tr>
        <w:trPr/>
        <w:tc>
          <w:tcPr>
            <w:tcW w:w="1863"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June 30,</w:t>
            </w:r>
          </w:p>
        </w:tc>
      </w:tr>
      <w:tr>
        <w:trPr/>
        <w:tc>
          <w:tcPr>
            <w:tcW w:w="5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3"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Profit</w:t>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 net</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before Income Taxes</w:t>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Earnings Including Redeemable Noncontrolling Interest</w:t>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earnings attributable to redeemable noncontrolling interest</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Earnings Available to Common Stockholders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 of Common Stock:</w:t>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shares of Common Stock Outstanding:</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3"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073"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2" w:type="dxa"/>
            <w:gridSpan w:val="9"/>
            <w:tcBorders/>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180"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12"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(Unaudited)</w:t>
      </w:r>
    </w:p>
    <w:p>
      <w:pPr>
        <w:pStyle w:val="TextBody"/>
        <w:bidi w:val="0"/>
        <w:spacing w:lineRule="auto" w:line="288" w:before="0" w:after="0"/>
        <w:jc w:val="center"/>
        <w:rPr/>
      </w:pPr>
      <w:r>
        <w:rPr>
          <w:rFonts w:ascii="Times New Roman;sans-serif" w:hAnsi="Times New Roman;sans-serif"/>
          <w:b/>
          <w:color w:val="000000"/>
          <w:sz w:val="20"/>
        </w:rPr>
        <w:t xml:space="preserve">(in millions) </w:t>
      </w:r>
      <w:r>
        <w:rPr>
          <w:color w:val="000000"/>
          <w:shd w:fill="FFFFFF" w:val="clear"/>
        </w:rPr>
        <w:t> </w:t>
      </w:r>
    </w:p>
    <w:tbl>
      <w:tblPr>
        <w:tblW w:w="6791" w:type="dxa"/>
        <w:jc w:val="center"/>
        <w:tblInd w:w="0" w:type="dxa"/>
        <w:tblLayout w:type="fixed"/>
        <w:tblCellMar>
          <w:top w:w="28" w:type="dxa"/>
          <w:left w:w="28" w:type="dxa"/>
          <w:bottom w:w="28" w:type="dxa"/>
          <w:right w:w="28" w:type="dxa"/>
        </w:tblCellMar>
      </w:tblPr>
      <w:tblGrid>
        <w:gridCol w:w="1324"/>
        <w:gridCol w:w="1164"/>
        <w:gridCol w:w="1172"/>
        <w:gridCol w:w="260"/>
        <w:gridCol w:w="760"/>
        <w:gridCol w:w="134"/>
        <w:gridCol w:w="109"/>
        <w:gridCol w:w="109"/>
        <w:gridCol w:w="109"/>
        <w:gridCol w:w="355"/>
        <w:gridCol w:w="1036"/>
        <w:gridCol w:w="259"/>
      </w:tblGrid>
      <w:tr>
        <w:trPr/>
        <w:tc>
          <w:tcPr>
            <w:tcW w:w="1324"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2022</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net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707.2 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DEFICIT</w:t>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1,083.4 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Deficit</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Deficit</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Deficit</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722.4 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707.2 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SELECTED CONDENSED CONSOLIDATED CASH FLOWS INFORMATION (Unaudited)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w:t>
      </w:r>
    </w:p>
    <w:tbl>
      <w:tblPr>
        <w:tblW w:w="7480" w:type="dxa"/>
        <w:jc w:val="center"/>
        <w:tblInd w:w="0" w:type="dxa"/>
        <w:tblLayout w:type="fixed"/>
        <w:tblCellMar>
          <w:top w:w="28" w:type="dxa"/>
          <w:left w:w="28" w:type="dxa"/>
          <w:bottom w:w="28" w:type="dxa"/>
          <w:right w:w="28" w:type="dxa"/>
        </w:tblCellMar>
      </w:tblPr>
      <w:tblGrid>
        <w:gridCol w:w="1843"/>
        <w:gridCol w:w="1618"/>
        <w:gridCol w:w="1624"/>
        <w:gridCol w:w="218"/>
        <w:gridCol w:w="637"/>
        <w:gridCol w:w="112"/>
        <w:gridCol w:w="112"/>
        <w:gridCol w:w="112"/>
        <w:gridCol w:w="112"/>
        <w:gridCol w:w="218"/>
        <w:gridCol w:w="715"/>
        <w:gridCol w:w="159"/>
      </w:tblGrid>
      <w:tr>
        <w:trPr/>
        <w:tc>
          <w:tcPr>
            <w:tcW w:w="1843"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June 30,</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provided by (used in):</w:t>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decrease in cash and cash equivalents</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13"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EXPLANATION AND RECONCILIATION OF NON-GAAP MEASURES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BellRing uses certain non-GAAP measures in this release to supplement the financial measures prepared in accordance with U.S. generally accepted accounting principles (“GAAP”). These non-GAAP measures include Adjusted net earnings available to common stockholders, Adjusted diluted earnings per share of common stock and Adjusted EBITDA. The reconciliation of each of these non-GAAP measures to the most directly comparable GAAP measure is provided in the tables following this section. Non-GAAP measures are not prepared in accordance with GAAP, as they exclude certain items as described below. These non-GAAP measures may not be comparable to similarly titled measures of other companies.</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Adjusted net earnings available to common stockholders and Adjusted diluted earnings per share of common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BellRing believes Adjusted net earnings available to common stockholders and Adjusted diluted earnings per share of common stock are useful to investors in evaluating BellRing’s operating performance because they exclude items that affect the comparability of BellRing’s financial results and could potentially distort an understanding of the trends in business performance.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earnings available to common stockholders and Adjusted diluted earnings per share of common stock are adjusted for the following items:</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a.</w:t>
      </w:r>
      <w:r>
        <w:rPr>
          <w:rFonts w:ascii="Times New Roman;sans-serif" w:hAnsi="Times New Roman;sans-serif"/>
          <w:b w:val="false"/>
          <w:i/>
          <w:color w:val="000000"/>
          <w:sz w:val="20"/>
        </w:rPr>
        <w:t>Loss on extinguishment, net</w:t>
      </w:r>
      <w:r>
        <w:rPr>
          <w:rFonts w:ascii="Times New Roman;sans-serif" w:hAnsi="Times New Roman;sans-serif"/>
          <w:b w:val="false"/>
          <w:color w:val="000000"/>
          <w:sz w:val="20"/>
        </w:rPr>
        <w:t>: BellRing has excluded losses recorded on extinguishment of debt, inclusive of the write-off of debt issuance costs and deferred financing fees and the write-off of net unamortized debt discounts, as such losses are inconsistent in amount and frequency. Additionally, BellRing believes that these losses do not reflect expected ongoing future operating expenses and do not contribute to a meaningful evaluation of BellRing’s current operating performance or comparisons of BellRing’s operating performance to other periods.</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b.</w:t>
      </w:r>
      <w:r>
        <w:rPr>
          <w:rFonts w:ascii="Times New Roman;sans-serif" w:hAnsi="Times New Roman;sans-serif"/>
          <w:b w:val="false"/>
          <w:i/>
          <w:color w:val="000000"/>
          <w:sz w:val="20"/>
        </w:rPr>
        <w:t>Separation costs</w:t>
      </w:r>
      <w:r>
        <w:rPr>
          <w:rFonts w:ascii="Times New Roman;sans-serif" w:hAnsi="Times New Roman;sans-serif"/>
          <w:b w:val="false"/>
          <w:color w:val="000000"/>
          <w:sz w:val="20"/>
        </w:rPr>
        <w:t>: BellRing has excluded certain expenses incurred in connection with (i) Post’s distribution of 80.1% of its interest in BellRing and (ii) secondary offerings of shares of BellRing common stock previously held by Post, as the amount and frequency of such expenses are not consistent. Additionally, BellRing believes that these costs do not reflect expected ongoing future operating expenses and do not contribute to a meaningful evaluation of BellRing’s current operating performance or comparisons of BellRing’s operating performance to other periods.</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c.</w:t>
      </w:r>
      <w:r>
        <w:rPr>
          <w:rFonts w:ascii="Times New Roman;sans-serif" w:hAnsi="Times New Roman;sans-serif"/>
          <w:b w:val="false"/>
          <w:i/>
          <w:color w:val="000000"/>
          <w:sz w:val="20"/>
        </w:rPr>
        <w:t>Mark-to-market adjustments on commodity hedges</w:t>
      </w:r>
      <w:r>
        <w:rPr>
          <w:rFonts w:ascii="Times New Roman;sans-serif" w:hAnsi="Times New Roman;sans-serif"/>
          <w:b w:val="false"/>
          <w:color w:val="000000"/>
          <w:sz w:val="20"/>
        </w:rPr>
        <w:t>: BellRing has excluded the impact of mark-to-market adjustments on commodity hedges due to the inherent uncertainty and volatility associated with such amounts based on changes in assumptions with respect to fair value estimates. Additionally, these adjustments are primarily non-cash items and the amount and frequency of such adjustments are not consistent.</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d.</w:t>
      </w:r>
      <w:r>
        <w:rPr>
          <w:rFonts w:ascii="Times New Roman;sans-serif" w:hAnsi="Times New Roman;sans-serif"/>
          <w:b w:val="false"/>
          <w:i/>
          <w:color w:val="000000"/>
          <w:sz w:val="20"/>
        </w:rPr>
        <w:t>Resolution of dispute with former contract manufacturer</w:t>
      </w:r>
      <w:r>
        <w:rPr>
          <w:rFonts w:ascii="Times New Roman;sans-serif" w:hAnsi="Times New Roman;sans-serif"/>
          <w:b w:val="false"/>
          <w:color w:val="000000"/>
          <w:sz w:val="20"/>
        </w:rPr>
        <w:t>: BellRing has excluded certain non-cash write-offs recorded in connection with the resolution of a dispute with a former contract manufacturer as the amount and frequency of such losses are not consistent. Additionally, BellRing believes that these losses do not reflect expected ongoing future operating expenses and do not contribute to a meaningful evaluation of BellRing’s current operating performance to other periods.</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e.</w:t>
      </w:r>
      <w:r>
        <w:rPr>
          <w:rFonts w:ascii="Times New Roman;sans-serif" w:hAnsi="Times New Roman;sans-serif"/>
          <w:b w:val="false"/>
          <w:i/>
          <w:color w:val="000000"/>
          <w:sz w:val="20"/>
        </w:rPr>
        <w:t>Foreign currency gain/loss on intercompany loans</w:t>
      </w:r>
      <w:r>
        <w:rPr>
          <w:rFonts w:ascii="Times New Roman;sans-serif" w:hAnsi="Times New Roman;sans-serif"/>
          <w:b w:val="false"/>
          <w:color w:val="000000"/>
          <w:sz w:val="20"/>
        </w:rPr>
        <w:t>: BellRing has excluded the impact of foreign currency fluctuations related to intercompany loans denominated in currencies other than the functional currency of the respective legal entity in evaluating BellRing’s performance to allow for more meaningful comparisons of performance to other periods.</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f.</w:t>
      </w:r>
      <w:r>
        <w:rPr>
          <w:rFonts w:ascii="Times New Roman;sans-serif" w:hAnsi="Times New Roman;sans-serif"/>
          <w:b w:val="false"/>
          <w:i/>
          <w:color w:val="000000"/>
          <w:sz w:val="20"/>
        </w:rPr>
        <w:t>NCI adjustment</w:t>
      </w:r>
      <w:r>
        <w:rPr>
          <w:rFonts w:ascii="Times New Roman;sans-serif" w:hAnsi="Times New Roman;sans-serif"/>
          <w:b w:val="false"/>
          <w:color w:val="000000"/>
          <w:sz w:val="20"/>
        </w:rPr>
        <w:t xml:space="preserve">: BellRing has included an adjustment to reflect the removal of non-GAAP adjustments which are attributable to the NCI in the periods prior to the Spin-off in the calculation of Adjusted net earnings available to common stockholders and Adjusted diluted earnings per share of common stock, as BellRing believes this adjustment contributes to a more meaningful evaluation of BellRing’s current operating performance. </w:t>
      </w:r>
    </w:p>
    <w:p>
      <w:pPr>
        <w:pStyle w:val="TextBody"/>
        <w:bidi w:val="0"/>
        <w:spacing w:lineRule="auto" w:line="288" w:before="0" w:after="180"/>
        <w:ind w:left="0" w:right="0" w:hanging="360"/>
        <w:jc w:val="left"/>
        <w:rPr/>
      </w:pPr>
      <w:r>
        <w:rPr>
          <w:rFonts w:ascii="Times New Roman;sans-serif" w:hAnsi="Times New Roman;sans-serif"/>
          <w:b w:val="false"/>
          <w:color w:val="000000"/>
          <w:sz w:val="20"/>
        </w:rPr>
        <w:t>g.</w:t>
      </w:r>
      <w:r>
        <w:rPr>
          <w:rFonts w:ascii="Times New Roman;sans-serif" w:hAnsi="Times New Roman;sans-serif"/>
          <w:b w:val="false"/>
          <w:i/>
          <w:color w:val="000000"/>
          <w:sz w:val="20"/>
        </w:rPr>
        <w:t>Income tax effect on adjustments</w:t>
      </w:r>
      <w:r>
        <w:rPr>
          <w:rFonts w:ascii="Times New Roman;sans-serif" w:hAnsi="Times New Roman;sans-serif"/>
          <w:b w:val="false"/>
          <w:color w:val="000000"/>
          <w:sz w:val="20"/>
        </w:rPr>
        <w:t xml:space="preserve">: BellRing has included the income tax impact of the non-GAAP adjustments using a rate described in the applicable footnote of the reconciliation tables, as BellRing believes that its GAAP effective income tax rate as reported is not representative of the income tax expense impact of the adjustments. </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Adjusted EBITDA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BellRing believes that Adjusted EBITDA is useful to investors in evaluating BellRing’s operating performance and liquidity because (i) BellRing believes it is widely used to measure a company’s operating performance without regard to items such as depreciation and amortization, which can vary depending upon accounting methods and the book value of assets, (ii) it presents a measure of corporate performance exclusive of BellRing’s capital structure and the method by which the assets were acquired and (iii) it is a financial indicator of a company’s ability to service its debt, as BellRing is required to comply with certain covenants and limitations that are based on variations of EBITDA in its financing documents. Management uses Adjusted EBITDA to provide forward-looking guidance and to forecast future results. </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reflects adjustments for income tax expense, interest expense, net and depreciation and amortization, and the following adjustments discussed above: loss on extinguishment of debt, net, separation costs, mark-to-market adjustments on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14"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commodity hedges, resolution of dispute with former contract manufacturer and foreign currency gain/loss on intercompany loans. Additionally, Adjusted EBITDA reflects adjustments for the following items:</w:t>
      </w:r>
    </w:p>
    <w:p>
      <w:pPr>
        <w:pStyle w:val="TextBody"/>
        <w:bidi w:val="0"/>
        <w:spacing w:lineRule="auto" w:line="288" w:before="0" w:after="0"/>
        <w:ind w:left="0" w:right="0" w:hanging="360"/>
        <w:jc w:val="left"/>
        <w:rPr/>
      </w:pPr>
      <w:r>
        <w:rPr>
          <w:rFonts w:ascii="Times New Roman;sans-serif" w:hAnsi="Times New Roman;sans-serif"/>
          <w:b w:val="false"/>
          <w:color w:val="000000"/>
          <w:sz w:val="20"/>
          <w:shd w:fill="FFFFFF" w:val="clear"/>
        </w:rPr>
        <w:t>h.</w:t>
      </w:r>
      <w:r>
        <w:rPr>
          <w:rFonts w:ascii="Times New Roman;sans-serif" w:hAnsi="Times New Roman;sans-serif"/>
          <w:b w:val="false"/>
          <w:i/>
          <w:color w:val="000000"/>
          <w:sz w:val="20"/>
          <w:shd w:fill="FFFFFF" w:val="clear"/>
        </w:rPr>
        <w:t>Stock-based compensation</w:t>
      </w:r>
      <w:r>
        <w:rPr>
          <w:rFonts w:ascii="Times New Roman;sans-serif" w:hAnsi="Times New Roman;sans-serif"/>
          <w:b w:val="false"/>
          <w:color w:val="000000"/>
          <w:sz w:val="20"/>
          <w:shd w:fill="FFFFFF" w:val="clear"/>
        </w:rPr>
        <w:t xml:space="preserve">: BellRing’s compensation strategy </w:t>
      </w:r>
      <w:r>
        <w:rPr>
          <w:rFonts w:ascii="Times New Roman;sans-serif" w:hAnsi="Times New Roman;sans-serif"/>
          <w:b w:val="false"/>
          <w:color w:val="000000"/>
          <w:sz w:val="20"/>
        </w:rPr>
        <w:t>includes the use of BellRing stock-based compensation to attract and retain executives and employees by aligning their long-term compensation interests with BellRing’s stockholders’ investment interests. BellRing’s director compensation strategy includes an election by any director who earns retainers in which the director may elect to defer compensation granted as a director to BellRing common stock, earning a match on the deferral, both of which are stock-settled upon the director’s retirement from the BellRing board of directors. BellRing has excluded stock-based compensation as stock-based compensation can vary significantly based on reasons such as the timing, size and nature of the awards granted and subjective assumptions which are unrelated to operational decisions and performance in any particular period and does not contribute to meaningful comparisons of BellRing’s operating performance to other periods.</w:t>
      </w:r>
    </w:p>
    <w:p>
      <w:pPr>
        <w:pStyle w:val="TextBody"/>
        <w:bidi w:val="0"/>
        <w:spacing w:lineRule="auto" w:line="288"/>
        <w:ind w:left="0" w:right="0" w:hanging="360"/>
        <w:jc w:val="left"/>
        <w:rPr/>
      </w:pPr>
      <w:r>
        <w:rPr>
          <w:rFonts w:ascii="Times New Roman;sans-serif" w:hAnsi="Times New Roman;sans-serif"/>
          <w:b w:val="false"/>
          <w:color w:val="000000"/>
          <w:sz w:val="20"/>
        </w:rPr>
        <w:t>i.</w:t>
      </w:r>
      <w:r>
        <w:rPr>
          <w:rFonts w:ascii="Times New Roman;sans-serif" w:hAnsi="Times New Roman;sans-serif"/>
          <w:b w:val="false"/>
          <w:i/>
          <w:color w:val="000000"/>
          <w:sz w:val="20"/>
        </w:rPr>
        <w:t>Net earnings attributable to redeemable noncontrolling interest</w:t>
      </w:r>
      <w:r>
        <w:rPr>
          <w:rFonts w:ascii="Times New Roman;sans-serif" w:hAnsi="Times New Roman;sans-serif"/>
          <w:b w:val="false"/>
          <w:color w:val="000000"/>
          <w:sz w:val="20"/>
        </w:rPr>
        <w:t xml:space="preserve">: BellRing has included adjustments for the portion of its consolidated net earnings which were allocated to the NCI for the periods prior to the Spin-off, allowing for the calculation of Adjusted EBITDA to include 100% of BellRing as BellRing’s management evaluates BellRing’s operating performance on a basis that includes 100% of BellRing.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15"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RECONCILIATION OF NET EARNINGS AVAILABLE TO COMMON STOCKHOLDERS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TO ADJUSTED NET EARNINGS AVAILABLE TO COMMON STOCKHOLDERS (Unaudited)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w:t>
      </w:r>
    </w:p>
    <w:tbl>
      <w:tblPr>
        <w:tblW w:w="10205" w:type="dxa"/>
        <w:jc w:val="center"/>
        <w:tblInd w:w="0" w:type="dxa"/>
        <w:tblLayout w:type="fixed"/>
        <w:tblCellMar>
          <w:top w:w="28" w:type="dxa"/>
          <w:left w:w="28" w:type="dxa"/>
          <w:bottom w:w="28" w:type="dxa"/>
          <w:right w:w="28" w:type="dxa"/>
        </w:tblCellMar>
      </w:tblPr>
      <w:tblGrid>
        <w:gridCol w:w="485"/>
        <w:gridCol w:w="427"/>
        <w:gridCol w:w="427"/>
        <w:gridCol w:w="1188"/>
        <w:gridCol w:w="993"/>
        <w:gridCol w:w="729"/>
        <w:gridCol w:w="286"/>
        <w:gridCol w:w="695"/>
        <w:gridCol w:w="148"/>
        <w:gridCol w:w="148"/>
        <w:gridCol w:w="148"/>
        <w:gridCol w:w="148"/>
        <w:gridCol w:w="286"/>
        <w:gridCol w:w="695"/>
        <w:gridCol w:w="148"/>
        <w:gridCol w:w="139"/>
        <w:gridCol w:w="139"/>
        <w:gridCol w:w="139"/>
        <w:gridCol w:w="278"/>
        <w:gridCol w:w="814"/>
        <w:gridCol w:w="144"/>
        <w:gridCol w:w="144"/>
        <w:gridCol w:w="144"/>
        <w:gridCol w:w="144"/>
        <w:gridCol w:w="278"/>
        <w:gridCol w:w="675"/>
        <w:gridCol w:w="216"/>
      </w:tblGrid>
      <w:tr>
        <w:trPr/>
        <w:tc>
          <w:tcPr>
            <w:tcW w:w="48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June 30,</w:t>
            </w:r>
          </w:p>
        </w:tc>
      </w:tr>
      <w:tr>
        <w:trPr/>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24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Earnings Available to Common Stockholders</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tcPr>
          <w:p>
            <w:pPr>
              <w:pStyle w:val="TableContents"/>
              <w:bidi w:val="0"/>
              <w:spacing w:before="0" w:after="283"/>
              <w:jc w:val="left"/>
              <w:rPr>
                <w:sz w:val="4"/>
                <w:szCs w:val="4"/>
              </w:rPr>
            </w:pPr>
            <w:r>
              <w:rPr>
                <w:sz w:val="4"/>
                <w:szCs w:val="4"/>
              </w:rPr>
            </w:r>
          </w:p>
        </w:tc>
      </w:tr>
      <w:tr>
        <w:trPr/>
        <w:tc>
          <w:tcPr>
            <w:tcW w:w="4249"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Adjustments:</w:t>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 net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Separation costs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Mark-to-market adjustments on commodity hedges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Resolution of dispute with former contract manufacturer</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loss (gain) on intercompany loans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NCI adjustment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Adjustments</w:t>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Income tax effect on adjustments </w:t>
            </w:r>
            <w:r>
              <w:rPr>
                <w:rFonts w:ascii="Times New Roman;sans-serif" w:hAnsi="Times New Roman;sans-serif"/>
                <w:b w:val="false"/>
                <w:color w:val="000000"/>
                <w:sz w:val="13"/>
              </w:rPr>
              <w:t>(1)</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2910"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tcPr>
          <w:p>
            <w:pPr>
              <w:pStyle w:val="TableContents"/>
              <w:bidi w:val="0"/>
              <w:spacing w:before="0" w:after="283"/>
              <w:jc w:val="left"/>
              <w:rPr>
                <w:sz w:val="4"/>
                <w:szCs w:val="4"/>
              </w:rPr>
            </w:pPr>
            <w:r>
              <w:rPr>
                <w:sz w:val="4"/>
                <w:szCs w:val="4"/>
              </w:rPr>
            </w:r>
          </w:p>
        </w:tc>
      </w:tr>
      <w:tr>
        <w:trPr/>
        <w:tc>
          <w:tcPr>
            <w:tcW w:w="424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Earnings Available to Common Stockholders</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For the periods subsequent to the Spin-off (October 1, 2022 through June 30, 2023 and March 11, 2022 through June 30, 2022), income tax effect on adjustments was calculated on all items, except for separation costs, using a rate of 24.0%. For the period prior to the Spin-off (October 1, 2021 through March 10, 2022), income tax effect on adjustments was calculated on all items, except for separation costs and NCI adjustment, using a rate of 7.0%, which represents the effective income tax rate on BellRing’s distributive share from BellRing LLC. For the period prior to the Spin-off, income tax effect for NCI adjustment was calculated using a rate of 0.0%. For all periods, income tax effect for separation costs was calculated using a rate of 8.0%.</w:t>
            </w:r>
          </w:p>
        </w:tc>
      </w:tr>
    </w:tbl>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16"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RECONCILIATION OF DILUTED EARNINGS PER SHARE OF COMMON STOCK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TO ADJUSTED DILUTED EARNINGS PER SHARE OF COMMON STOCK (Unaudited)</w:t>
      </w:r>
    </w:p>
    <w:tbl>
      <w:tblPr>
        <w:tblW w:w="10205" w:type="dxa"/>
        <w:jc w:val="center"/>
        <w:tblInd w:w="0" w:type="dxa"/>
        <w:tblLayout w:type="fixed"/>
        <w:tblCellMar>
          <w:top w:w="28" w:type="dxa"/>
          <w:left w:w="28" w:type="dxa"/>
          <w:bottom w:w="28" w:type="dxa"/>
          <w:right w:w="28" w:type="dxa"/>
        </w:tblCellMar>
      </w:tblPr>
      <w:tblGrid>
        <w:gridCol w:w="652"/>
        <w:gridCol w:w="363"/>
        <w:gridCol w:w="363"/>
        <w:gridCol w:w="1141"/>
        <w:gridCol w:w="1097"/>
        <w:gridCol w:w="700"/>
        <w:gridCol w:w="288"/>
        <w:gridCol w:w="698"/>
        <w:gridCol w:w="149"/>
        <w:gridCol w:w="149"/>
        <w:gridCol w:w="149"/>
        <w:gridCol w:w="149"/>
        <w:gridCol w:w="288"/>
        <w:gridCol w:w="698"/>
        <w:gridCol w:w="149"/>
        <w:gridCol w:w="140"/>
        <w:gridCol w:w="140"/>
        <w:gridCol w:w="140"/>
        <w:gridCol w:w="284"/>
        <w:gridCol w:w="690"/>
        <w:gridCol w:w="146"/>
        <w:gridCol w:w="146"/>
        <w:gridCol w:w="146"/>
        <w:gridCol w:w="146"/>
        <w:gridCol w:w="284"/>
        <w:gridCol w:w="690"/>
        <w:gridCol w:w="220"/>
      </w:tblGrid>
      <w:tr>
        <w:trPr/>
        <w:tc>
          <w:tcPr>
            <w:tcW w:w="65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June 30,</w:t>
            </w:r>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31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share of Common Stock</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Adjustments:</w:t>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293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 net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Separation costs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293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Mark-to-market adjustments on commodity hedges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293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Resolution of dispute with former contract manufacturer</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loss on intercompany loans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293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NCI adjustment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Adjustments</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Income tax effect on adjustments </w:t>
            </w:r>
            <w:r>
              <w:rPr>
                <w:rFonts w:ascii="Times New Roman;sans-serif" w:hAnsi="Times New Roman;sans-serif"/>
                <w:b w:val="false"/>
                <w:color w:val="000000"/>
                <w:sz w:val="13"/>
              </w:rPr>
              <w:t>(1)</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Diluted Earnings per share of Common Stock</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0.91 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vAlign w:val="center"/>
          </w:tcPr>
          <w:p>
            <w:pPr>
              <w:pStyle w:val="TableContents"/>
              <w:bidi w:val="0"/>
              <w:spacing w:before="0" w:after="283"/>
              <w:jc w:val="left"/>
              <w:rPr>
                <w:sz w:val="4"/>
                <w:szCs w:val="4"/>
              </w:rPr>
            </w:pPr>
            <w:r>
              <w:rPr>
                <w:sz w:val="4"/>
                <w:szCs w:val="4"/>
              </w:rPr>
            </w:r>
          </w:p>
        </w:tc>
        <w:tc>
          <w:tcPr>
            <w:tcW w:w="2938"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For the periods subsequent to the Spin-off (October 1, 2022 through June 30, 2023 and March 11, 2022 through June 30, 2022), income tax effect on adjustments was calculated on all items, except for separation costs, using a rate of 24.0%. For the period prior to the Spin-off (October 1, 2021 through March 10, 2022), income tax effect on adjustments was calculated on all items, except for separation costs and NCI adjustment, using a rate of 7.0%, which represents the effective income tax rate on BellRing’s distributive share from BellRing LLC. For the period prior to the Spin-off, income tax effect for NCI adjustment was calculated using a rate of 0.0%. For all periods, income tax effect for separation costs was calculated using a rate of 8.0%.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17"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80" w:after="283"/>
        <w:jc w:val="center"/>
        <w:rPr>
          <w:rFonts w:ascii="Times New Roman;sans-serif" w:hAnsi="Times New Roman;sans-serif"/>
          <w:b/>
          <w:color w:val="000000"/>
          <w:sz w:val="18"/>
        </w:rPr>
      </w:pPr>
      <w:r>
        <w:rPr>
          <w:rFonts w:ascii="Times New Roman;sans-serif" w:hAnsi="Times New Roman;sans-serif"/>
          <w:b/>
          <w:color w:val="000000"/>
          <w:sz w:val="18"/>
        </w:rPr>
        <w:t xml:space="preserve">RECONCILIATION OF NET EARNINGS AVAILABLE TO COMMON STOCKHOLDERS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TO ADJUSTED EBITDA (Unaudited)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w:t>
      </w:r>
    </w:p>
    <w:tbl>
      <w:tblPr>
        <w:tblW w:w="10205" w:type="dxa"/>
        <w:jc w:val="center"/>
        <w:tblInd w:w="0" w:type="dxa"/>
        <w:tblLayout w:type="fixed"/>
        <w:tblCellMar>
          <w:top w:w="28" w:type="dxa"/>
          <w:left w:w="28" w:type="dxa"/>
          <w:bottom w:w="28" w:type="dxa"/>
          <w:right w:w="28" w:type="dxa"/>
        </w:tblCellMar>
      </w:tblPr>
      <w:tblGrid>
        <w:gridCol w:w="1776"/>
        <w:gridCol w:w="1547"/>
        <w:gridCol w:w="1554"/>
        <w:gridCol w:w="221"/>
        <w:gridCol w:w="537"/>
        <w:gridCol w:w="284"/>
        <w:gridCol w:w="114"/>
        <w:gridCol w:w="114"/>
        <w:gridCol w:w="114"/>
        <w:gridCol w:w="221"/>
        <w:gridCol w:w="537"/>
        <w:gridCol w:w="284"/>
        <w:gridCol w:w="109"/>
        <w:gridCol w:w="109"/>
        <w:gridCol w:w="109"/>
        <w:gridCol w:w="211"/>
        <w:gridCol w:w="616"/>
        <w:gridCol w:w="271"/>
        <w:gridCol w:w="109"/>
        <w:gridCol w:w="109"/>
        <w:gridCol w:w="109"/>
        <w:gridCol w:w="211"/>
        <w:gridCol w:w="616"/>
        <w:gridCol w:w="323"/>
      </w:tblGrid>
      <w:tr>
        <w:trPr/>
        <w:tc>
          <w:tcPr>
            <w:tcW w:w="1776"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June 30,</w:t>
            </w:r>
          </w:p>
        </w:tc>
      </w:tr>
      <w:tr>
        <w:trPr/>
        <w:tc>
          <w:tcPr>
            <w:tcW w:w="4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Earnings Available to Common Stockholders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 net</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Separation costs</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Mark-to-market adjustments on commodity hedges</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Resolution of dispute with former contract manufacturer</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loss (gain) on intercompany loans</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attributable to redeemable noncontrolling interest</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191.5 </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as a percentage of Net Sales</w:t>
            </w:r>
          </w:p>
        </w:tc>
        <w:tc>
          <w:tcPr>
            <w:tcW w:w="75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2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2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3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center"/>
        <w:rPr/>
      </w:pPr>
      <w:r>
        <w:rPr/>
      </w:r>
    </w:p>
    <w:p>
      <w:pPr>
        <w:pStyle w:val="TextBody"/>
        <w:bidi w:val="0"/>
        <w:spacing w:before="180" w:after="283"/>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center"/>
        <w:rPr/>
      </w:pPr>
      <w:bookmarkStart w:id="0" w:name="brbrexh992-brbr3q23suppl.htm"/>
      <w:bookmarkStart w:id="1" w:name="ksbrbrexh992brbr3q23suppl"/>
      <w:bookmarkEnd w:id="0"/>
      <w:bookmarkEnd w:id="1"/>
      <w:r>
        <w:rPr/>
        <w:drawing>
          <wp:inline distT="0" distB="0" distL="0" distR="0">
            <wp:extent cx="9753600" cy="5486400"/>
            <wp:effectExtent l="0" t="0" r="0" b="0"/>
            <wp:docPr id="1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19"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jc w:val="center"/>
        <w:rPr>
          <w:color w:val="FFFFFF"/>
          <w:sz w:val="2"/>
        </w:rPr>
      </w:pPr>
      <w:r>
        <w:rPr>
          <w:color w:val="FFFFFF"/>
          <w:sz w:val="2"/>
        </w:rPr>
        <w:t xml:space="preserve">Investor Presentation November 2022 August 7, 2023 Third Quarter Fiscal Year 2023 Supplemental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Certain matters discussed in this presentation and the accompanying oral presentation are forward-looking statements within the meaning of the Private Securities Litigation Reform Act of 1995. These forward-looking statements are made based on known events and circumstances at the time of presentation, and as such, are subject to uncertainty and changes in circumstances. These forward-looking statements include, among others, statements regarding BellRing Brands, Inc.’s (“BellRing”) net sales, Adjusted EBITDA and capital expenditure outlook ranges and BellRing’s prospective financial and operating performance and opportunities. These forward- 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and include all statements regarding future performance, events or developments. There are a number of risks and uncertainties that could cause actual results to differ materially from the forward-looking statements made herein. THESE RISKS AND UNCERTAINTIES INCLUDE, BUT ARE NOT LIMITED TO, THE FOLLOWING: • BellRing's dependence on sales from its ready-to-drink (“RTD”) protein shakes; • BellRing’s ability to continue to compete in its product categories and its ability to retain its market position and favorable perceptions of its brands; • disruptions or inefficiencies in BellRing’s supply chain, including as a result of BellRing’s reliance on third party suppliers or manufacturers for the manufacturing of many of its products, pandemics and other outbreaks of contagious diseases, labor shortages, fires and evacuations related thereto, changes in weather conditions, natural disasters, agricultural diseases and pests and other events beyond BellRing’s control; • BellRing’s dependence on a limited number of third party contract manufacturers for the manufacturing of most of its products, including one manufacturer for the majority of its RTD protein shakes; • the ability of BellRing’s third party contract manufacturers to produce an amount of BellRing’s products that enables BellRing to meet customer and consumer demand for the products; • BellRing’s reliance on a limited number of third party suppliers to provide certain ingredients and packaging; • significant volatility in the cost or availability of inputs to BellRing’s business (including freight, raw materials, packaging, energy, labor and other supplies); • BellRing’s ability to anticipate and respond to changes in consumer and customer preferences and behaviors and introduce new products; • consolidation in BellRing’s distribution channels; • BellRing’s ability to expand existing market penetration and enter into new markets; • the loss of, a significant reduction of purchases by or the bankruptcy of a major customer; • legal and regulatory factors, such as compliance with existing laws and regulations, as well as new laws and regulations and changes to existing laws and regulations and interpretations thereof, affecting BellRing’s business, including current and future laws and regulations regarding food safety, advertising, labeling, tax matters and environmental matters; • fluctuations in BellRing’s business due to changes in its promotional activities and seasonality; • BellRing’s ability to maintain the net selling prices of its products and manage promotional activities with respect to its products; • BellRing’s leverage, its ability to obtain additional financing (including both secured and unsecured debt) and its ability to service its outstanding debt (including covenants that restrict the operation of its business); • the accuracy of BellRing’s market data and attributes and related information; • changes in estimates in critical accounting judgments; Cautionary Statement Regarding Forward-Looking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Cautionary Statement Regarding Forward-Looking Statements (Cont’d) 3 (CONTINUED FROM PRIOR PAGE): • uncertain or unfavorable economic conditions that limit customer and consumer demand for BellRing’s products or increase its costs; • risks related to BellRing’s ongoing relationship with Post Holdings, Inc. (“Post”) following BellRing’s separation from Post and Post’s distribution of BellRing stock to Post’s shareholders (the “Spin-off”), including BellRing’s obligations under various agreements with Post; • conflicting interests or the appearance of conflicting interests resulting from certain of BellRing’s directors also serving as officers or directors of Post; • risks related to the Spin-off, including BellRing’s inability to take certain actions because such actions could jeopardize the tax-free status of the Spin-off and BellRing’s possible responsibility for U.S. federal tax liabilities related to the Spin-off; • the ultimate impact litigation or other regulatory matters may have on BellRing; • risks associated with BellRing’s international business; • BellRing’s ability to protect its intellectual property and other assets and to continue to use third party intellectual property subject to intellectual property licenses; • costs, business disruptions and reputational damage associated with information technology failures, cybersecurity incidents and/or information security breaches; • impairment in the carrying value of goodwill or other intangibles; • BellRing’s ability to identify, complete and integrate or otherwise effectively execute acquisitions or other strategic transactions and effectively manage its growth; • BellRing’s ability to satisfy the requirements of Section 404 of the Sarbanes-Oxley Act of 2002; • significant differences in BellRing’s actual operating results from any guidance BellRing may give regarding its performance; • BellRing’s ability to hire and retain talented personnel, employee absenteeism, labor strikes, work stoppages or unionization efforts; and • other risks and uncertainties described in BellRing’s filings with the Securities and Exchange Commission. You should not rely upon forward-looking statements as predictions of future events. Although BellRing believes that the expectations reflected in the forward-looking statements are reasonable, BellRing cannot guarantee that the future results, levels of activity, performance or events and circumstances reflected in the forward-looking statements will be achieved or occur. Moreover, BellRing undertakes no obligation to update publicly any forward-looking statements for any reason after the date of this presentation to conform these statements to actual results or to changes in its expectations.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Additional Information 4 Prospective Information Any prospective information provided in this presentation regarding BellRing’s future performance, including BellRing’s plans, expectations, estimates and similar statements, represents BellRing management’s estimates as of August 7, 2023 only and are qualified by, and subject to, the assumptions and the other information set forth on the slide captioned “Cautionary Statement Regarding Forward-Looking Statements.” Prospective information provided in this presentation regarding BellRing’s plans, expectations, estimates and similar statements contained in this presentation are based upon a number of assumptions and estimates that, while they may be presented with numerical specificity, are inherently subject to business, economic and competitive uncertainties and contingencies, many of which are beyond BellRing’s control, are based upon specific assumptions with respect to future business decisions, some of which will change, and are necessarily speculative in nature. It can be expected that some or all of the assumptions of the estimates will not materialize or will vary significantly from actual results. Accordingly, the information set forth herein is only an estimate as of August 7, 2023, and actual results will vary from the estimates set forth herein. It should be recognized that the reliability of any forecasted financial data diminishes the farther in the future that the data is forecast. In light of the foregoing, investors should put all prospective information in context and not rely on it. Any failure to successfully implement BellRing’s operating strategy or the occurrence of the events or circumstances set forth under “Cautionary Statement Regarding Forward- Looking Statements” could result in the actual operating results being different than the estimates set forth herein, and such differences may be adverse and material. Market and Industry Data This presentation includes industry and trade association data, forecasts and information that were prepared based, in part, upon data, forecasts and information obtained from independent trade associations, industry publications and surveys and other independent sources available to BellRing. Some data also is based on BellRing management’s good faith estimates, which are derived from management’s knowledge of the industry and from independent sources. These third party publications and surveys generally state that the information included therein has been obtained from sources believed to be reliable, but that the publications and surveys can give no assurance as to the accuracy or completeness of such information. BellRing has not independently verified any of the data from third party sources nor has it ascertained the underlying economic assumptions on which such data are based. Similarly, BellRing believes its internal research is reliable, even though such research has not been verified by any independent sources and BellRing cannot guarantee its accuracy or completeness. Trademarks and Service Marks Logos, trademarks, trade names and service marks mentioned in this presentation, including BellRing®, BellRing Brands®, Premier Protein®, Dymatize®, PowerBar®, Premier Protein Clear®, ISO.100®, Elite Mass®, Elite Whey Protein®, Elite 100% Whey®, Super Mass Gainer®, All9 Amino®, Pebbles®, Dunkin®, PREW.O®, Athlete’s BCAA®, PowerBar Clean WheyTM, PowerBar Protein PlusTM, Protein Nut2TM, PowerBar EnergizeTM and Joint Juice®, are currently the property of, or are under license by, BellRing or one of its subsidiaries. BellRing or one of its subsidiaries owns or has rights to use the trademarks, service marks and trade names that are used in conjunction with the operation of BellRing or its subsidiaries’ businesses. Some of the more important trademarks that BellRing or one of its subsidiaries owns or has rights to use that appear in this presentation may be registered in the U.S. and other jurisdictions. Each logo, trademark, trade name or service mark of any other company appearing in this presentation is owned or used under license by such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Q3 FY2023 Consumption and Key Metrics Executive Summary ● The liquids category continues to experience strong growth rates (+21%)1. ● Premier Protein ready-to-drink (“RTD”) shake consumption was up (+27%)2 in Q3 FY2023. ○ Shipments and consumption were balanced with both hitting their highest volumes since Q4 FY21. ● Premier Protein’s key metrics remain strong and reaffirm a long runway for sustained growth. ○ Premier Protein has now established itself as the #1 brand in convenient nutrition for the last 52 weeks. ○ RTD market share has increased +2.2 share points1 in Q3 FY2023 and leads both the RTD and convenient nutrition category in tracked market share. ○ Total distribution points (“TDPs”) have exceeded the previous high in FY21. ○ Household penetration continues to increase quarter-over-quarter (+0.8 points in Q3) as shake assortment improves and powder growth accelerates. ● Dymatize Q3 FY2023 powder consumption continues to experience strong growth (+39%)2. ○ Market share and household penetration have reached new all-time highs as demand drivers continue to win with consumers. ○ TDPs also reached a new record high for the second quarter in a row. Notes: 1. U.S. IRI Multi Outlet + Convenience 13 weeks ended July 2, 2023. 2. U.S. IRI Multi Outlet + Convenience 13 and 52 weeks ended July 2, 2023 and management estimates of untracked channels for the 13 and 52 weeks ended July 2,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Liquids Category Continues to Outpace Historical Growth Rates Liquids Category Growth Rate L13 +21% L52 +18% YOY % Δ Historical growth 5% $%Chg vs YA: Notes: U.S. IRI Multi Outlet + Convenience. 6 8 10 10 10 12 13 20 19 19 24 22 20 23 19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Premier Protein RTD Shake Growth Accelerates Across All Channels 7Notes: U.S. IRI Multi Outlet + Convenience 13 and 52 weeks ended July 2, 2023 and management estimates of untracked channels for the 13 and 52 weeks ended July 2, 2023. Premier Protein RTD Shakes Sales vs. Prior Year Channel 13 Weeks 52 Weeks Club +19.3% +9.2% Mass +46.1% +33.8% Food +28.1% +21.1% ECommerce +40.5% +1.0% Total Consumption (tracked + untracked channels) +26.8% +13.3% Total Tracked +35.5% +21.9% Total Untracked +17.6% +4.8%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Premier Protein RTD Shake Consumption Reaches All-Time High Behind Velocity and Distribution Increases Notes: U.S. IRI Multi Outlet + Convenience and management estimates of untracked channels.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9Notes: U.S. IRI Multi Outlet + Convenience and management estimates of untracked channels. Q3 FY2023 Consumption and Shipments Are Balanced Trade Inventory Increase, Seasonality Impact Consumption Outpaced Shipments Trade Inventory Increase Trade Inventory Increase Consumption Outpaced Shipments Premier Protein RTD Shakes Consumption vs. Shipments (13 Week Quarters) Consumption Outpaced Shipments Trade Inventory Increase, Seasonality Impact Consumption in line with Shipments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Premier Protein RTD Shake TDPs Reach All-Time Highs Notes: U.S. IRI Multi Outlet + Convenience.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Numerator HH Panel 52 weeks ending 7/2/2023. Liquids refers to the liquid sub-category of the convenient nutrition category. Calendar Year (“CY”). Numerator metrics such as penetration are subject to potential restatement or revisions due to market definition changes or late reporters. 11 11.5 14.2 16.5 13.8 15.0 11.1 13.8 15.9 13.3 14.3 0.0 2.0 4.0 6.0 8.0 10.0 12.0 14.0 16.0 18.0 CY 2019 CY 2020 CY 2021 CY 2022 52 W/E 7/2/23 Premier Protein Total Brand and RTD Shake Penetration HH Pen - Premier Protein Brand HH Pen - Premier Protein RTD Shakes 30g Shake Repeat Rate 30g Shake Buy Rate 53% $76 51% $74 51% $78 49% $79 49% $81 Liquids 37.4 HH Pen Liquids 43.1 HH PenLiquids 40.8 HH Pen +23% +24% +16% +15% -16% -16% +1% 0% Premier Protein Household Penetration Continues to Grow vs. CY 2022 Behind Flavor Reintroduction and Powder Acceleration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Premier Protein RTD Shakes Share Accelerates on Flavor Reintroduction Monthly Premier Protein RTD Shakes $ Share % Notes: U.S. IRI Multi Outlet + Convenience.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 Tracked and untracked consumption represents ~65% of total global business Notes: U.S. IRI Multi Outlet + Convenience 13 and 52 weeks ended July 2, 2023 and management estimates of untracked channels for the 13 and 52 weeks ended July 2, 2023. Dymatize Powders Continue Strong Growth Dymatize Powders $ Sales vs. Prior Year Channel 13 Weeks 52 Weeks eCommerce +37.2% +25.2% Specialty/All Other -3.6% +24.8% Mass +71.8% +76.0% Club +42.9% -49.5% Food +70.4% +88.8% Total Consumption (tracked + untracked channels) +38.6% +29.9% Total Tracked +68.9% +41.5% Total Untracked +24.3% +24.4%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Dymatize Powders Continue Strong Track Record of Growth Driven by Distribution Gains, Promotion and Media Notes: U.S. IRI Multi Outlet + Convenience and management estimates of untracked channels.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Dymatize Powder TDPs Reach All-Time Highs Notes: U.S. IRI Multi Outlet + Convenience.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3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33" w:before="0" w:after="0"/>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 99.3</w:t>
      </w:r>
    </w:p>
    <w:p>
      <w:pPr>
        <w:pStyle w:val="TextBody"/>
        <w:bidi w:val="0"/>
        <w:spacing w:before="0" w:after="0"/>
        <w:jc w:val="left"/>
        <w:rPr/>
      </w:pPr>
      <w:r>
        <w:rPr/>
      </w:r>
    </w:p>
    <w:p>
      <w:pPr>
        <w:pStyle w:val="TextBody"/>
        <w:bidi w:val="0"/>
        <w:spacing w:before="0" w:after="0"/>
        <w:jc w:val="left"/>
        <w:rPr/>
      </w:pPr>
      <w:r>
        <w:rPr/>
        <w:drawing>
          <wp:inline distT="0" distB="0" distL="0" distR="0">
            <wp:extent cx="1657350" cy="790575"/>
            <wp:effectExtent l="0" t="0" r="0" b="0"/>
            <wp:docPr id="3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9" descr=""/>
                    <pic:cNvPicPr>
                      <a:picLocks noChangeAspect="1" noChangeArrowheads="1"/>
                    </pic:cNvPicPr>
                  </pic:nvPicPr>
                  <pic:blipFill>
                    <a:blip r:embed="rId20"/>
                    <a:stretch>
                      <a:fillRect/>
                    </a:stretch>
                  </pic:blipFill>
                  <pic:spPr bwMode="auto">
                    <a:xfrm>
                      <a:off x="0" y="0"/>
                      <a:ext cx="1657350" cy="790575"/>
                    </a:xfrm>
                    <a:prstGeom prst="rect">
                      <a:avLst/>
                    </a:prstGeom>
                  </pic:spPr>
                </pic:pic>
              </a:graphicData>
            </a:graphic>
          </wp:inline>
        </w:drawing>
      </w:r>
    </w:p>
    <w:p>
      <w:pPr>
        <w:pStyle w:val="TextBody"/>
        <w:bidi w:val="0"/>
        <w:spacing w:lineRule="auto" w:line="333" w:before="0" w:after="0"/>
        <w:jc w:val="center"/>
        <w:rPr>
          <w:rFonts w:ascii="Times New Roman;sans-serif" w:hAnsi="Times New Roman;sans-serif"/>
          <w:b/>
          <w:color w:val="000000"/>
          <w:sz w:val="28"/>
        </w:rPr>
      </w:pPr>
      <w:r>
        <w:rPr>
          <w:rFonts w:ascii="Times New Roman;sans-serif" w:hAnsi="Times New Roman;sans-serif"/>
          <w:b/>
          <w:color w:val="000000"/>
          <w:sz w:val="28"/>
        </w:rPr>
        <w:t>BellRing Brands Appoints Shawn Conway to Board of Directors</w:t>
      </w:r>
    </w:p>
    <w:p>
      <w:pPr>
        <w:pStyle w:val="TextBody"/>
        <w:bidi w:val="0"/>
        <w:spacing w:before="0" w:after="0"/>
        <w:jc w:val="center"/>
        <w:rPr/>
      </w:pPr>
      <w:r>
        <w:rPr/>
      </w:r>
    </w:p>
    <w:p>
      <w:pPr>
        <w:pStyle w:val="TextBody"/>
        <w:bidi w:val="0"/>
        <w:spacing w:lineRule="auto" w:line="333" w:before="0" w:after="240"/>
        <w:jc w:val="left"/>
        <w:rPr/>
      </w:pPr>
      <w:r>
        <w:rPr>
          <w:rFonts w:ascii="Times New Roman;sans-serif" w:hAnsi="Times New Roman;sans-serif"/>
          <w:b/>
          <w:color w:val="000000"/>
          <w:sz w:val="20"/>
        </w:rPr>
        <w:t>St. Louis - August 7, 2023</w:t>
      </w:r>
      <w:r>
        <w:rPr>
          <w:color w:val="000000"/>
        </w:rPr>
        <w:t xml:space="preserve"> </w:t>
      </w:r>
      <w:r>
        <w:rPr>
          <w:rFonts w:ascii="Times New Roman;sans-serif" w:hAnsi="Times New Roman;sans-serif"/>
          <w:b w:val="false"/>
          <w:color w:val="000000"/>
          <w:sz w:val="20"/>
        </w:rPr>
        <w:t xml:space="preserve">- BellRing Brands, Inc. (NYSE:BRBR) (“BellRing”), a holding company operating in the global convenient nutrition category, today announced that Shawn Conway has been appointed to its Board of Directors (the “Board”) and the Audit Committee, effective October 1, 2023. With the addition of Mr. Conway, the Board will consist of seven members. </w:t>
      </w:r>
    </w:p>
    <w:p>
      <w:pPr>
        <w:pStyle w:val="TextBody"/>
        <w:bidi w:val="0"/>
        <w:spacing w:lineRule="auto" w:line="333"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Mr. Conway is a seasoned executive who brings a wealth of experience to the Board, with over thirty years of experience in leadership roles across several consumer product categories with high-growth, branded consumer products and businesses. Mr. Conway has held multiple positions in general management, operations, supply chain and finance in high-growth, premium-branded specialty food and beverage, and consumer packaged goods companies. </w:t>
      </w:r>
    </w:p>
    <w:p>
      <w:pPr>
        <w:pStyle w:val="TextBody"/>
        <w:bidi w:val="0"/>
        <w:spacing w:lineRule="auto" w:line="333"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Mr. Conway currently serves as Chief Executive Officer of Ste. Michelle Wine Estates, the largest winery in the Pacific Northwest, leading more than two dozen winery brands across three states. Prior to joining Ste. Michelle Wine Estates, Mr. Conway served in various leadership positions across a 12-year tenure at Peet’s Coffee, Inc., culminating as Chief Executive Officer. Prior to joining Peet’s Coffee, Inc., he served as Senior Vice President of Operations at SKYY Spirits, where he spent nearly a decade of his career. Mr. Conway earned his Bachelor of Science degree in Commerce from Santa Clara University.</w:t>
      </w:r>
    </w:p>
    <w:p>
      <w:pPr>
        <w:pStyle w:val="TextBody"/>
        <w:bidi w:val="0"/>
        <w:spacing w:lineRule="auto" w:line="333"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Mr. Conway currently serves on the Board of Directors of SAMBAZON, an acronym for Sustainable Management of the Brazilian Amazon, a leading supplier of certified fair trade and organic Acai. Mr. Conway previously served on the Board of Directors of Peet’s China Inc., Intelligentsia Coffee Inc., Stumptown Coffee Inc. and Mighty Leaf Tea Inc. In addition, Mr. Conway served as the Chairman for the Boards of Peet’s China Inc., Intelligentsia Coffee Inc., Stumptown Coffee Inc. and Mighty Leaf Tea Inc., for various years while serving as a director on these boards.</w:t>
      </w:r>
    </w:p>
    <w:p>
      <w:pPr>
        <w:pStyle w:val="TextBody"/>
        <w:bidi w:val="0"/>
        <w:spacing w:lineRule="auto" w:line="333" w:before="0" w:after="240"/>
        <w:jc w:val="left"/>
        <w:rPr>
          <w:rFonts w:ascii="Times New Roman;sans-serif" w:hAnsi="Times New Roman;sans-serif"/>
          <w:b/>
          <w:color w:val="000000"/>
          <w:sz w:val="20"/>
        </w:rPr>
      </w:pPr>
      <w:r>
        <w:rPr>
          <w:rFonts w:ascii="Times New Roman;sans-serif" w:hAnsi="Times New Roman;sans-serif"/>
          <w:b/>
          <w:color w:val="000000"/>
          <w:sz w:val="20"/>
        </w:rPr>
        <w:t>About BellRing Brands, Inc.</w:t>
      </w:r>
    </w:p>
    <w:p>
      <w:pPr>
        <w:pStyle w:val="TextBody"/>
        <w:bidi w:val="0"/>
        <w:spacing w:lineRule="auto" w:line="333" w:before="0" w:after="240"/>
        <w:jc w:val="left"/>
        <w:rPr/>
      </w:pPr>
      <w:r>
        <w:rPr>
          <w:rFonts w:ascii="Times New Roman;sans-serif" w:hAnsi="Times New Roman;sans-serif"/>
          <w:b w:val="false"/>
          <w:color w:val="000000"/>
          <w:sz w:val="20"/>
        </w:rPr>
        <w:t xml:space="preserve">BellRing Brands, Inc. is a rapidly growing leader in the global convenient nutrition category offering ready-to-drink shake and powder protein products. Its primary brands, </w:t>
      </w:r>
      <w:r>
        <w:rPr>
          <w:rFonts w:ascii="Times New Roman;sans-serif" w:hAnsi="Times New Roman;sans-serif"/>
          <w:b w:val="false"/>
          <w:i/>
          <w:color w:val="000000"/>
          <w:sz w:val="20"/>
        </w:rPr>
        <w:t>Premier Protein</w:t>
      </w:r>
      <w:r>
        <w:rPr>
          <w:rFonts w:ascii="Times New Roman;sans-serif" w:hAnsi="Times New Roman;sans-serif"/>
          <w:b w:val="false"/>
          <w:color w:val="000000"/>
          <w:sz w:val="20"/>
        </w:rPr>
        <w:t xml:space="preserve">® and </w:t>
      </w:r>
      <w:r>
        <w:rPr>
          <w:rFonts w:ascii="Times New Roman;sans-serif" w:hAnsi="Times New Roman;sans-serif"/>
          <w:b w:val="false"/>
          <w:i/>
          <w:color w:val="000000"/>
          <w:sz w:val="20"/>
        </w:rPr>
        <w:t>Dymatize</w:t>
      </w:r>
      <w:r>
        <w:rPr>
          <w:rFonts w:ascii="Times New Roman;sans-serif" w:hAnsi="Times New Roman;sans-serif"/>
          <w:b w:val="false"/>
          <w:color w:val="000000"/>
          <w:sz w:val="20"/>
        </w:rPr>
        <w:t>®, appeal to a broad range of consumers and are distributed across a diverse network of channels including club, food, drug, mass, eCommerce, specialty and convenience. BellRing’s commitment to consumers is to strive to make highly effective products that deliver best-in-class nutritionals and superior taste. For more information, visit www.bellring.com.</w:t>
      </w:r>
    </w:p>
    <w:p>
      <w:pPr>
        <w:pStyle w:val="TextBody"/>
        <w:bidi w:val="0"/>
        <w:spacing w:lineRule="auto" w:line="333" w:before="0" w:after="0"/>
        <w:jc w:val="left"/>
        <w:rPr>
          <w:rFonts w:ascii="Times New Roman;sans-serif" w:hAnsi="Times New Roman;sans-serif"/>
          <w:b/>
          <w:color w:val="000000"/>
          <w:sz w:val="20"/>
        </w:rPr>
      </w:pPr>
      <w:r>
        <w:rPr>
          <w:rFonts w:ascii="Times New Roman;sans-serif" w:hAnsi="Times New Roman;sans-serif"/>
          <w:b/>
          <w:color w:val="000000"/>
          <w:sz w:val="20"/>
        </w:rPr>
        <w:t>Contact:</w:t>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Investor Relations</w:t>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Jennifer Meyer</w:t>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jennifer.meyer@bellringbrands.com</w:t>
      </w:r>
    </w:p>
    <w:p>
      <w:pPr>
        <w:pStyle w:val="TextBody"/>
        <w:bidi w:val="0"/>
        <w:spacing w:lineRule="auto" w:line="333"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(415) 814-9388</w:t>
      </w:r>
    </w:p>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2.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9112</Words>
  <Characters>52322</Characters>
  <CharactersWithSpaces>61156</CharactersWithSpaces>
  <Paragraphs>701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brbrexh992-brbr3q23suppl</dc:title>
</cp:coreProperties>
</file>