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kswfform4_157445710490550"/>
      <w:bookmarkEnd w:id="0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952"/>
        <w:gridCol w:w="6170"/>
        <w:gridCol w:w="2057"/>
      </w:tblGrid>
      <w:tr>
        <w:trPr/>
        <w:tc>
          <w:tcPr>
            <w:tcW w:w="2312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6170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57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37"/>
            </w:tblGrid>
            <w:tr>
              <w:trPr/>
              <w:tc>
                <w:tcPr>
                  <w:tcW w:w="1937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88"/>
                    <w:gridCol w:w="693"/>
                  </w:tblGrid>
                  <w:tr>
                    <w:trPr/>
                    <w:tc>
                      <w:tcPr>
                        <w:tcW w:w="118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81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8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37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2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6170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57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88"/>
        <w:gridCol w:w="3689"/>
        <w:gridCol w:w="3162"/>
      </w:tblGrid>
      <w:tr>
        <w:trPr/>
        <w:tc>
          <w:tcPr>
            <w:tcW w:w="3688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68"/>
            </w:tblGrid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SINGH ROBIN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68"/>
            </w:tblGrid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BELLRING BRANDS, INC.</w:t>
                  </w:r>
                </w:p>
              </w:tc>
            </w:tr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2503 S. HANLEY ROAD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ST. LOUIS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MO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63144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89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BELLRING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BRBR</w:t>
            </w:r>
            <w:r>
              <w:rPr/>
              <w:t xml:space="preserve"> ] </w:t>
            </w:r>
          </w:p>
        </w:tc>
        <w:tc>
          <w:tcPr>
            <w:tcW w:w="31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55"/>
              <w:gridCol w:w="1066"/>
              <w:gridCol w:w="455"/>
              <w:gridCol w:w="1066"/>
            </w:tblGrid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30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SVP, OPERATIONS OF PNC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88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11/20/2019</w:t>
            </w:r>
            <w:r>
              <w:rPr/>
              <w:t xml:space="preserve"> </w:t>
            </w:r>
          </w:p>
        </w:tc>
        <w:tc>
          <w:tcPr>
            <w:tcW w:w="31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688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55"/>
              <w:gridCol w:w="2587"/>
            </w:tblGrid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8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8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631"/>
        <w:gridCol w:w="903"/>
        <w:gridCol w:w="771"/>
        <w:gridCol w:w="600"/>
        <w:gridCol w:w="357"/>
        <w:gridCol w:w="992"/>
        <w:gridCol w:w="479"/>
        <w:gridCol w:w="641"/>
        <w:gridCol w:w="1204"/>
        <w:gridCol w:w="1026"/>
        <w:gridCol w:w="935"/>
      </w:tblGrid>
      <w:tr>
        <w:trPr>
          <w:tblHeader w:val="true"/>
        </w:trPr>
        <w:tc>
          <w:tcPr>
            <w:tcW w:w="10539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63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63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63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11/20/2019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10,645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2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10,645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539"/>
      </w:tblGrid>
      <w:tr>
        <w:trPr/>
        <w:tc>
          <w:tcPr>
            <w:tcW w:w="1053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53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BellRing Brands, Inc. Class A common stock. The restricted stock units were granted under the BellRing Brands, Inc. 2019 Long-Term Incentive Plan in a transaction exempt under Rule 16b-3 and vest in equal increments over three years.</w:t>
            </w:r>
          </w:p>
        </w:tc>
      </w:tr>
      <w:tr>
        <w:trPr/>
        <w:tc>
          <w:tcPr>
            <w:tcW w:w="1053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53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323"/>
        <w:gridCol w:w="2108"/>
        <w:gridCol w:w="2108"/>
      </w:tblGrid>
      <w:tr>
        <w:trPr/>
        <w:tc>
          <w:tcPr>
            <w:tcW w:w="63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Craig L. Rosenthal, Attorney-in-Fact</w:t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11/22/2019</w:t>
            </w:r>
          </w:p>
        </w:tc>
      </w:tr>
      <w:tr>
        <w:trPr/>
        <w:tc>
          <w:tcPr>
            <w:tcW w:w="63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sectPr>
      <w:type w:val="nextPage"/>
      <w:pgSz w:w="11906" w:h="16838"/>
      <w:pgMar w:left="216" w:right="216" w:header="0" w:top="216" w:footer="0" w:bottom="216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../../../../cgi-bin/browse-edgar%3Faction=getcompany&amp;CIK=0001790255" TargetMode="External"/><Relationship Id="rId4" Type="http://schemas.openxmlformats.org/officeDocument/2006/relationships/hyperlink" Target="../../../../cgi-bin/browse-edgar%3Faction=getcompany&amp;CIK=0001772016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578</Words>
  <CharactersWithSpaces>3644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