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drawing>
          <wp:anchor simplePos="0" relativeHeight="251657728" behindDoc="1" locked="0" layoutInCell="0" allowOverlap="1">
            <wp:simplePos x="0" y="0"/>
            <wp:positionH relativeFrom="page">
              <wp:posOffset>339725</wp:posOffset>
            </wp:positionH>
            <wp:positionV relativeFrom="page">
              <wp:posOffset>597535</wp:posOffset>
            </wp:positionV>
            <wp:extent cx="6143625" cy="5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43625" cy="5715"/>
                    </a:xfrm>
                    <a:prstGeom prst="rect">
                      <a:avLst/>
                    </a:prstGeom>
                    <a:noFill/>
                  </pic:spPr>
                </pic:pic>
              </a:graphicData>
            </a:graphic>
          </wp:anchor>
        </w:drawing>
        <w:drawing>
          <wp:anchor simplePos="0" relativeHeight="251657728" behindDoc="1" locked="0" layoutInCell="0" allowOverlap="1">
            <wp:simplePos x="0" y="0"/>
            <wp:positionH relativeFrom="page">
              <wp:posOffset>339725</wp:posOffset>
            </wp:positionH>
            <wp:positionV relativeFrom="page">
              <wp:posOffset>614680</wp:posOffset>
            </wp:positionV>
            <wp:extent cx="6143625" cy="57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43625" cy="5715"/>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9"/>
          <w:szCs w:val="19"/>
          <w:b w:val="1"/>
          <w:bCs w:val="1"/>
          <w:color w:val="auto"/>
        </w:rPr>
        <w:t>SECURITIES AND EXCHANGE COMMISSION</w:t>
      </w:r>
    </w:p>
    <w:p>
      <w:pPr>
        <w:spacing w:after="0" w:line="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22" w:lineRule="exact"/>
        <w:rPr>
          <w:sz w:val="24"/>
          <w:szCs w:val="24"/>
          <w:color w:val="auto"/>
        </w:rPr>
      </w:pPr>
    </w:p>
    <w:p>
      <w:pPr>
        <w:ind w:left="4860"/>
        <w:spacing w:after="0"/>
        <w:rPr>
          <w:sz w:val="20"/>
          <w:szCs w:val="20"/>
          <w:color w:val="auto"/>
        </w:rPr>
      </w:pPr>
      <w:r>
        <w:rPr>
          <w:rFonts w:ascii="Times New Roman" w:cs="Times New Roman" w:eastAsia="Times New Roman" w:hAnsi="Times New Roman"/>
          <w:sz w:val="14"/>
          <w:szCs w:val="14"/>
          <w:color w:val="auto"/>
        </w:rPr>
        <w:t>______________________</w:t>
      </w:r>
    </w:p>
    <w:p>
      <w:pPr>
        <w:spacing w:after="0" w:line="5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FORM 8-K/A</w:t>
      </w:r>
    </w:p>
    <w:p>
      <w:pPr>
        <w:spacing w:after="0" w:line="127" w:lineRule="exact"/>
        <w:rPr>
          <w:sz w:val="24"/>
          <w:szCs w:val="24"/>
          <w:color w:val="auto"/>
        </w:rPr>
      </w:pPr>
    </w:p>
    <w:p>
      <w:pPr>
        <w:ind w:left="4980"/>
        <w:spacing w:after="0"/>
        <w:rPr>
          <w:sz w:val="20"/>
          <w:szCs w:val="20"/>
          <w:color w:val="auto"/>
        </w:rPr>
      </w:pPr>
      <w:r>
        <w:rPr>
          <w:rFonts w:ascii="Times New Roman" w:cs="Times New Roman" w:eastAsia="Times New Roman" w:hAnsi="Times New Roman"/>
          <w:sz w:val="14"/>
          <w:szCs w:val="14"/>
          <w:b w:val="1"/>
          <w:bCs w:val="1"/>
          <w:color w:val="auto"/>
        </w:rPr>
        <w:t>CURRENT REPORT</w:t>
      </w:r>
    </w:p>
    <w:p>
      <w:pPr>
        <w:spacing w:after="0" w:line="28"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w:t>
      </w:r>
    </w:p>
    <w:p>
      <w:pPr>
        <w:spacing w:after="0" w:line="10" w:lineRule="exact"/>
        <w:rPr>
          <w:sz w:val="24"/>
          <w:szCs w:val="24"/>
          <w:color w:val="auto"/>
        </w:rPr>
      </w:pPr>
    </w:p>
    <w:p>
      <w:pPr>
        <w:ind w:left="4660"/>
        <w:spacing w:after="0"/>
        <w:rPr>
          <w:sz w:val="20"/>
          <w:szCs w:val="20"/>
          <w:color w:val="auto"/>
        </w:rPr>
      </w:pPr>
      <w:r>
        <w:rPr>
          <w:rFonts w:ascii="Times New Roman" w:cs="Times New Roman" w:eastAsia="Times New Roman" w:hAnsi="Times New Roman"/>
          <w:sz w:val="14"/>
          <w:szCs w:val="14"/>
          <w:b w:val="1"/>
          <w:bCs w:val="1"/>
          <w:color w:val="auto"/>
        </w:rPr>
        <w:t>Securities Exchange Act of 1934</w:t>
      </w:r>
    </w:p>
    <w:p>
      <w:pPr>
        <w:spacing w:after="0" w:line="1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2"/>
          <w:szCs w:val="12"/>
          <w:color w:val="auto"/>
        </w:rPr>
        <w:t>Date of Report (Date of earliest event reported): August 4,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3086735</wp:posOffset>
            </wp:positionH>
            <wp:positionV relativeFrom="paragraph">
              <wp:posOffset>79375</wp:posOffset>
            </wp:positionV>
            <wp:extent cx="1000125" cy="5257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00125" cy="5257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1"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4"/>
          <w:szCs w:val="24"/>
          <w:b w:val="1"/>
          <w:bCs w:val="1"/>
          <w:color w:val="auto"/>
        </w:rPr>
        <w:t>BellRing Brands, Inc.</w:t>
      </w:r>
    </w:p>
    <w:p>
      <w:pPr>
        <w:spacing w:after="0" w:line="103" w:lineRule="exact"/>
        <w:rPr>
          <w:sz w:val="24"/>
          <w:szCs w:val="24"/>
          <w:color w:val="auto"/>
        </w:rPr>
      </w:pPr>
    </w:p>
    <w:tbl>
      <w:tblPr>
        <w:tblLayout w:type="fixed"/>
        <w:tblInd w:w="1280" w:type="dxa"/>
        <w:tblCellMar>
          <w:top w:w="0" w:type="dxa"/>
          <w:left w:w="0" w:type="dxa"/>
          <w:bottom w:w="0" w:type="dxa"/>
          <w:right w:w="0" w:type="dxa"/>
        </w:tblCellMar>
      </w:tblPr>
      <w:tr>
        <w:trPr>
          <w:trHeight w:val="155"/>
        </w:trPr>
        <w:tc>
          <w:tcPr>
            <w:tcW w:w="2620" w:type="dxa"/>
            <w:vAlign w:val="bottom"/>
          </w:tcPr>
          <w:p>
            <w:pPr>
              <w:spacing w:after="0"/>
              <w:rPr>
                <w:sz w:val="13"/>
                <w:szCs w:val="13"/>
                <w:color w:val="auto"/>
              </w:rPr>
            </w:pP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rPr>
              <w:t>(Exact name of registrant as specified in its charter)</w:t>
            </w:r>
          </w:p>
        </w:tc>
        <w:tc>
          <w:tcPr>
            <w:tcW w:w="2280" w:type="dxa"/>
            <w:vAlign w:val="bottom"/>
          </w:tcPr>
          <w:p>
            <w:pPr>
              <w:spacing w:after="0"/>
              <w:rPr>
                <w:sz w:val="13"/>
                <w:szCs w:val="13"/>
                <w:color w:val="auto"/>
              </w:rPr>
            </w:pPr>
          </w:p>
        </w:tc>
      </w:tr>
      <w:tr>
        <w:trPr>
          <w:trHeight w:val="184"/>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Delaware</w:t>
            </w:r>
          </w:p>
        </w:tc>
        <w:tc>
          <w:tcPr>
            <w:tcW w:w="1340" w:type="dxa"/>
            <w:vAlign w:val="bottom"/>
          </w:tcPr>
          <w:p>
            <w:pPr>
              <w:spacing w:after="0"/>
              <w:rPr>
                <w:sz w:val="16"/>
                <w:szCs w:val="16"/>
                <w:color w:val="auto"/>
              </w:rPr>
            </w:pPr>
          </w:p>
        </w:tc>
        <w:tc>
          <w:tcPr>
            <w:tcW w:w="2260" w:type="dxa"/>
            <w:vAlign w:val="bottom"/>
          </w:tcPr>
          <w:p>
            <w:pPr>
              <w:jc w:val="center"/>
              <w:ind w:right="1394"/>
              <w:spacing w:after="0"/>
              <w:rPr>
                <w:sz w:val="20"/>
                <w:szCs w:val="20"/>
                <w:color w:val="auto"/>
              </w:rPr>
            </w:pPr>
            <w:r>
              <w:rPr>
                <w:rFonts w:ascii="Times New Roman" w:cs="Times New Roman" w:eastAsia="Times New Roman" w:hAnsi="Times New Roman"/>
                <w:sz w:val="13"/>
                <w:szCs w:val="13"/>
                <w:b w:val="1"/>
                <w:bCs w:val="1"/>
                <w:color w:val="auto"/>
                <w:w w:val="99"/>
              </w:rPr>
              <w:t>001-39093</w:t>
            </w:r>
          </w:p>
        </w:tc>
        <w:tc>
          <w:tcPr>
            <w:tcW w:w="2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87-3296749</w:t>
            </w:r>
          </w:p>
        </w:tc>
      </w:tr>
      <w:tr>
        <w:trPr>
          <w:trHeight w:val="158"/>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2"/>
                <w:szCs w:val="12"/>
                <w:color w:val="auto"/>
                <w:w w:val="99"/>
              </w:rPr>
              <w:t>(State or other jurisdiction of incorporation)</w:t>
            </w:r>
          </w:p>
        </w:tc>
        <w:tc>
          <w:tcPr>
            <w:tcW w:w="3600" w:type="dxa"/>
            <w:vAlign w:val="bottom"/>
            <w:gridSpan w:val="2"/>
          </w:tcPr>
          <w:p>
            <w:pPr>
              <w:jc w:val="center"/>
              <w:ind w:right="54"/>
              <w:spacing w:after="0"/>
              <w:rPr>
                <w:sz w:val="20"/>
                <w:szCs w:val="20"/>
                <w:color w:val="auto"/>
              </w:rPr>
            </w:pPr>
            <w:r>
              <w:rPr>
                <w:rFonts w:ascii="Times New Roman" w:cs="Times New Roman" w:eastAsia="Times New Roman" w:hAnsi="Times New Roman"/>
                <w:sz w:val="12"/>
                <w:szCs w:val="12"/>
                <w:color w:val="auto"/>
                <w:w w:val="99"/>
              </w:rPr>
              <w:t>(Commission File Number)</w:t>
            </w:r>
          </w:p>
        </w:tc>
        <w:tc>
          <w:tcPr>
            <w:tcW w:w="2280" w:type="dxa"/>
            <w:vAlign w:val="bottom"/>
          </w:tcPr>
          <w:p>
            <w:pPr>
              <w:jc w:val="center"/>
              <w:ind w:left="557"/>
              <w:spacing w:after="0"/>
              <w:rPr>
                <w:sz w:val="20"/>
                <w:szCs w:val="20"/>
                <w:color w:val="auto"/>
              </w:rPr>
            </w:pPr>
            <w:r>
              <w:rPr>
                <w:rFonts w:ascii="Times New Roman" w:cs="Times New Roman" w:eastAsia="Times New Roman" w:hAnsi="Times New Roman"/>
                <w:sz w:val="12"/>
                <w:szCs w:val="12"/>
                <w:color w:val="auto"/>
              </w:rPr>
              <w:t>(IRS Employer Identification No.)</w:t>
            </w:r>
          </w:p>
        </w:tc>
      </w:tr>
      <w:tr>
        <w:trPr>
          <w:trHeight w:val="391"/>
        </w:trPr>
        <w:tc>
          <w:tcPr>
            <w:tcW w:w="2620" w:type="dxa"/>
            <w:vAlign w:val="bottom"/>
          </w:tcPr>
          <w:p>
            <w:pPr>
              <w:jc w:val="center"/>
              <w:ind w:right="457"/>
              <w:spacing w:after="0"/>
              <w:rPr>
                <w:sz w:val="20"/>
                <w:szCs w:val="20"/>
                <w:color w:val="auto"/>
              </w:rPr>
            </w:pPr>
            <w:r>
              <w:rPr>
                <w:rFonts w:ascii="Times New Roman" w:cs="Times New Roman" w:eastAsia="Times New Roman" w:hAnsi="Times New Roman"/>
                <w:sz w:val="13"/>
                <w:szCs w:val="13"/>
                <w:b w:val="1"/>
                <w:bCs w:val="1"/>
                <w:color w:val="auto"/>
              </w:rPr>
              <w:t>2503 S. Hanley Road</w:t>
            </w:r>
          </w:p>
        </w:tc>
        <w:tc>
          <w:tcPr>
            <w:tcW w:w="13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St. Louis</w:t>
            </w:r>
          </w:p>
        </w:tc>
        <w:tc>
          <w:tcPr>
            <w:tcW w:w="2260" w:type="dxa"/>
            <w:vAlign w:val="bottom"/>
          </w:tcPr>
          <w:p>
            <w:pPr>
              <w:ind w:left="1060"/>
              <w:spacing w:after="0"/>
              <w:rPr>
                <w:sz w:val="20"/>
                <w:szCs w:val="20"/>
                <w:color w:val="auto"/>
              </w:rPr>
            </w:pPr>
            <w:r>
              <w:rPr>
                <w:rFonts w:ascii="Times New Roman" w:cs="Times New Roman" w:eastAsia="Times New Roman" w:hAnsi="Times New Roman"/>
                <w:sz w:val="13"/>
                <w:szCs w:val="13"/>
                <w:b w:val="1"/>
                <w:bCs w:val="1"/>
                <w:color w:val="auto"/>
              </w:rPr>
              <w:t>Missouri</w:t>
            </w:r>
          </w:p>
        </w:tc>
        <w:tc>
          <w:tcPr>
            <w:tcW w:w="2280" w:type="dxa"/>
            <w:vAlign w:val="bottom"/>
          </w:tcPr>
          <w:p>
            <w:pPr>
              <w:jc w:val="right"/>
              <w:ind w:right="597"/>
              <w:spacing w:after="0"/>
              <w:rPr>
                <w:sz w:val="20"/>
                <w:szCs w:val="20"/>
                <w:color w:val="auto"/>
              </w:rPr>
            </w:pPr>
            <w:r>
              <w:rPr>
                <w:rFonts w:ascii="Times New Roman" w:cs="Times New Roman" w:eastAsia="Times New Roman" w:hAnsi="Times New Roman"/>
                <w:sz w:val="13"/>
                <w:szCs w:val="13"/>
                <w:b w:val="1"/>
                <w:bCs w:val="1"/>
                <w:color w:val="auto"/>
              </w:rPr>
              <w:t>63144</w:t>
            </w:r>
          </w:p>
        </w:tc>
      </w:tr>
      <w:tr>
        <w:trPr>
          <w:trHeight w:val="158"/>
        </w:trPr>
        <w:tc>
          <w:tcPr>
            <w:tcW w:w="3960" w:type="dxa"/>
            <w:vAlign w:val="bottom"/>
            <w:gridSpan w:val="2"/>
          </w:tcPr>
          <w:p>
            <w:pPr>
              <w:ind w:left="1720"/>
              <w:spacing w:after="0"/>
              <w:rPr>
                <w:sz w:val="20"/>
                <w:szCs w:val="20"/>
                <w:color w:val="auto"/>
              </w:rPr>
            </w:pPr>
            <w:r>
              <w:rPr>
                <w:rFonts w:ascii="Times New Roman" w:cs="Times New Roman" w:eastAsia="Times New Roman" w:hAnsi="Times New Roman"/>
                <w:sz w:val="12"/>
                <w:szCs w:val="12"/>
                <w:color w:val="auto"/>
              </w:rPr>
              <w:t>(Address of Principal Executive Offices)</w:t>
            </w:r>
          </w:p>
        </w:tc>
        <w:tc>
          <w:tcPr>
            <w:tcW w:w="2260" w:type="dxa"/>
            <w:vAlign w:val="bottom"/>
          </w:tcPr>
          <w:p>
            <w:pPr>
              <w:spacing w:after="0"/>
              <w:rPr>
                <w:sz w:val="13"/>
                <w:szCs w:val="13"/>
                <w:color w:val="auto"/>
              </w:rPr>
            </w:pPr>
          </w:p>
        </w:tc>
        <w:tc>
          <w:tcPr>
            <w:tcW w:w="2280" w:type="dxa"/>
            <w:vAlign w:val="bottom"/>
          </w:tcPr>
          <w:p>
            <w:pPr>
              <w:jc w:val="center"/>
              <w:ind w:left="577"/>
              <w:spacing w:after="0"/>
              <w:rPr>
                <w:sz w:val="20"/>
                <w:szCs w:val="20"/>
                <w:color w:val="auto"/>
              </w:rPr>
            </w:pPr>
            <w:r>
              <w:rPr>
                <w:rFonts w:ascii="Times New Roman" w:cs="Times New Roman" w:eastAsia="Times New Roman" w:hAnsi="Times New Roman"/>
                <w:sz w:val="12"/>
                <w:szCs w:val="12"/>
                <w:color w:val="auto"/>
                <w:w w:val="98"/>
              </w:rPr>
              <w:t>(Zip Code)</w:t>
            </w:r>
          </w:p>
        </w:tc>
      </w:tr>
    </w:tbl>
    <w:p>
      <w:pPr>
        <w:spacing w:after="0" w:line="127"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12"/>
          <w:szCs w:val="12"/>
          <w:color w:val="auto"/>
        </w:rPr>
        <w:t xml:space="preserve">Registrant’s telephone number, including area code: </w:t>
      </w:r>
      <w:r>
        <w:rPr>
          <w:rFonts w:ascii="Times New Roman" w:cs="Times New Roman" w:eastAsia="Times New Roman" w:hAnsi="Times New Roman"/>
          <w:sz w:val="13"/>
          <w:szCs w:val="13"/>
          <w:b w:val="1"/>
          <w:bCs w:val="1"/>
          <w:color w:val="auto"/>
        </w:rPr>
        <w:t>(314) 644-7600</w:t>
      </w:r>
    </w:p>
    <w:p>
      <w:pPr>
        <w:spacing w:after="0" w:line="126"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color w:val="auto"/>
        </w:rPr>
        <w:t>Check the appropriate box below if the Form 8-K filing is intended to simultaneously satisfy the filing obligation of the registrant under any of the following provisions:</w:t>
      </w:r>
    </w:p>
    <w:p>
      <w:pPr>
        <w:spacing w:after="0" w:line="78" w:lineRule="exact"/>
        <w:rPr>
          <w:sz w:val="24"/>
          <w:szCs w:val="24"/>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Written communications pursuant to Rule 425 under the Securities Act (17 CFR 230.425)</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Soliciting material pursuant to Rule 14a-12 under the Exchange Act (17 CFR 240.14a-12)</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14d-2(b) under the Exchange Act (17 CFR 240.14d-2(b))</w:t>
      </w:r>
    </w:p>
    <w:p>
      <w:pPr>
        <w:spacing w:after="0" w:line="78" w:lineRule="exact"/>
        <w:rPr>
          <w:rFonts w:ascii="MS PGothic" w:cs="MS PGothic" w:eastAsia="MS PGothic" w:hAnsi="MS PGothic"/>
          <w:sz w:val="12"/>
          <w:szCs w:val="12"/>
          <w:color w:val="auto"/>
        </w:rPr>
      </w:pPr>
    </w:p>
    <w:p>
      <w:pPr>
        <w:ind w:left="440" w:hanging="232"/>
        <w:spacing w:after="0"/>
        <w:tabs>
          <w:tab w:leader="none" w:pos="440" w:val="left"/>
        </w:tabs>
        <w:numPr>
          <w:ilvl w:val="0"/>
          <w:numId w:val="1"/>
        </w:numPr>
        <w:rPr>
          <w:rFonts w:ascii="MS PGothic" w:cs="MS PGothic" w:eastAsia="MS PGothic" w:hAnsi="MS PGothic"/>
          <w:sz w:val="12"/>
          <w:szCs w:val="12"/>
          <w:color w:val="auto"/>
        </w:rPr>
      </w:pPr>
      <w:r>
        <w:rPr>
          <w:rFonts w:ascii="Times New Roman" w:cs="Times New Roman" w:eastAsia="Times New Roman" w:hAnsi="Times New Roman"/>
          <w:sz w:val="12"/>
          <w:szCs w:val="12"/>
          <w:color w:val="auto"/>
        </w:rPr>
        <w:t>Pre-commencement communications pursuant to Rule 13e-4(c)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55"/>
        </w:trPr>
        <w:tc>
          <w:tcPr>
            <w:tcW w:w="3700" w:type="dxa"/>
            <w:vAlign w:val="bottom"/>
            <w:gridSpan w:val="3"/>
          </w:tcPr>
          <w:p>
            <w:pPr>
              <w:spacing w:after="0"/>
              <w:rPr>
                <w:sz w:val="20"/>
                <w:szCs w:val="20"/>
                <w:color w:val="auto"/>
              </w:rPr>
            </w:pPr>
            <w:r>
              <w:rPr>
                <w:rFonts w:ascii="Times New Roman" w:cs="Times New Roman" w:eastAsia="Times New Roman" w:hAnsi="Times New Roman"/>
                <w:sz w:val="12"/>
                <w:szCs w:val="12"/>
                <w:color w:val="auto"/>
              </w:rPr>
              <w:t>Securities registered pursuant to Section 12(b) of the Act:</w:t>
            </w:r>
          </w:p>
        </w:tc>
        <w:tc>
          <w:tcPr>
            <w:tcW w:w="7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120" w:type="dxa"/>
            <w:vAlign w:val="bottom"/>
          </w:tcPr>
          <w:p>
            <w:pPr>
              <w:spacing w:after="0"/>
              <w:rPr>
                <w:sz w:val="13"/>
                <w:szCs w:val="13"/>
                <w:color w:val="auto"/>
              </w:rPr>
            </w:pPr>
          </w:p>
        </w:tc>
      </w:tr>
      <w:tr>
        <w:trPr>
          <w:trHeight w:val="144"/>
        </w:trPr>
        <w:tc>
          <w:tcPr>
            <w:tcW w:w="1420" w:type="dxa"/>
            <w:vAlign w:val="bottom"/>
          </w:tcPr>
          <w:p>
            <w:pPr>
              <w:spacing w:after="0"/>
              <w:rPr>
                <w:sz w:val="12"/>
                <w:szCs w:val="12"/>
                <w:color w:val="auto"/>
              </w:rPr>
            </w:pPr>
          </w:p>
        </w:tc>
        <w:tc>
          <w:tcPr>
            <w:tcW w:w="2280" w:type="dxa"/>
            <w:vAlign w:val="bottom"/>
            <w:gridSpan w:val="2"/>
          </w:tcPr>
          <w:p>
            <w:pPr>
              <w:jc w:val="center"/>
              <w:ind w:right="1420"/>
              <w:spacing w:after="0"/>
              <w:rPr>
                <w:sz w:val="20"/>
                <w:szCs w:val="20"/>
                <w:color w:val="auto"/>
              </w:rPr>
            </w:pPr>
            <w:r>
              <w:rPr>
                <w:rFonts w:ascii="Times New Roman" w:cs="Times New Roman" w:eastAsia="Times New Roman" w:hAnsi="Times New Roman"/>
                <w:sz w:val="12"/>
                <w:szCs w:val="12"/>
                <w:color w:val="auto"/>
                <w:w w:val="98"/>
              </w:rPr>
              <w:t>Title of each class</w:t>
            </w:r>
          </w:p>
        </w:tc>
        <w:tc>
          <w:tcPr>
            <w:tcW w:w="2480" w:type="dxa"/>
            <w:vAlign w:val="bottom"/>
            <w:gridSpan w:val="3"/>
          </w:tcPr>
          <w:p>
            <w:pPr>
              <w:jc w:val="center"/>
              <w:ind w:right="20"/>
              <w:spacing w:after="0"/>
              <w:rPr>
                <w:sz w:val="20"/>
                <w:szCs w:val="20"/>
                <w:color w:val="auto"/>
              </w:rPr>
            </w:pPr>
            <w:r>
              <w:rPr>
                <w:rFonts w:ascii="Times New Roman" w:cs="Times New Roman" w:eastAsia="Times New Roman" w:hAnsi="Times New Roman"/>
                <w:sz w:val="12"/>
                <w:szCs w:val="12"/>
                <w:color w:val="auto"/>
                <w:w w:val="98"/>
              </w:rPr>
              <w:t>Trading Symbol(s)</w:t>
            </w:r>
          </w:p>
        </w:tc>
        <w:tc>
          <w:tcPr>
            <w:tcW w:w="2920" w:type="dxa"/>
            <w:vAlign w:val="bottom"/>
            <w:gridSpan w:val="2"/>
          </w:tcPr>
          <w:p>
            <w:pPr>
              <w:jc w:val="center"/>
              <w:ind w:left="740"/>
              <w:spacing w:after="0"/>
              <w:rPr>
                <w:sz w:val="20"/>
                <w:szCs w:val="20"/>
                <w:color w:val="auto"/>
              </w:rPr>
            </w:pPr>
            <w:r>
              <w:rPr>
                <w:rFonts w:ascii="Times New Roman" w:cs="Times New Roman" w:eastAsia="Times New Roman" w:hAnsi="Times New Roman"/>
                <w:sz w:val="12"/>
                <w:szCs w:val="12"/>
                <w:color w:val="auto"/>
                <w:w w:val="99"/>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120" w:type="dxa"/>
            <w:vAlign w:val="bottom"/>
            <w:shd w:val="clear" w:color="auto" w:fill="000000"/>
          </w:tcPr>
          <w:p>
            <w:pPr>
              <w:spacing w:after="0" w:line="20" w:lineRule="exact"/>
              <w:rPr>
                <w:sz w:val="1"/>
                <w:szCs w:val="1"/>
                <w:color w:val="auto"/>
              </w:rPr>
            </w:pPr>
          </w:p>
        </w:tc>
      </w:tr>
      <w:tr>
        <w:trPr>
          <w:trHeight w:val="160"/>
        </w:trPr>
        <w:tc>
          <w:tcPr>
            <w:tcW w:w="3700" w:type="dxa"/>
            <w:vAlign w:val="bottom"/>
            <w:gridSpan w:val="3"/>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Common Stock, $0.01 par value per share</w:t>
            </w:r>
          </w:p>
        </w:tc>
        <w:tc>
          <w:tcPr>
            <w:tcW w:w="780" w:type="dxa"/>
            <w:vAlign w:val="bottom"/>
          </w:tcPr>
          <w:p>
            <w:pPr>
              <w:spacing w:after="0"/>
              <w:rPr>
                <w:sz w:val="13"/>
                <w:szCs w:val="13"/>
                <w:color w:val="auto"/>
              </w:rPr>
            </w:pPr>
          </w:p>
        </w:tc>
        <w:tc>
          <w:tcPr>
            <w:tcW w:w="1700" w:type="dxa"/>
            <w:vAlign w:val="bottom"/>
            <w:gridSpan w:val="2"/>
          </w:tcPr>
          <w:p>
            <w:pPr>
              <w:jc w:val="center"/>
              <w:ind w:right="800"/>
              <w:spacing w:after="0"/>
              <w:rPr>
                <w:sz w:val="20"/>
                <w:szCs w:val="20"/>
                <w:color w:val="auto"/>
              </w:rPr>
            </w:pPr>
            <w:r>
              <w:rPr>
                <w:rFonts w:ascii="Times New Roman" w:cs="Times New Roman" w:eastAsia="Times New Roman" w:hAnsi="Times New Roman"/>
                <w:sz w:val="12"/>
                <w:szCs w:val="12"/>
                <w:b w:val="1"/>
                <w:bCs w:val="1"/>
                <w:color w:val="auto"/>
              </w:rPr>
              <w:t>BRBR</w:t>
            </w:r>
          </w:p>
        </w:tc>
        <w:tc>
          <w:tcPr>
            <w:tcW w:w="800" w:type="dxa"/>
            <w:vAlign w:val="bottom"/>
          </w:tcPr>
          <w:p>
            <w:pPr>
              <w:spacing w:after="0"/>
              <w:rPr>
                <w:sz w:val="13"/>
                <w:szCs w:val="13"/>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2"/>
                <w:szCs w:val="12"/>
                <w:b w:val="1"/>
                <w:bCs w:val="1"/>
                <w:color w:val="auto"/>
                <w:w w:val="99"/>
              </w:rPr>
              <w:t>New York Stock Exchange</w:t>
            </w:r>
          </w:p>
        </w:tc>
      </w:tr>
    </w:tbl>
    <w:p>
      <w:pPr>
        <w:spacing w:after="0" w:line="115" w:lineRule="exact"/>
        <w:rPr>
          <w:sz w:val="24"/>
          <w:szCs w:val="24"/>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9"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 xml:space="preserve">Emerging growth company </w:t>
      </w:r>
      <w:r>
        <w:rPr>
          <w:rFonts w:ascii="MS PGothic" w:cs="MS PGothic" w:eastAsia="MS PGothic" w:hAnsi="MS PGothic"/>
          <w:sz w:val="12"/>
          <w:szCs w:val="12"/>
          <w:color w:val="auto"/>
        </w:rPr>
        <w:t>☐</w:t>
      </w:r>
    </w:p>
    <w:p>
      <w:pPr>
        <w:spacing w:after="0" w:line="98" w:lineRule="exact"/>
        <w:rPr>
          <w:sz w:val="24"/>
          <w:szCs w:val="24"/>
          <w:color w:val="auto"/>
        </w:rPr>
      </w:pPr>
    </w:p>
    <w:p>
      <w:pPr>
        <w:spacing w:after="0"/>
        <w:rPr>
          <w:sz w:val="20"/>
          <w:szCs w:val="20"/>
          <w:color w:val="auto"/>
        </w:rPr>
      </w:pPr>
      <w:r>
        <w:rPr>
          <w:rFonts w:ascii="Times New Roman" w:cs="Times New Roman" w:eastAsia="Times New Roman" w:hAnsi="Times New Roman"/>
          <w:sz w:val="11"/>
          <w:szCs w:val="11"/>
          <w:color w:val="auto"/>
        </w:rPr>
        <w:t>If an emerging growth company, indicate by check mark if the registrant has elected not to use the extended transition period for complying with any new or revised financial accounting standards provided pursuant to Section 13(a) of</w:t>
      </w:r>
    </w:p>
    <w:p>
      <w:pPr>
        <w:spacing w:after="0" w:line="204" w:lineRule="exact"/>
        <w:rPr>
          <w:sz w:val="24"/>
          <w:szCs w:val="24"/>
          <w:color w:val="auto"/>
        </w:rPr>
      </w:pPr>
    </w:p>
    <w:p>
      <w:pPr>
        <w:spacing w:after="0" w:line="138" w:lineRule="exact"/>
        <w:rPr>
          <w:sz w:val="20"/>
          <w:szCs w:val="20"/>
          <w:color w:val="auto"/>
        </w:rPr>
      </w:pPr>
      <w:r>
        <w:rPr>
          <w:rFonts w:ascii="Times New Roman" w:cs="Times New Roman" w:eastAsia="Times New Roman" w:hAnsi="Times New Roman"/>
          <w:sz w:val="12"/>
          <w:szCs w:val="12"/>
          <w:color w:val="auto"/>
        </w:rPr>
        <w:t>the Exchange Act.</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wp:posOffset>
            </wp:positionH>
            <wp:positionV relativeFrom="paragraph">
              <wp:posOffset>582295</wp:posOffset>
            </wp:positionV>
            <wp:extent cx="7203440" cy="368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03440" cy="36830"/>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-44450</wp:posOffset>
            </wp:positionV>
            <wp:extent cx="6063615" cy="5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63615" cy="5715"/>
                    </a:xfrm>
                    <a:prstGeom prst="rect">
                      <a:avLst/>
                    </a:prstGeom>
                    <a:noFill/>
                  </pic:spPr>
                </pic:pic>
              </a:graphicData>
            </a:graphic>
          </wp:anchor>
        </w:drawing>
        <w:drawing>
          <wp:anchor simplePos="0" relativeHeight="251657728" behindDoc="1" locked="0" layoutInCell="0" allowOverlap="1">
            <wp:simplePos x="0" y="0"/>
            <wp:positionH relativeFrom="column">
              <wp:posOffset>869315</wp:posOffset>
            </wp:positionH>
            <wp:positionV relativeFrom="paragraph">
              <wp:posOffset>-27305</wp:posOffset>
            </wp:positionV>
            <wp:extent cx="6063615" cy="57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63615" cy="5715"/>
                    </a:xfrm>
                    <a:prstGeom prst="rect">
                      <a:avLst/>
                    </a:prstGeom>
                    <a:noFill/>
                  </pic:spPr>
                </pic:pic>
              </a:graphicData>
            </a:graphic>
          </wp:anchor>
        </w:drawing>
      </w:r>
    </w:p>
    <w:p>
      <w:pPr>
        <w:sectPr>
          <w:pgSz w:w="11900" w:h="16838" w:orient="portrait"/>
          <w:cols w:equalWidth="0" w:num="1">
            <w:col w:w="11200"/>
          </w:cols>
          <w:pgMar w:left="300" w:top="1087"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2"/>
          <w:szCs w:val="12"/>
          <w:i w:val="1"/>
          <w:iCs w:val="1"/>
          <w:color w:val="auto"/>
        </w:rPr>
        <w:t>Explanatory Note: This amendment to the Current Report on Form 8-K is being filed solely to add iXBRL tagging that was inadvertently omitted at the time of the initial filing.</w:t>
      </w:r>
    </w:p>
    <w:p>
      <w:pPr>
        <w:spacing w:after="0" w:line="337"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2.02.</w:t>
      </w:r>
      <w:r>
        <w:rPr>
          <w:sz w:val="20"/>
          <w:szCs w:val="20"/>
          <w:color w:val="auto"/>
        </w:rPr>
        <w:tab/>
      </w:r>
      <w:r>
        <w:rPr>
          <w:rFonts w:ascii="Times New Roman" w:cs="Times New Roman" w:eastAsia="Times New Roman" w:hAnsi="Times New Roman"/>
          <w:sz w:val="11"/>
          <w:szCs w:val="11"/>
          <w:b w:val="1"/>
          <w:bCs w:val="1"/>
          <w:color w:val="auto"/>
        </w:rPr>
        <w:t>Results of Operation and Financial Condition.</w:t>
      </w:r>
    </w:p>
    <w:p>
      <w:pPr>
        <w:spacing w:after="0" w:line="172"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On August 4, 2022, BellRing Brands, Inc. (the "Company") issued a press release announcing results for its third fiscal quarter ended June 30, 2022 and providing a financial outlook for fiscal year 2022. A copy of the press release is attached hereto as Exhibit 99.1 and incorporated herein by reference. In addition, on August 4, 2022, the Company published to the "Investor Relations" section of its website, www.bellringbrands.com, a supplemental presentation related to results for its third fiscal quarter ended June 30, 2022. A copy of the presentation is attached hereto as Exhibit 99.2 and incorporated herein by reference.</w:t>
      </w:r>
    </w:p>
    <w:p>
      <w:pPr>
        <w:spacing w:after="0" w:line="137"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2"/>
          <w:szCs w:val="12"/>
          <w:color w:val="auto"/>
        </w:rPr>
        <w:t>The information contained in Item 2.02, including Exhibit 99.1 and Exhibit 99.2 attached hereto, shall not be deemed to be "filed" for purposes of Section 18 of the Securities Exchange Act of 1934, as amended (the "Exchange Act"), or otherwise subject to the liabilities of that Section, nor shall they be deemed incorporated by reference into any filings under the Securities Act of 1933, as amended, or the Exchange Act, except as expressly set forth by specific reference in such filing.</w:t>
      </w:r>
    </w:p>
    <w:p>
      <w:pPr>
        <w:spacing w:after="0" w:line="133" w:lineRule="exact"/>
        <w:rPr>
          <w:sz w:val="20"/>
          <w:szCs w:val="20"/>
          <w:color w:val="auto"/>
        </w:rPr>
      </w:pPr>
    </w:p>
    <w:p>
      <w:pPr>
        <w:spacing w:after="0"/>
        <w:tabs>
          <w:tab w:leader="none" w:pos="600" w:val="left"/>
        </w:tabs>
        <w:rPr>
          <w:sz w:val="20"/>
          <w:szCs w:val="20"/>
          <w:color w:val="auto"/>
        </w:rPr>
      </w:pPr>
      <w:r>
        <w:rPr>
          <w:rFonts w:ascii="Times New Roman" w:cs="Times New Roman" w:eastAsia="Times New Roman" w:hAnsi="Times New Roman"/>
          <w:sz w:val="12"/>
          <w:szCs w:val="12"/>
          <w:b w:val="1"/>
          <w:bCs w:val="1"/>
          <w:color w:val="auto"/>
        </w:rPr>
        <w:t>Item 9.01.</w:t>
      </w:r>
      <w:r>
        <w:rPr>
          <w:sz w:val="20"/>
          <w:szCs w:val="20"/>
          <w:color w:val="auto"/>
        </w:rPr>
        <w:tab/>
      </w:r>
      <w:r>
        <w:rPr>
          <w:rFonts w:ascii="Times New Roman" w:cs="Times New Roman" w:eastAsia="Times New Roman" w:hAnsi="Times New Roman"/>
          <w:sz w:val="11"/>
          <w:szCs w:val="11"/>
          <w:b w:val="1"/>
          <w:bCs w:val="1"/>
          <w:color w:val="auto"/>
        </w:rPr>
        <w:t>Financial Statements and Exhibits.</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b w:val="1"/>
                <w:bCs w:val="1"/>
                <w:color w:val="auto"/>
              </w:rPr>
              <w:t>(d) Exhibits</w:t>
            </w:r>
          </w:p>
        </w:tc>
        <w:tc>
          <w:tcPr>
            <w:tcW w:w="56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620" w:type="dxa"/>
            <w:vAlign w:val="bottom"/>
          </w:tcPr>
          <w:p>
            <w:pPr>
              <w:spacing w:after="0"/>
              <w:rPr>
                <w:sz w:val="13"/>
                <w:szCs w:val="13"/>
                <w:color w:val="auto"/>
              </w:rPr>
            </w:pPr>
          </w:p>
        </w:tc>
        <w:tc>
          <w:tcPr>
            <w:tcW w:w="5720" w:type="dxa"/>
            <w:vAlign w:val="bottom"/>
          </w:tcPr>
          <w:p>
            <w:pPr>
              <w:spacing w:after="0"/>
              <w:rPr>
                <w:sz w:val="13"/>
                <w:szCs w:val="13"/>
                <w:color w:val="auto"/>
              </w:rPr>
            </w:pPr>
          </w:p>
        </w:tc>
      </w:tr>
      <w:tr>
        <w:trPr>
          <w:trHeight w:val="306"/>
        </w:trPr>
        <w:tc>
          <w:tcPr>
            <w:tcW w:w="2260" w:type="dxa"/>
            <w:vAlign w:val="bottom"/>
            <w:gridSpan w:val="2"/>
          </w:tcPr>
          <w:p>
            <w:pPr>
              <w:spacing w:after="0"/>
              <w:rPr>
                <w:sz w:val="20"/>
                <w:szCs w:val="20"/>
                <w:color w:val="auto"/>
              </w:rPr>
            </w:pPr>
            <w:r>
              <w:rPr>
                <w:rFonts w:ascii="Times New Roman" w:cs="Times New Roman" w:eastAsia="Times New Roman" w:hAnsi="Times New Roman"/>
                <w:sz w:val="12"/>
                <w:szCs w:val="12"/>
                <w:color w:val="auto"/>
              </w:rPr>
              <w:t>Exhibit No.</w:t>
            </w: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Description</w:t>
            </w:r>
          </w:p>
        </w:tc>
      </w:tr>
      <w:tr>
        <w:trPr>
          <w:trHeight w:val="20"/>
        </w:trPr>
        <w:tc>
          <w:tcPr>
            <w:tcW w:w="56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241"/>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99.1</w:t>
            </w:r>
          </w:p>
        </w:tc>
        <w:tc>
          <w:tcPr>
            <w:tcW w:w="1700" w:type="dxa"/>
            <w:vAlign w:val="bottom"/>
          </w:tcPr>
          <w:p>
            <w:pPr>
              <w:spacing w:after="0"/>
              <w:rPr>
                <w:sz w:val="20"/>
                <w:szCs w:val="20"/>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0000FF"/>
              </w:rPr>
              <w:t>Press Release dated August 4, 2022</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700" w:type="dxa"/>
            <w:vAlign w:val="bottom"/>
            <w:gridSpan w:val="2"/>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33"/>
        </w:trPr>
        <w:tc>
          <w:tcPr>
            <w:tcW w:w="560" w:type="dxa"/>
            <w:vAlign w:val="bottom"/>
          </w:tcPr>
          <w:p>
            <w:pPr>
              <w:spacing w:after="0" w:line="133" w:lineRule="exact"/>
              <w:rPr>
                <w:sz w:val="20"/>
                <w:szCs w:val="20"/>
                <w:color w:val="auto"/>
              </w:rPr>
            </w:pPr>
            <w:r>
              <w:rPr>
                <w:rFonts w:ascii="Times New Roman" w:cs="Times New Roman" w:eastAsia="Times New Roman" w:hAnsi="Times New Roman"/>
                <w:sz w:val="12"/>
                <w:szCs w:val="12"/>
                <w:color w:val="auto"/>
              </w:rPr>
              <w:t>99.2</w:t>
            </w:r>
          </w:p>
        </w:tc>
        <w:tc>
          <w:tcPr>
            <w:tcW w:w="1700" w:type="dxa"/>
            <w:vAlign w:val="bottom"/>
          </w:tcPr>
          <w:p>
            <w:pPr>
              <w:spacing w:after="0"/>
              <w:rPr>
                <w:sz w:val="11"/>
                <w:szCs w:val="11"/>
                <w:color w:val="auto"/>
              </w:rPr>
            </w:pPr>
          </w:p>
        </w:tc>
        <w:tc>
          <w:tcPr>
            <w:tcW w:w="9040" w:type="dxa"/>
            <w:vAlign w:val="bottom"/>
            <w:gridSpan w:val="4"/>
          </w:tcPr>
          <w:p>
            <w:pPr>
              <w:spacing w:after="0" w:line="133" w:lineRule="exact"/>
              <w:rPr>
                <w:sz w:val="20"/>
                <w:szCs w:val="20"/>
                <w:color w:val="auto"/>
              </w:rPr>
            </w:pPr>
            <w:r>
              <w:rPr>
                <w:rFonts w:ascii="Times New Roman" w:cs="Times New Roman" w:eastAsia="Times New Roman" w:hAnsi="Times New Roman"/>
                <w:sz w:val="12"/>
                <w:szCs w:val="12"/>
                <w:color w:val="0000FF"/>
              </w:rPr>
              <w:t>Third Fiscal Quarter Ended June 30, 2022 Supplemental Presentation</w:t>
            </w:r>
          </w:p>
        </w:tc>
      </w:tr>
      <w:tr>
        <w:trPr>
          <w:trHeight w:val="20"/>
        </w:trPr>
        <w:tc>
          <w:tcPr>
            <w:tcW w:w="5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3320" w:type="dxa"/>
            <w:vAlign w:val="bottom"/>
            <w:gridSpan w:val="3"/>
            <w:shd w:val="clear" w:color="auto" w:fill="0000FF"/>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r>
      <w:tr>
        <w:trPr>
          <w:trHeight w:val="160"/>
        </w:trPr>
        <w:tc>
          <w:tcPr>
            <w:tcW w:w="560" w:type="dxa"/>
            <w:vAlign w:val="bottom"/>
          </w:tcPr>
          <w:p>
            <w:pPr>
              <w:spacing w:after="0"/>
              <w:rPr>
                <w:sz w:val="20"/>
                <w:szCs w:val="20"/>
                <w:color w:val="auto"/>
              </w:rPr>
            </w:pPr>
            <w:r>
              <w:rPr>
                <w:rFonts w:ascii="Times New Roman" w:cs="Times New Roman" w:eastAsia="Times New Roman" w:hAnsi="Times New Roman"/>
                <w:sz w:val="12"/>
                <w:szCs w:val="12"/>
                <w:color w:val="auto"/>
              </w:rPr>
              <w:t>104</w:t>
            </w:r>
          </w:p>
        </w:tc>
        <w:tc>
          <w:tcPr>
            <w:tcW w:w="1700" w:type="dxa"/>
            <w:vAlign w:val="bottom"/>
          </w:tcPr>
          <w:p>
            <w:pPr>
              <w:spacing w:after="0"/>
              <w:rPr>
                <w:sz w:val="13"/>
                <w:szCs w:val="13"/>
                <w:color w:val="auto"/>
              </w:rPr>
            </w:pPr>
          </w:p>
        </w:tc>
        <w:tc>
          <w:tcPr>
            <w:tcW w:w="9040" w:type="dxa"/>
            <w:vAlign w:val="bottom"/>
            <w:gridSpan w:val="4"/>
          </w:tcPr>
          <w:p>
            <w:pPr>
              <w:spacing w:after="0"/>
              <w:rPr>
                <w:sz w:val="20"/>
                <w:szCs w:val="20"/>
                <w:color w:val="auto"/>
              </w:rPr>
            </w:pPr>
            <w:r>
              <w:rPr>
                <w:rFonts w:ascii="Times New Roman" w:cs="Times New Roman" w:eastAsia="Times New Roman" w:hAnsi="Times New Roman"/>
                <w:sz w:val="12"/>
                <w:szCs w:val="12"/>
                <w:color w:val="auto"/>
              </w:rPr>
              <w:t>Cover Page Interactive Data File (the cover page iXBRL tags are embedded within the Inline XBRL document)</w:t>
            </w:r>
          </w:p>
        </w:tc>
      </w:tr>
      <w:tr>
        <w:trPr>
          <w:trHeight w:val="2241"/>
        </w:trPr>
        <w:tc>
          <w:tcPr>
            <w:tcW w:w="560" w:type="dxa"/>
            <w:vAlign w:val="bottom"/>
            <w:tcBorders>
              <w:bottom w:val="single" w:sz="8" w:color="9A9A9A"/>
            </w:tcBorders>
          </w:tcPr>
          <w:p>
            <w:pPr>
              <w:spacing w:after="0"/>
              <w:rPr>
                <w:sz w:val="24"/>
                <w:szCs w:val="24"/>
                <w:color w:val="auto"/>
              </w:rPr>
            </w:pPr>
          </w:p>
        </w:tc>
        <w:tc>
          <w:tcPr>
            <w:tcW w:w="1700" w:type="dxa"/>
            <w:vAlign w:val="bottom"/>
            <w:tcBorders>
              <w:bottom w:val="single" w:sz="8" w:color="9A9A9A"/>
            </w:tcBorders>
          </w:tcPr>
          <w:p>
            <w:pPr>
              <w:spacing w:after="0"/>
              <w:rPr>
                <w:sz w:val="24"/>
                <w:szCs w:val="24"/>
                <w:color w:val="auto"/>
              </w:rPr>
            </w:pPr>
          </w:p>
        </w:tc>
        <w:tc>
          <w:tcPr>
            <w:tcW w:w="560" w:type="dxa"/>
            <w:vAlign w:val="bottom"/>
            <w:tcBorders>
              <w:bottom w:val="single" w:sz="8" w:color="9A9A9A"/>
            </w:tcBorders>
          </w:tcPr>
          <w:p>
            <w:pPr>
              <w:spacing w:after="0"/>
              <w:rPr>
                <w:sz w:val="24"/>
                <w:szCs w:val="24"/>
                <w:color w:val="auto"/>
              </w:rPr>
            </w:pPr>
          </w:p>
        </w:tc>
        <w:tc>
          <w:tcPr>
            <w:tcW w:w="1140" w:type="dxa"/>
            <w:vAlign w:val="bottom"/>
            <w:tcBorders>
              <w:bottom w:val="single" w:sz="8" w:color="9A9A9A"/>
            </w:tcBorders>
          </w:tcPr>
          <w:p>
            <w:pPr>
              <w:spacing w:after="0"/>
              <w:rPr>
                <w:sz w:val="24"/>
                <w:szCs w:val="24"/>
                <w:color w:val="auto"/>
              </w:rPr>
            </w:pPr>
          </w:p>
        </w:tc>
        <w:tc>
          <w:tcPr>
            <w:tcW w:w="1620" w:type="dxa"/>
            <w:vAlign w:val="bottom"/>
            <w:tcBorders>
              <w:bottom w:val="single" w:sz="8" w:color="9A9A9A"/>
            </w:tcBorders>
          </w:tcPr>
          <w:p>
            <w:pPr>
              <w:spacing w:after="0"/>
              <w:rPr>
                <w:sz w:val="24"/>
                <w:szCs w:val="24"/>
                <w:color w:val="auto"/>
              </w:rPr>
            </w:pPr>
          </w:p>
        </w:tc>
        <w:tc>
          <w:tcPr>
            <w:tcW w:w="57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7154545</wp:posOffset>
            </wp:positionH>
            <wp:positionV relativeFrom="paragraph">
              <wp:posOffset>-23495</wp:posOffset>
            </wp:positionV>
            <wp:extent cx="31115" cy="368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1115" cy="36830"/>
                    </a:xfrm>
                    <a:prstGeom prst="rect">
                      <a:avLst/>
                    </a:prstGeom>
                    <a:noFill/>
                  </pic:spPr>
                </pic:pic>
              </a:graphicData>
            </a:graphic>
          </wp:anchor>
        </w:drawing>
        <w:drawing>
          <wp:anchor simplePos="0" relativeHeight="251657728" behindDoc="1" locked="0" layoutInCell="0" allowOverlap="1">
            <wp:simplePos x="0" y="0"/>
            <wp:positionH relativeFrom="column">
              <wp:posOffset>-17145</wp:posOffset>
            </wp:positionH>
            <wp:positionV relativeFrom="paragraph">
              <wp:posOffset>-23495</wp:posOffset>
            </wp:positionV>
            <wp:extent cx="31115" cy="368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1115" cy="36830"/>
                    </a:xfrm>
                    <a:prstGeom prst="rect">
                      <a:avLst/>
                    </a:prstGeom>
                    <a:noFill/>
                  </pic:spPr>
                </pic:pic>
              </a:graphicData>
            </a:graphic>
          </wp:anchor>
        </w:drawing>
      </w:r>
    </w:p>
    <w:p>
      <w:pPr>
        <w:sectPr>
          <w:pgSz w:w="11900" w:h="16838" w:orient="portrait"/>
          <w:cols w:equalWidth="0" w:num="1">
            <w:col w:w="11300"/>
          </w:cols>
          <w:pgMar w:left="300" w:top="991" w:right="2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2"/>
          <w:szCs w:val="12"/>
          <w:color w:val="auto"/>
        </w:rPr>
        <w:t>Pursuant to the requirements of the Securities Exchange Act of 1934, the registrant has duly caused this report to be signed on its behalf by the undersigned thereunto duly authorized.</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20"/>
                <w:szCs w:val="20"/>
                <w:color w:val="auto"/>
              </w:rPr>
            </w:pPr>
            <w:r>
              <w:rPr>
                <w:rFonts w:ascii="Times New Roman" w:cs="Times New Roman" w:eastAsia="Times New Roman" w:hAnsi="Times New Roman"/>
                <w:sz w:val="12"/>
                <w:szCs w:val="12"/>
                <w:color w:val="auto"/>
              </w:rPr>
              <w:t>Date: August 5, 2022</w:t>
            </w:r>
          </w:p>
        </w:tc>
        <w:tc>
          <w:tcPr>
            <w:tcW w:w="7800" w:type="dxa"/>
            <w:vAlign w:val="bottom"/>
            <w:gridSpan w:val="2"/>
          </w:tcPr>
          <w:p>
            <w:pPr>
              <w:ind w:left="2260"/>
              <w:spacing w:after="0"/>
              <w:rPr>
                <w:sz w:val="20"/>
                <w:szCs w:val="20"/>
                <w:color w:val="auto"/>
              </w:rPr>
            </w:pPr>
            <w:r>
              <w:rPr>
                <w:rFonts w:ascii="Times New Roman" w:cs="Times New Roman" w:eastAsia="Times New Roman" w:hAnsi="Times New Roman"/>
                <w:sz w:val="12"/>
                <w:szCs w:val="12"/>
                <w:b w:val="1"/>
                <w:bCs w:val="1"/>
                <w:color w:val="auto"/>
              </w:rPr>
              <w:t>BellRing Brands, Inc.</w:t>
            </w:r>
          </w:p>
        </w:tc>
      </w:tr>
      <w:tr>
        <w:trPr>
          <w:trHeight w:val="225"/>
        </w:trPr>
        <w:tc>
          <w:tcPr>
            <w:tcW w:w="3280" w:type="dxa"/>
            <w:vAlign w:val="bottom"/>
          </w:tcPr>
          <w:p>
            <w:pPr>
              <w:spacing w:after="0"/>
              <w:rPr>
                <w:sz w:val="19"/>
                <w:szCs w:val="19"/>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(Registrant)</w:t>
            </w:r>
          </w:p>
        </w:tc>
        <w:tc>
          <w:tcPr>
            <w:tcW w:w="4620" w:type="dxa"/>
            <w:vAlign w:val="bottom"/>
          </w:tcPr>
          <w:p>
            <w:pPr>
              <w:spacing w:after="0"/>
              <w:rPr>
                <w:sz w:val="19"/>
                <w:szCs w:val="19"/>
                <w:color w:val="auto"/>
              </w:rPr>
            </w:pPr>
          </w:p>
        </w:tc>
      </w:tr>
      <w:tr>
        <w:trPr>
          <w:trHeight w:val="450"/>
        </w:trPr>
        <w:tc>
          <w:tcPr>
            <w:tcW w:w="3280" w:type="dxa"/>
            <w:vAlign w:val="bottom"/>
          </w:tcPr>
          <w:p>
            <w:pPr>
              <w:spacing w:after="0"/>
              <w:rPr>
                <w:sz w:val="24"/>
                <w:szCs w:val="24"/>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By:</w:t>
            </w:r>
          </w:p>
        </w:tc>
        <w:tc>
          <w:tcPr>
            <w:tcW w:w="46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2"/>
                <w:szCs w:val="12"/>
                <w:color w:val="auto"/>
              </w:rPr>
              <w:t>/s/ Paul A. Rode</w:t>
            </w:r>
          </w:p>
        </w:tc>
      </w:tr>
      <w:tr>
        <w:trPr>
          <w:trHeight w:val="203"/>
        </w:trPr>
        <w:tc>
          <w:tcPr>
            <w:tcW w:w="3280" w:type="dxa"/>
            <w:vAlign w:val="bottom"/>
          </w:tcPr>
          <w:p>
            <w:pPr>
              <w:spacing w:after="0"/>
              <w:rPr>
                <w:sz w:val="17"/>
                <w:szCs w:val="17"/>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Name: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Paul A. Rode</w:t>
            </w:r>
          </w:p>
        </w:tc>
      </w:tr>
      <w:tr>
        <w:trPr>
          <w:trHeight w:val="155"/>
        </w:trPr>
        <w:tc>
          <w:tcPr>
            <w:tcW w:w="3280" w:type="dxa"/>
            <w:vAlign w:val="bottom"/>
          </w:tcPr>
          <w:p>
            <w:pPr>
              <w:spacing w:after="0"/>
              <w:rPr>
                <w:sz w:val="13"/>
                <w:szCs w:val="13"/>
                <w:color w:val="auto"/>
              </w:rPr>
            </w:pPr>
          </w:p>
        </w:tc>
        <w:tc>
          <w:tcPr>
            <w:tcW w:w="3180" w:type="dxa"/>
            <w:vAlign w:val="bottom"/>
          </w:tcPr>
          <w:p>
            <w:pPr>
              <w:ind w:left="2260"/>
              <w:spacing w:after="0"/>
              <w:rPr>
                <w:sz w:val="20"/>
                <w:szCs w:val="20"/>
                <w:color w:val="auto"/>
              </w:rPr>
            </w:pPr>
            <w:r>
              <w:rPr>
                <w:rFonts w:ascii="Times New Roman" w:cs="Times New Roman" w:eastAsia="Times New Roman" w:hAnsi="Times New Roman"/>
                <w:sz w:val="12"/>
                <w:szCs w:val="12"/>
                <w:color w:val="auto"/>
              </w:rPr>
              <w:t>Title:</w:t>
            </w:r>
          </w:p>
        </w:tc>
        <w:tc>
          <w:tcPr>
            <w:tcW w:w="4620" w:type="dxa"/>
            <w:vAlign w:val="bottom"/>
          </w:tcPr>
          <w:p>
            <w:pPr>
              <w:spacing w:after="0"/>
              <w:rPr>
                <w:sz w:val="20"/>
                <w:szCs w:val="20"/>
                <w:color w:val="auto"/>
              </w:rPr>
            </w:pPr>
            <w:r>
              <w:rPr>
                <w:rFonts w:ascii="Times New Roman" w:cs="Times New Roman" w:eastAsia="Times New Roman" w:hAnsi="Times New Roman"/>
                <w:sz w:val="12"/>
                <w:szCs w:val="12"/>
                <w:color w:val="auto"/>
              </w:rPr>
              <w:t>Chief Financial Officer</w:t>
            </w:r>
          </w:p>
        </w:tc>
      </w:tr>
    </w:tbl>
    <w:p>
      <w:pPr>
        <w:sectPr>
          <w:pgSz w:w="11900" w:h="16838" w:orient="portrait"/>
          <w:cols w:equalWidth="0" w:num="1">
            <w:col w:w="11080"/>
          </w:cols>
          <w:pgMar w:left="300" w:top="1155" w:right="51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2"/>
          <w:szCs w:val="12"/>
          <w:u w:val="single" w:color="auto"/>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79375</wp:posOffset>
            </wp:positionV>
            <wp:extent cx="1000125" cy="4800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000125"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BellRing Brands Reports Results for the Third Quarter of Fiscal Year 2022; Updates Fiscal Year 2022 Outlook</w:t>
      </w:r>
    </w:p>
    <w:p>
      <w:pPr>
        <w:spacing w:after="0" w:line="15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 xml:space="preserve">St. Louis - August 4, 2022 </w:t>
      </w:r>
      <w:r>
        <w:rPr>
          <w:rFonts w:ascii="Times New Roman" w:cs="Times New Roman" w:eastAsia="Times New Roman" w:hAnsi="Times New Roman"/>
          <w:sz w:val="12"/>
          <w:szCs w:val="12"/>
          <w:color w:val="auto"/>
        </w:rPr>
        <w:t>- BellRing Brands, Inc. (NYSE:BRBR) (“BellRing”), a holding company operating in the global convenient nutrition category, today reported results for the third fiscal quarter ended June 30, 2022.</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Highlights:</w:t>
      </w:r>
    </w:p>
    <w:p>
      <w:pPr>
        <w:spacing w:after="0" w:line="78" w:lineRule="exact"/>
        <w:rPr>
          <w:sz w:val="20"/>
          <w:szCs w:val="20"/>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Third quarter net sales of $370.6 million</w:t>
      </w:r>
    </w:p>
    <w:p>
      <w:pPr>
        <w:spacing w:after="0" w:line="20"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Operating profit of $67.5 million; net earnings available to common stockholders of $39.1 million and Adjusted EBITDA of $80.8 million</w:t>
      </w:r>
    </w:p>
    <w:p>
      <w:pPr>
        <w:spacing w:after="0" w:line="6" w:lineRule="exact"/>
        <w:rPr>
          <w:rFonts w:ascii="Times New Roman" w:cs="Times New Roman" w:eastAsia="Times New Roman" w:hAnsi="Times New Roman"/>
          <w:sz w:val="12"/>
          <w:szCs w:val="12"/>
          <w:b w:val="1"/>
          <w:bCs w:val="1"/>
          <w:color w:val="auto"/>
        </w:rPr>
      </w:pPr>
    </w:p>
    <w:p>
      <w:pPr>
        <w:ind w:left="420" w:hanging="212"/>
        <w:spacing w:after="0"/>
        <w:tabs>
          <w:tab w:leader="none" w:pos="420" w:val="left"/>
        </w:tabs>
        <w:numPr>
          <w:ilvl w:val="0"/>
          <w:numId w:val="2"/>
        </w:numPr>
        <w:rPr>
          <w:rFonts w:ascii="Times New Roman" w:cs="Times New Roman" w:eastAsia="Times New Roman" w:hAnsi="Times New Roman"/>
          <w:sz w:val="12"/>
          <w:szCs w:val="12"/>
          <w:b w:val="1"/>
          <w:bCs w:val="1"/>
          <w:color w:val="auto"/>
        </w:rPr>
      </w:pPr>
      <w:r>
        <w:rPr>
          <w:rFonts w:ascii="Times New Roman" w:cs="Times New Roman" w:eastAsia="Times New Roman" w:hAnsi="Times New Roman"/>
          <w:sz w:val="12"/>
          <w:szCs w:val="12"/>
          <w:b w:val="1"/>
          <w:bCs w:val="1"/>
          <w:color w:val="auto"/>
        </w:rPr>
        <w:t>Updated fiscal year 2022 net sales guidance of $1.39-$1.42 billion and Adjusted EBITDA (non-GAAP) guidance of $262-$268 million</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Third Quarter Operating Results</w:t>
      </w:r>
    </w:p>
    <w:p>
      <w:pPr>
        <w:spacing w:after="0" w:line="116" w:lineRule="exact"/>
        <w:rPr>
          <w:sz w:val="20"/>
          <w:szCs w:val="20"/>
          <w:color w:val="auto"/>
        </w:rPr>
      </w:pPr>
    </w:p>
    <w:p>
      <w:pPr>
        <w:ind w:right="200"/>
        <w:spacing w:after="0" w:line="257" w:lineRule="auto"/>
        <w:rPr>
          <w:sz w:val="20"/>
          <w:szCs w:val="20"/>
          <w:color w:val="auto"/>
        </w:rPr>
      </w:pPr>
      <w:r>
        <w:rPr>
          <w:rFonts w:ascii="Times New Roman" w:cs="Times New Roman" w:eastAsia="Times New Roman" w:hAnsi="Times New Roman"/>
          <w:sz w:val="12"/>
          <w:szCs w:val="12"/>
          <w:color w:val="auto"/>
        </w:rPr>
        <w:t xml:space="preserve">Net sales were $370.6 million, an increase of 8.2%, or $28.0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7.3% and volumes declined 9.4%;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ready-to-drink (“RTD”) shake net sales increased 6.3% and volumes declined 9.6%.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benefited from higher average net selling prices driven by price increases and reduced promotional activity. As discussed in previous earnings releases, capacity constraints across the broader shake contract manufacturer network have resulted in the allocation of certain products and reduced demand-driving promotional activity. Additionally, the business lapped a prior year period where shipments outpaced production, which, as expected, caused a sales volume reduction when compared to the prior year period.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16.8% and benefited from higher average net selling prices (driven by price increases) and favorable product mix.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volumes declined 28.0% driven by elasticities due to inflation-driven price increases, reduction in trade inventory, and lapping prior year promotional activities. Net sales of all other products decreased 1.1%.</w:t>
      </w:r>
    </w:p>
    <w:p>
      <w:pPr>
        <w:spacing w:after="0" w:line="85" w:lineRule="exact"/>
        <w:rPr>
          <w:sz w:val="20"/>
          <w:szCs w:val="20"/>
          <w:color w:val="auto"/>
        </w:rPr>
      </w:pPr>
    </w:p>
    <w:p>
      <w:pPr>
        <w:ind w:right="100"/>
        <w:spacing w:after="0" w:line="283" w:lineRule="auto"/>
        <w:rPr>
          <w:sz w:val="20"/>
          <w:szCs w:val="20"/>
          <w:color w:val="auto"/>
        </w:rPr>
      </w:pPr>
      <w:r>
        <w:rPr>
          <w:rFonts w:ascii="Times New Roman" w:cs="Times New Roman" w:eastAsia="Times New Roman" w:hAnsi="Times New Roman"/>
          <w:sz w:val="12"/>
          <w:szCs w:val="12"/>
          <w:color w:val="auto"/>
        </w:rPr>
        <w:t xml:space="preserve">Dollar consumption of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RTD shakes decreased 2.3%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United States (“U.S.”) powder products increased 21.3% in the 13-week period ended July 2, 2022, as compared to the same period in 2021 (inclusive of NielsenIQ Total US xAOC including Convenience and management estimates of untracked channels).</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Gross profit was $120.2 million, or 32.4% of net sales, an increase of 8.0%, or $8.9 million compared to $111.3 million, or 32.5% of net sales, in the prior year period.</w:t>
      </w:r>
    </w:p>
    <w:p>
      <w:pPr>
        <w:spacing w:after="0" w:line="114" w:lineRule="exact"/>
        <w:rPr>
          <w:sz w:val="20"/>
          <w:szCs w:val="20"/>
          <w:color w:val="auto"/>
        </w:rPr>
      </w:pPr>
    </w:p>
    <w:p>
      <w:pPr>
        <w:ind w:right="200"/>
        <w:spacing w:after="0" w:line="260" w:lineRule="auto"/>
        <w:rPr>
          <w:sz w:val="20"/>
          <w:szCs w:val="20"/>
          <w:color w:val="auto"/>
        </w:rPr>
      </w:pPr>
      <w:r>
        <w:rPr>
          <w:rFonts w:ascii="Times New Roman" w:cs="Times New Roman" w:eastAsia="Times New Roman" w:hAnsi="Times New Roman"/>
          <w:sz w:val="12"/>
          <w:szCs w:val="12"/>
          <w:color w:val="auto"/>
        </w:rPr>
        <w:t>Selling, general and administrative (“SG&amp;A”) expenses were $47.8 million, or 12.9% of net sales, an increase of $5.2 million compared to $42.6 million, or 12.4% of net sales, in the prior year period. SG&amp;A expenses in the third quarter of 2022 included a write-off of $2.3 million recorded in connection with the settlement of a previous dispute with a former contract manufacturer and $0.9 million of separation costs related to Post Holdings, Inc.’s (“Post”) distribution to its shareholders of 80.1% of Post’s interest in BellRing (the “Distribution” and, together with the transactions related thereto, the “Spin-off”). The settlement of the previous dispute with a former contract manufacturer and separation costs were treated as adjustments for non-GAAP measures.</w:t>
      </w:r>
    </w:p>
    <w:p>
      <w:pPr>
        <w:spacing w:after="0" w:line="86"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Operating profit was $67.5 million, an increase of 31.1%, or $16.0 million, compared to $51.5 million in the prior year period. Operating profit in the third quarter of 2021 was negatively impacted by $11.8 million of accelerated amortization, which was incurred in connection with the discontinuance of a brand and was treated as an adjustment for non-GAAP measures.</w:t>
      </w:r>
    </w:p>
    <w:p>
      <w:pPr>
        <w:spacing w:after="0" w:line="75" w:lineRule="exact"/>
        <w:rPr>
          <w:sz w:val="20"/>
          <w:szCs w:val="20"/>
          <w:color w:val="auto"/>
        </w:rPr>
      </w:pPr>
    </w:p>
    <w:p>
      <w:pPr>
        <w:jc w:val="both"/>
        <w:ind w:right="200"/>
        <w:spacing w:after="0" w:line="265" w:lineRule="auto"/>
        <w:rPr>
          <w:sz w:val="20"/>
          <w:szCs w:val="20"/>
          <w:color w:val="auto"/>
        </w:rPr>
      </w:pPr>
      <w:r>
        <w:rPr>
          <w:rFonts w:ascii="Times New Roman" w:cs="Times New Roman" w:eastAsia="Times New Roman" w:hAnsi="Times New Roman"/>
          <w:sz w:val="12"/>
          <w:szCs w:val="12"/>
          <w:color w:val="auto"/>
        </w:rPr>
        <w:t>Net earnings available to common stockholders were $39.1 million, an increase of 311.6%, or $29.6 million, compared to $9.5 million in the prior year period. Net earnings available to common stockholders in the prior year period excluded $29.0 million of net earnings attributable to the Company’s redeemable noncontrolling interest (“NCI”). Net earnings per diluted share of common stock were $0.29, compared to $0.24 in the prior year period. Adjusted net earnings available to common stockholders were $42.5 million, or $0.31 per diluted share of common stock, compared to $11.8 million, or $0.30 per diluted share of common stock, in the prior year period.</w:t>
      </w: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1</w:t>
      </w:r>
    </w:p>
    <w:p>
      <w:pPr>
        <w:sectPr>
          <w:pgSz w:w="11900" w:h="16838" w:orient="portrait"/>
          <w:cols w:equalWidth="0" w:num="1">
            <w:col w:w="11300"/>
          </w:cols>
          <w:pgMar w:left="300" w:top="642" w:right="299" w:bottom="1440" w:gutter="0" w:footer="0" w:header="0"/>
        </w:sectPr>
      </w:pPr>
    </w:p>
    <w:bookmarkStart w:id="4" w:name="page5"/>
    <w:bookmarkEnd w:id="4"/>
    <w:p>
      <w:pPr>
        <w:ind w:right="160"/>
        <w:spacing w:after="0" w:line="279" w:lineRule="auto"/>
        <w:rPr>
          <w:sz w:val="20"/>
          <w:szCs w:val="20"/>
          <w:color w:val="auto"/>
        </w:rPr>
      </w:pPr>
      <w:r>
        <w:rPr>
          <w:rFonts w:ascii="Times New Roman" w:cs="Times New Roman" w:eastAsia="Times New Roman" w:hAnsi="Times New Roman"/>
          <w:sz w:val="12"/>
          <w:szCs w:val="12"/>
          <w:color w:val="auto"/>
        </w:rPr>
        <w:t>Adjusted EBITDA was $80.8 million, an increase of 14.6%, or $10.3 million, compared to $70.5 million in the prior year period. Adjusted EBITDA in the prior year period included an adjustment for the portion of BellRing Brands, LLC’s (“BellRing LLC”) consolidated net earnings which was allocated to NCI in the periods prior 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Nine Month Operating Results</w:t>
      </w:r>
    </w:p>
    <w:p>
      <w:pPr>
        <w:spacing w:after="0" w:line="116" w:lineRule="exact"/>
        <w:rPr>
          <w:sz w:val="20"/>
          <w:szCs w:val="20"/>
          <w:color w:val="auto"/>
        </w:rPr>
      </w:pPr>
    </w:p>
    <w:p>
      <w:pPr>
        <w:ind w:right="120"/>
        <w:spacing w:after="0" w:line="283" w:lineRule="auto"/>
        <w:rPr>
          <w:sz w:val="20"/>
          <w:szCs w:val="20"/>
          <w:color w:val="auto"/>
        </w:rPr>
      </w:pPr>
      <w:r>
        <w:rPr>
          <w:rFonts w:ascii="Times New Roman" w:cs="Times New Roman" w:eastAsia="Times New Roman" w:hAnsi="Times New Roman"/>
          <w:sz w:val="12"/>
          <w:szCs w:val="12"/>
          <w:color w:val="auto"/>
        </w:rPr>
        <w:t xml:space="preserve">Net sales were $992.3 million, an increase of 9.4%, or $85.2 million, compared to the prior year period.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2"/>
          <w:szCs w:val="12"/>
          <w:color w:val="auto"/>
        </w:rPr>
        <w:t xml:space="preserve"> net sales increased 6.2%, with volumes down 7.0%.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2"/>
          <w:szCs w:val="12"/>
          <w:color w:val="auto"/>
        </w:rPr>
        <w:t xml:space="preserve"> net sales increased 35.9%, with volumes flat. Net sales of all other products decreased 3.7%.</w:t>
      </w:r>
    </w:p>
    <w:p>
      <w:pPr>
        <w:spacing w:after="0" w:line="73"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Gross profit was $299.5 million, or 30.2% of net sales, an increase of 3.2%, or $9.3 million, compared to $290.2 million, or 32.0% of net sales, in the prior year period. The lower gross profit margin was driven by higher raw material costs (predominantly dairy-based proteins) and freight, as well as logistics inefficiencies (which resulted from capacity constraints).</w:t>
      </w:r>
    </w:p>
    <w:p>
      <w:pPr>
        <w:spacing w:after="0" w:line="75" w:lineRule="exact"/>
        <w:rPr>
          <w:sz w:val="20"/>
          <w:szCs w:val="20"/>
          <w:color w:val="auto"/>
        </w:rPr>
      </w:pPr>
    </w:p>
    <w:p>
      <w:pPr>
        <w:ind w:right="160"/>
        <w:spacing w:after="0" w:line="265" w:lineRule="auto"/>
        <w:rPr>
          <w:sz w:val="20"/>
          <w:szCs w:val="20"/>
          <w:color w:val="auto"/>
        </w:rPr>
      </w:pPr>
      <w:r>
        <w:rPr>
          <w:rFonts w:ascii="Times New Roman" w:cs="Times New Roman" w:eastAsia="Times New Roman" w:hAnsi="Times New Roman"/>
          <w:sz w:val="12"/>
          <w:szCs w:val="12"/>
          <w:color w:val="auto"/>
        </w:rPr>
        <w:t>SG&amp;A expenses were $133.5 million, or 13.5% of net sales, an increase of $4.4 million compared to $129.1 million, or 14.2% of net sales, in the prior year period. SG&amp;A expenses in the nine months ended June 30, 2022 included $13.2 million of separation costs related to the Spin-off. SG&amp;A expenses in the nine months ended June 30, 2021 included $5.3 million of restructuring and facility closure costs. Separation costs and restructuring and facility closure costs were treated as adjustments for non-GAAP measures.</w:t>
      </w:r>
    </w:p>
    <w:p>
      <w:pPr>
        <w:spacing w:after="0" w:line="83"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Operating profit was $151.3 million, an increase of 31.7%, or $36.4 million, compared to $114.9 million in the prior year period. Operating profit in the nine months ended June 30, 2021 was negatively impacted by $29.9 million of accelerated amortization, which was incurred in connection with the discontinuance of a brand and was treated as an adjustment for non-GAAP measures.</w:t>
      </w:r>
    </w:p>
    <w:p>
      <w:pPr>
        <w:spacing w:after="0" w:line="75"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2"/>
          <w:szCs w:val="12"/>
          <w:color w:val="auto"/>
        </w:rPr>
        <w:t>Net earnings available to common stockholders were $48.6 million, an increase of 171.5%, or $30.7 million, compared to $17.9 million in the prior year period. Net earnings included loss on extinguishment and refinancing of debt, net of $17.6 million and $1.6 million in the nine months ended June 30, 2022 and 2021, respectively, which is discussed later in this release and was treated as an adjustment for non-GAAP measures. Net earnings available to common stockholders excluded $33.7 million of net earnings attributable to the Company’s redeemable NCI, compared to $56.0 million excluded in the prior year period. Net earnings per diluted share of common stock were $0.61, compared to $0.45 in the prior year period. Adjusted net earnings available to common stockholders were $67.0 million, or $0.84 per diluted share of common stock, compared to $25.7 million, or $0.65 per diluted share of common stock, in the prior year period.</w:t>
      </w:r>
    </w:p>
    <w:p>
      <w:pPr>
        <w:spacing w:after="0" w:line="89" w:lineRule="exact"/>
        <w:rPr>
          <w:sz w:val="20"/>
          <w:szCs w:val="20"/>
          <w:color w:val="auto"/>
        </w:rPr>
      </w:pPr>
    </w:p>
    <w:p>
      <w:pPr>
        <w:ind w:right="500"/>
        <w:spacing w:after="0" w:line="279" w:lineRule="auto"/>
        <w:rPr>
          <w:sz w:val="20"/>
          <w:szCs w:val="20"/>
          <w:color w:val="auto"/>
        </w:rPr>
      </w:pPr>
      <w:r>
        <w:rPr>
          <w:rFonts w:ascii="Times New Roman" w:cs="Times New Roman" w:eastAsia="Times New Roman" w:hAnsi="Times New Roman"/>
          <w:sz w:val="12"/>
          <w:szCs w:val="12"/>
          <w:color w:val="auto"/>
        </w:rPr>
        <w:t>Adjusted EBITDA was $191.5 million, an increase of 10.4%, or $18.1 million, compared to $173.4 million in the prior year period. Adjusted EBITDA in both periods included an adjustment for the portion of BellRing LLC’s consolidated net earnings which was allocated to NCI in the periods prior to the Spin-off, resulting in the calculation of Adjusted EBITDA including 100% of BellRing.</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Interest, Loss on Extinguishment and Refinancing of Debt and Income Tax</w:t>
      </w:r>
    </w:p>
    <w:p>
      <w:pPr>
        <w:spacing w:after="0" w:line="118" w:lineRule="exact"/>
        <w:rPr>
          <w:sz w:val="20"/>
          <w:szCs w:val="20"/>
          <w:color w:val="auto"/>
        </w:rPr>
      </w:pPr>
    </w:p>
    <w:p>
      <w:pPr>
        <w:ind w:right="80"/>
        <w:spacing w:after="0" w:line="279" w:lineRule="auto"/>
        <w:rPr>
          <w:sz w:val="20"/>
          <w:szCs w:val="20"/>
          <w:color w:val="auto"/>
        </w:rPr>
      </w:pPr>
      <w:r>
        <w:rPr>
          <w:rFonts w:ascii="Times New Roman" w:cs="Times New Roman" w:eastAsia="Times New Roman" w:hAnsi="Times New Roman"/>
          <w:sz w:val="12"/>
          <w:szCs w:val="12"/>
          <w:color w:val="auto"/>
        </w:rPr>
        <w:t>Interest expense, net was $15.9 million in the third quarter of 2022, compared to $9.5 million in the third quarter of 2021, with the increase driven by an increase in the aggregate principal amount of debt outstanding resulting from the Spin-off transactions. Interest expense, net was $32.8 million in the nine months ended June 30, 2022, compared to $33.6 million in the nine months ended June 30, 2021.</w:t>
      </w:r>
    </w:p>
    <w:p>
      <w:pPr>
        <w:spacing w:after="0" w:line="75" w:lineRule="exact"/>
        <w:rPr>
          <w:sz w:val="20"/>
          <w:szCs w:val="20"/>
          <w:color w:val="auto"/>
        </w:rPr>
      </w:pPr>
    </w:p>
    <w:p>
      <w:pPr>
        <w:ind w:right="60"/>
        <w:spacing w:after="0" w:line="265" w:lineRule="auto"/>
        <w:rPr>
          <w:sz w:val="20"/>
          <w:szCs w:val="20"/>
          <w:color w:val="auto"/>
        </w:rPr>
      </w:pPr>
      <w:r>
        <w:rPr>
          <w:rFonts w:ascii="Times New Roman" w:cs="Times New Roman" w:eastAsia="Times New Roman" w:hAnsi="Times New Roman"/>
          <w:sz w:val="12"/>
          <w:szCs w:val="12"/>
          <w:color w:val="auto"/>
        </w:rPr>
        <w:t>Loss on extinguishment of debt, net of $17.6 million was recorded in the nine months ended June 30, 2022 in connection with BellRing LLC’s repayment of the entire principal balance of its term loan and termination of its prior credit agreement in the second quarter of 2022. Loss on refinancing of debt, net of $1.6 million was recorded in the nine months ended June 30, 2021 in connection with an opportunistic repricing of BellRing LLC’s term loan in the second quarter of 2021.</w:t>
      </w:r>
    </w:p>
    <w:p>
      <w:pPr>
        <w:spacing w:after="0" w:line="83" w:lineRule="exact"/>
        <w:rPr>
          <w:sz w:val="20"/>
          <w:szCs w:val="20"/>
          <w:color w:val="auto"/>
        </w:rPr>
      </w:pPr>
    </w:p>
    <w:p>
      <w:pPr>
        <w:spacing w:after="0" w:line="257" w:lineRule="auto"/>
        <w:rPr>
          <w:sz w:val="20"/>
          <w:szCs w:val="20"/>
          <w:color w:val="auto"/>
        </w:rPr>
      </w:pPr>
      <w:r>
        <w:rPr>
          <w:rFonts w:ascii="Times New Roman" w:cs="Times New Roman" w:eastAsia="Times New Roman" w:hAnsi="Times New Roman"/>
          <w:sz w:val="12"/>
          <w:szCs w:val="12"/>
          <w:color w:val="auto"/>
        </w:rPr>
        <w:t>Income tax expense was $12.5 million in the third quarter of 2022, an effective income tax rate of 24.2%, compared to $3.4 million in the third quarter of 2021, an effective income tax rate of 8.1%. Income tax expense was $18.6 million in the nine months ended June 30, 2022, an effective income tax rate of 18.4%, compared to $5.8 million in the nine months ended June 30, 2021, an effective income tax rate of 7.3% in the prior year period. In the three and nine months ended June 30, 2022, the increase in the effective income tax rate was driven primarily by inclusion of 100% of the items of income, gain, loss and deduction of BellRing LLC in the periods subsequent to the Spin-off, and in the nine months ended June 30, 2022 by certain separation-related expenses incurred in connection with the Spin-off that were treated as non-deductible. In the three and nine months ended June 30, 2021, the effective income tax rate differed significantly from the statutory rate as a result of taking into</w:t>
      </w: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2</w:t>
      </w:r>
    </w:p>
    <w:p>
      <w:pPr>
        <w:sectPr>
          <w:pgSz w:w="11900" w:h="16838" w:orient="portrait"/>
          <w:cols w:equalWidth="0" w:num="1">
            <w:col w:w="11280"/>
          </w:cols>
          <w:pgMar w:left="300" w:top="642" w:right="31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2"/>
          <w:szCs w:val="12"/>
          <w:color w:val="auto"/>
        </w:rPr>
        <w:t>account for U.S. federal, state and local income tax purposes its distributive share of the items of income, gain, loss and deduction of BellRing LLC in the periods prior to the Spin-off.</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Share Repurchases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During the three months ended June 30, 2022, BellRing repurchased 0.1 million shares for $2.4 million at an average price of $22.94 per share. Prior to the Spin-off, BellRing repurchased 0.8 million shares of its common stock for</w:t>
      </w:r>
    </w:p>
    <w:p>
      <w:pPr>
        <w:spacing w:after="0" w:line="17"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2"/>
          <w:szCs w:val="12"/>
          <w:color w:val="auto"/>
        </w:rPr>
        <w:t>$18.1 million at an average price of $23.34 per share; in connection with the Spin-off, these 0.8 million shares held in treasury stock were cancelled. As of June 30, 2022, BellRing had $47.6 million remaining under its share repurchase authorization.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Basis of Presentation</w:t>
      </w:r>
    </w:p>
    <w:p>
      <w:pPr>
        <w:spacing w:after="0" w:line="118" w:lineRule="exact"/>
        <w:rPr>
          <w:sz w:val="20"/>
          <w:szCs w:val="20"/>
          <w:color w:val="auto"/>
        </w:rPr>
      </w:pPr>
    </w:p>
    <w:p>
      <w:pPr>
        <w:ind w:right="120"/>
        <w:spacing w:after="0" w:line="279" w:lineRule="auto"/>
        <w:rPr>
          <w:sz w:val="20"/>
          <w:szCs w:val="20"/>
          <w:color w:val="auto"/>
        </w:rPr>
      </w:pPr>
      <w:r>
        <w:rPr>
          <w:rFonts w:ascii="Times New Roman" w:cs="Times New Roman" w:eastAsia="Times New Roman" w:hAnsi="Times New Roman"/>
          <w:sz w:val="12"/>
          <w:szCs w:val="12"/>
          <w:color w:val="auto"/>
        </w:rPr>
        <w:t>On March 10, 2022, Post’s distribution to its shareholders of 80.1% of its interest in BellRing was completed. From October 21, 2019 through March 10, 2022, BellRing allocated a portion of the consolidated net earnings of BellRing LLC to its redeemable NCI, reflecting the entitlement of Post to a portion of the consolidated net earnings. Subsequent to the Spin-off, there was no NCI in the consolidated net earnings of BellRing LLC.</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Outlook</w:t>
      </w:r>
    </w:p>
    <w:p>
      <w:pPr>
        <w:spacing w:after="0" w:line="118" w:lineRule="exact"/>
        <w:rPr>
          <w:sz w:val="20"/>
          <w:szCs w:val="20"/>
          <w:color w:val="auto"/>
        </w:rPr>
      </w:pPr>
    </w:p>
    <w:p>
      <w:pPr>
        <w:ind w:right="180"/>
        <w:spacing w:after="0" w:line="279" w:lineRule="auto"/>
        <w:rPr>
          <w:sz w:val="20"/>
          <w:szCs w:val="20"/>
          <w:color w:val="auto"/>
        </w:rPr>
      </w:pPr>
      <w:r>
        <w:rPr>
          <w:rFonts w:ascii="Times New Roman" w:cs="Times New Roman" w:eastAsia="Times New Roman" w:hAnsi="Times New Roman"/>
          <w:sz w:val="12"/>
          <w:szCs w:val="12"/>
          <w:color w:val="auto"/>
        </w:rPr>
        <w:t>For fiscal year 2022, BellRing management has updated its guidance range for net sales to range between $1.39-$1.42 billion and Adjusted EBITDA to range between $262-$268 million (resulting in net sales and Adjusted EBITDA growth of 11%-14% and 12%-15%, respectively, over fiscal year 2021). BellRing management expects fiscal year 2022 capital expenditures of approximately $3 million.</w:t>
      </w:r>
    </w:p>
    <w:p>
      <w:pPr>
        <w:spacing w:after="0" w:line="75"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2"/>
          <w:szCs w:val="12"/>
          <w:color w:val="auto"/>
        </w:rPr>
        <w:t>BellRing provides Adjusted EBITDA guidance only on a non-GAAP basis and does not provide a reconciliation of its forward-looking Adjusted EBITDA non-GAAP guidance measure to the most directly comparable GAAP measure due to the inherent difficulty in forecasting and quantifying certain amounts that are necessary for such reconciliation, including adjustments that could be made for loss on extinguishment and refinancing of debt, separation costs, restructuring and facility closures costs and other charges reflected in BellRing’s reconciliation of historical numbers, the amounts of which, based on historical experience, could be significant. For additional information regarding BellRing’s non-GAAP measures, see the related explanations presented under “Use of Non-GAAP Measures.”</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Use of Non-GAAP Measures</w:t>
      </w:r>
    </w:p>
    <w:p>
      <w:pPr>
        <w:spacing w:after="0" w:line="118" w:lineRule="exact"/>
        <w:rPr>
          <w:sz w:val="20"/>
          <w:szCs w:val="20"/>
          <w:color w:val="auto"/>
        </w:rPr>
      </w:pPr>
    </w:p>
    <w:p>
      <w:pPr>
        <w:ind w:right="140"/>
        <w:spacing w:after="0" w:line="265"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later in this release under “Explanation and Reconciliation of Non-GAAP Measures.”</w:t>
      </w:r>
    </w:p>
    <w:p>
      <w:pPr>
        <w:spacing w:after="0" w:line="83" w:lineRule="exact"/>
        <w:rPr>
          <w:sz w:val="20"/>
          <w:szCs w:val="20"/>
          <w:color w:val="auto"/>
        </w:rPr>
      </w:pPr>
    </w:p>
    <w:p>
      <w:pPr>
        <w:ind w:right="140"/>
        <w:spacing w:after="0" w:line="257" w:lineRule="auto"/>
        <w:rPr>
          <w:sz w:val="20"/>
          <w:szCs w:val="20"/>
          <w:color w:val="auto"/>
        </w:rPr>
      </w:pPr>
      <w:r>
        <w:rPr>
          <w:rFonts w:ascii="Times New Roman" w:cs="Times New Roman" w:eastAsia="Times New Roman" w:hAnsi="Times New Roman"/>
          <w:sz w:val="12"/>
          <w:szCs w:val="12"/>
          <w:color w:val="auto"/>
        </w:rPr>
        <w:t>Management uses certain of these non-GAAP measures, including Adjusted EBITDA, as key metrics in the evaluation of underlying company performance, in making financial, operating and planning decisions and, in part, in the determination of bonuses for its executive officers and employees. Additionally, BellRing is required to comply with certain covenants and limitations that are based on variations of EBITDA in its financing documents. Management believes the use of these non-GAAP measures provides increased transparency and assists investors in understanding the underlying operating performance of BellRing and in the analysis of ongoing operating trends. Non-GAAP measures are not prepared in accordance with GAAP, as they exclude certain items as described later in this release. These non-GAAP measures may not be comparable to similarly titled measures of other companies. For additional information regarding BellRing’s non-GAAP measures, see the related explanations provided under “Explanation and Reconciliation of Non-GAAP Measures” later in this release.</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Conference Call to Discuss Earnings Results and Outlook</w:t>
      </w:r>
    </w:p>
    <w:p>
      <w:pPr>
        <w:spacing w:after="0" w:line="118" w:lineRule="exact"/>
        <w:rPr>
          <w:sz w:val="20"/>
          <w:szCs w:val="20"/>
          <w:color w:val="auto"/>
        </w:rPr>
      </w:pPr>
    </w:p>
    <w:p>
      <w:pPr>
        <w:ind w:right="360"/>
        <w:spacing w:after="0" w:line="279" w:lineRule="auto"/>
        <w:rPr>
          <w:sz w:val="20"/>
          <w:szCs w:val="20"/>
          <w:color w:val="auto"/>
        </w:rPr>
      </w:pPr>
      <w:r>
        <w:rPr>
          <w:rFonts w:ascii="Times New Roman" w:cs="Times New Roman" w:eastAsia="Times New Roman" w:hAnsi="Times New Roman"/>
          <w:sz w:val="12"/>
          <w:szCs w:val="12"/>
          <w:color w:val="auto"/>
        </w:rPr>
        <w:t>BellRing will host a conference call on Friday, August 5, 2022 at 10:30 a.m. EDT to discuss financial results for the third quarter of fiscal year 2022 and fiscal year 2022 outlook and to respond to questions. Darcy H. Davenport, President and Chief Executive Officer, and Paul A. Rode, Chief Financial Officer, will participate in the call.</w:t>
      </w:r>
    </w:p>
    <w:p>
      <w:pPr>
        <w:spacing w:after="0" w:line="75"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2"/>
          <w:szCs w:val="12"/>
          <w:color w:val="auto"/>
        </w:rPr>
        <w:t>Interested parties may join the conference call by dialing (800) 459-5346 in the United States and (203) 518-9544 from outside of the United States. The conference identification number is BRBRQ322. Interested parties are invited to listen to the webcast of the conference call, which can be accessed by visiting the Investor Relations section of BellRing’s website at www.bellring.com. A slide presentation containing supplemental material will also be available at the same location on BellRing’s website.</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auto"/>
        </w:rPr>
        <w:t>3</w:t>
      </w:r>
    </w:p>
    <w:p>
      <w:pPr>
        <w:sectPr>
          <w:pgSz w:w="11900" w:h="16838" w:orient="portrait"/>
          <w:cols w:equalWidth="0" w:num="1">
            <w:col w:w="11280"/>
          </w:cols>
          <w:pgMar w:left="300" w:top="642" w:right="319" w:bottom="1440" w:gutter="0" w:footer="0" w:header="0"/>
        </w:sectPr>
      </w:pPr>
    </w:p>
    <w:bookmarkStart w:id="6" w:name="page7"/>
    <w:bookmarkEnd w:id="6"/>
    <w:p>
      <w:pPr>
        <w:ind w:right="160"/>
        <w:spacing w:after="0" w:line="279" w:lineRule="auto"/>
        <w:rPr>
          <w:sz w:val="20"/>
          <w:szCs w:val="20"/>
          <w:color w:val="auto"/>
        </w:rPr>
      </w:pPr>
      <w:r>
        <w:rPr>
          <w:rFonts w:ascii="Times New Roman" w:cs="Times New Roman" w:eastAsia="Times New Roman" w:hAnsi="Times New Roman"/>
          <w:sz w:val="12"/>
          <w:szCs w:val="12"/>
          <w:color w:val="auto"/>
        </w:rPr>
        <w:t>A replay of the conference call will be available through Saturday, August 13, 2022 by dialing (800) 839-5241 in the United States and (402) 220-2698 from outside of the United States. A webcast replay also will be available for a limited period on BellRing’s website in the Investor Relations section.</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Prospective Financial Information</w:t>
      </w:r>
    </w:p>
    <w:p>
      <w:pPr>
        <w:spacing w:after="0" w:line="118"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2"/>
          <w:szCs w:val="12"/>
          <w:color w:val="auto"/>
        </w:rPr>
        <w:t>Prospective financial information is necessarily speculative in nature, and it can be expected that some or all of the assumptions underlying the prospective financial information described above will not materialize or will vary significantly from actual results. For further discussion of some of the factors that may cause actual results to vary materially from the information provided above, see “Forward-Looking Statements” below. Accordingly, the prospective financial information provided above is only an estimate of what BellRing’s management believes is realizable as of the date of this release. It also should be recognized that the reliability of any forecasted financial data diminishes the farther in the future that the data is forecasted. In light of the foregoing, the information should be viewed in context and undue reliance should not be placed upon it.</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Forward-Looking Statements</w:t>
      </w:r>
    </w:p>
    <w:p>
      <w:pPr>
        <w:spacing w:after="0" w:line="118"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2"/>
          <w:szCs w:val="12"/>
          <w:color w:val="auto"/>
        </w:rPr>
        <w:t>Certain matters discussed in this release and on BellRing’s conference call are forward-looking statements, including BellRing’s net sales and Adjusted EBITDA and capital expenditures outlook for fiscal year 2022. These forward-looking statements are sometimes identified from the use of forward-looking words such as “believe,” “should,” “could,” “potential,” “continue,” “expect,” “project,” “estimate,” “predict,” “anticipate,” “aim,” “intend,” “plan,” “forecast,” “target,” “is likely,” “will,” “can,” “may” or “would” or the negative of these terms or similar expressions, and include all statements regarding future performance, earnings projections, events or developments. There are a number of risks and uncertainties that could cause actual results to differ materially from the forward-looking statements made herein. These risks and uncertainties include, but are not limited to, the following:</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sales from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continue to compete in its product categories and its ability to retain its market position and favorable perceptions of its brands;</w:t>
      </w:r>
    </w:p>
    <w:p>
      <w:pPr>
        <w:spacing w:after="0" w:line="6" w:lineRule="exact"/>
        <w:rPr>
          <w:rFonts w:ascii="Times New Roman" w:cs="Times New Roman" w:eastAsia="Times New Roman" w:hAnsi="Times New Roman"/>
          <w:sz w:val="12"/>
          <w:szCs w:val="12"/>
          <w:color w:val="auto"/>
        </w:rPr>
      </w:pPr>
    </w:p>
    <w:p>
      <w:pPr>
        <w:jc w:val="both"/>
        <w:ind w:left="42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disruptions or inefficiencies in BellRing’s supply chain, including as a result of BellRing’s reliance on third party suppliers or manufacturers for the manufacturing of many of its products, pandemics (including the COVID-19 pandemic) and other outbreaks of contagious diseases, labor shortages, fires and evacuations related thereto, changes in weather conditions, natural disasters, agricultural diseases and pests and other events beyond BellRing’s control;</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dependence on a limited number of third party contract manufacturers for the manufacturing of most of its products, including one manufacturer for the substantial majority of its RTD protein shakes;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ability of BellRing’s third party contract manufacturers to produce an amount of BellRing’s products that enables BellRing to meet customer and consumer demand for the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reliance on a limited number of third party suppliers to provide certain ingredients and packaging;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volatility in the cost or availability of inputs to BellRing’s business (including freight, raw materials, packaging, energy, labor and other supplies);</w:t>
      </w:r>
    </w:p>
    <w:p>
      <w:pPr>
        <w:spacing w:after="0" w:line="6" w:lineRule="exact"/>
        <w:rPr>
          <w:rFonts w:ascii="Times New Roman" w:cs="Times New Roman" w:eastAsia="Times New Roman" w:hAnsi="Times New Roman"/>
          <w:sz w:val="12"/>
          <w:szCs w:val="12"/>
          <w:color w:val="auto"/>
        </w:rPr>
      </w:pPr>
    </w:p>
    <w:p>
      <w:pPr>
        <w:ind w:left="420" w:right="4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impact of the COVID-19 pandemic, including negative impacts on the global economy and capital markets, the health of BellRing’s employees, BellRing’s ability and the ability of its third party contract manufacturers to manufacture and deliver its products, operating costs, demand for its on-the-go products and its operations generally;</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anticipate and respond to changes in consumer and customer preferences and behaviors and introduce new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consolidation in BellRing’s distribution channels;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expand existing market penetration and enter into new markets;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loss of, a significant reduction of purchases by or the bankruptcy of a major customer;</w:t>
      </w:r>
    </w:p>
    <w:p>
      <w:pPr>
        <w:spacing w:after="0" w:line="6" w:lineRule="exact"/>
        <w:rPr>
          <w:rFonts w:ascii="Times New Roman" w:cs="Times New Roman" w:eastAsia="Times New Roman" w:hAnsi="Times New Roman"/>
          <w:sz w:val="12"/>
          <w:szCs w:val="12"/>
          <w:color w:val="auto"/>
        </w:rPr>
      </w:pPr>
    </w:p>
    <w:p>
      <w:pPr>
        <w:ind w:left="420" w:right="100" w:hanging="212"/>
        <w:spacing w:after="0" w:line="250" w:lineRule="auto"/>
        <w:tabs>
          <w:tab w:leader="none" w:pos="417"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legal and regulatory factors, such as compliance with existing laws and regulations, as well as new laws and regulations and changes to existing laws and regulations and interpretations thereof, affecting BellRing’s business, including current and future laws and regulations regarding food safety, advertising, labeling, tax matters and environmental matters;</w:t>
      </w: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fluctuations in BellRing’s business due to changes in its promotional activities and seasonality;</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maintain the net selling prices of its products and manage promotional activities with respect to its products;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high leverage, its ability to obtain additional financing (including both secured and unsecured debt) and its ability to service its outstanding debt (including covenants that restrict the operation of its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accuracy of BellRing’s market data and attributes and related information;</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estimates in critical accounting judgments;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3"/>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economic downturns that limit customer and consumer demand for BellRing’s products;</w:t>
      </w:r>
    </w:p>
    <w:p>
      <w:pPr>
        <w:spacing w:after="0" w:line="3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auto"/>
        </w:rPr>
        <w:t>4</w:t>
      </w:r>
    </w:p>
    <w:p>
      <w:pPr>
        <w:sectPr>
          <w:pgSz w:w="11900" w:h="16838" w:orient="portrait"/>
          <w:cols w:equalWidth="0" w:num="1">
            <w:col w:w="11220"/>
          </w:cols>
          <w:pgMar w:left="300" w:top="642" w:right="379" w:bottom="1440" w:gutter="0" w:footer="0" w:header="0"/>
        </w:sectPr>
      </w:pPr>
    </w:p>
    <w:bookmarkStart w:id="7" w:name="page8"/>
    <w:bookmarkEnd w:id="7"/>
    <w:p>
      <w:pPr>
        <w:ind w:left="420" w:right="160" w:hanging="212"/>
        <w:spacing w:after="0" w:line="259"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changes in economic conditions, including as a result of the ongoing conflict in Ukraine, disruptions in the U.S. and global capital and credit markets, changes in interest rates, volatility in the market value of derivatives and fluctuations in foreign currency exchange rates;</w:t>
      </w:r>
    </w:p>
    <w:p>
      <w:pPr>
        <w:spacing w:after="0" w:line="1"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BellRing’s ongoing relationship with Post following the Spin-off, including BellRing’s obligations under various agreements with Post;</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conflicting interests or the appearance of conflicting interests resulting from certain of BellRing’s directors also serving as officers or directors of Post;</w:t>
      </w:r>
    </w:p>
    <w:p>
      <w:pPr>
        <w:spacing w:after="0" w:line="6" w:lineRule="exact"/>
        <w:rPr>
          <w:rFonts w:ascii="Times New Roman" w:cs="Times New Roman" w:eastAsia="Times New Roman" w:hAnsi="Times New Roman"/>
          <w:sz w:val="12"/>
          <w:szCs w:val="12"/>
          <w:color w:val="auto"/>
        </w:rPr>
      </w:pPr>
    </w:p>
    <w:p>
      <w:pPr>
        <w:ind w:left="420" w:hanging="212"/>
        <w:spacing w:after="0" w:line="250" w:lineRule="auto"/>
        <w:tabs>
          <w:tab w:leader="none" w:pos="417"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related to the previously completed Spin-off, including BellRing’s inability to take certain actions because such actions could jeopardize the tax-free status of the Distribution and BellRing’s possible responsibility for U.S. federal tax liabilities related to the Distribution;</w:t>
      </w: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the ultimate impact litigation or other regulatory matters may have on BellRing;</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risks associated with BellRing’s international business;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protect its intellectual property and other assets and to continue to use third party intellectual property subject to intellectual property licenses;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costs, business disruptions and reputational damage associated with information technology failures, cybersecurity incidents and/or information security breaches;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impairment in the carrying value of goodwill or other intangibles;</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identify, complete and integrate or otherwise effectively execute acquisitions or other strategic transactions and effectively manage its growth;</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satisfy the requirements of Section 404 of the Sarbanes-Oxley Act of 2002;</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significant differences in BellRing’s actual operating results from BellRing’s guidance regarding its performance;</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BellRing’s ability to hire and retain talented personnel, employee absenteeism, labor strikes, work stoppages or unionization efforts; and</w:t>
      </w:r>
    </w:p>
    <w:p>
      <w:pPr>
        <w:spacing w:after="0" w:line="6" w:lineRule="exact"/>
        <w:rPr>
          <w:rFonts w:ascii="Times New Roman" w:cs="Times New Roman" w:eastAsia="Times New Roman" w:hAnsi="Times New Roman"/>
          <w:sz w:val="12"/>
          <w:szCs w:val="12"/>
          <w:color w:val="auto"/>
        </w:rPr>
      </w:pPr>
    </w:p>
    <w:p>
      <w:pPr>
        <w:ind w:left="420" w:hanging="212"/>
        <w:spacing w:after="0"/>
        <w:tabs>
          <w:tab w:leader="none" w:pos="420" w:val="left"/>
        </w:tabs>
        <w:numPr>
          <w:ilvl w:val="0"/>
          <w:numId w:val="4"/>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color w:val="auto"/>
        </w:rPr>
        <w:t>other risks and uncertainties described in BellRing’s filings with the Securities and Exchange Commission.</w:t>
      </w:r>
    </w:p>
    <w:p>
      <w:pPr>
        <w:spacing w:after="0" w:line="103"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These forward-looking statements represent BellRing’s judgment as of the date of this release. BellRing disclaims, however, any intent or obligation to update these forward-looking statements.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About BellRing Brands, Inc.</w:t>
      </w:r>
    </w:p>
    <w:p>
      <w:pPr>
        <w:spacing w:after="0" w:line="114"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2"/>
          <w:szCs w:val="12"/>
          <w:color w:val="auto"/>
        </w:rPr>
        <w:t xml:space="preserve">BellRing Brands, Inc. is a rapidly growing leader in the global convenient nutrition category offering ready-to-drink shake and powder protein products. Its primary brands, </w:t>
      </w:r>
      <w:r>
        <w:rPr>
          <w:rFonts w:ascii="Times New Roman" w:cs="Times New Roman" w:eastAsia="Times New Roman" w:hAnsi="Times New Roman"/>
          <w:sz w:val="12"/>
          <w:szCs w:val="12"/>
          <w:i w:val="1"/>
          <w:iCs w:val="1"/>
          <w:color w:val="auto"/>
        </w:rPr>
        <w:t>Premier Protein</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xml:space="preserve"> and </w:t>
      </w:r>
      <w:r>
        <w:rPr>
          <w:rFonts w:ascii="Times New Roman" w:cs="Times New Roman" w:eastAsia="Times New Roman" w:hAnsi="Times New Roman"/>
          <w:sz w:val="12"/>
          <w:szCs w:val="12"/>
          <w:i w:val="1"/>
          <w:iCs w:val="1"/>
          <w:color w:val="auto"/>
        </w:rPr>
        <w:t>Dymatize</w:t>
      </w:r>
      <w:r>
        <w:rPr>
          <w:rFonts w:ascii="Times New Roman" w:cs="Times New Roman" w:eastAsia="Times New Roman" w:hAnsi="Times New Roman"/>
          <w:sz w:val="15"/>
          <w:szCs w:val="15"/>
          <w:color w:val="auto"/>
          <w:vertAlign w:val="superscript"/>
        </w:rPr>
        <w:t>®</w:t>
      </w:r>
      <w:r>
        <w:rPr>
          <w:rFonts w:ascii="Times New Roman" w:cs="Times New Roman" w:eastAsia="Times New Roman" w:hAnsi="Times New Roman"/>
          <w:sz w:val="12"/>
          <w:szCs w:val="12"/>
          <w:color w:val="auto"/>
        </w:rPr>
        <w:t>, appeal to a broad range of consumers and are distributed across a diverse network of channels including club, food, drug, mass, eCommerce, specialty and convenience. BellRing’s commitment to consumers is to strive to make highly effective products that deliver best-in-class nutritionals and superior taste. For more information, visit www.bellring.com.</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Investor Relations</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 Mainer</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matt.mainer@postholdings.com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644-7618</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Media Relations</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 Hanly</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lisa.hanly@bellringbrands.com</w:t>
      </w:r>
    </w:p>
    <w:p>
      <w:pPr>
        <w:spacing w:after="0" w:line="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(314) 665-3180</w:t>
      </w:r>
    </w:p>
    <w:p>
      <w:pPr>
        <w:spacing w:after="0" w:line="3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2"/>
          <w:szCs w:val="12"/>
          <w:color w:val="auto"/>
        </w:rPr>
        <w:t>5</w:t>
      </w:r>
    </w:p>
    <w:p>
      <w:pPr>
        <w:sectPr>
          <w:pgSz w:w="11900" w:h="16838" w:orient="portrait"/>
          <w:cols w:equalWidth="0" w:num="1">
            <w:col w:w="11280"/>
          </w:cols>
          <w:pgMar w:left="300" w:top="642" w:right="319" w:bottom="1440" w:gutter="0" w:footer="0" w:header="0"/>
        </w:sectPr>
      </w:pPr>
    </w:p>
    <w:bookmarkStart w:id="8" w:name="page9"/>
    <w:bookmarkEnd w:id="8"/>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 xml:space="preserve">CONDENSED CONSOLIDATED STATEMENTS OF OPERATIONS </w:t>
      </w:r>
      <w:r>
        <w:rPr>
          <w:rFonts w:ascii="Times New Roman" w:cs="Times New Roman" w:eastAsia="Times New Roman" w:hAnsi="Times New Roman"/>
          <w:sz w:val="10"/>
          <w:szCs w:val="10"/>
          <w:b w:val="1"/>
          <w:bCs w:val="1"/>
          <w:color w:val="auto"/>
        </w:rPr>
        <w:t>(Unaudited)</w:t>
      </w:r>
    </w:p>
    <w:p>
      <w:pPr>
        <w:spacing w:after="0" w:line="2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(in millions, except for per share data)</w:t>
      </w: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40" w:type="dxa"/>
            <w:vAlign w:val="bottom"/>
          </w:tcPr>
          <w:p>
            <w:pPr>
              <w:spacing w:after="0"/>
              <w:rPr>
                <w:sz w:val="10"/>
                <w:szCs w:val="10"/>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Sales</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370.6</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342.6</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992.3</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907.1</w:t>
            </w:r>
          </w:p>
        </w:tc>
      </w:tr>
      <w:tr>
        <w:trPr>
          <w:trHeight w:val="153"/>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Cost of goods sold</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250.4</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231.3</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692.8</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616.9</w:t>
            </w:r>
          </w:p>
        </w:tc>
      </w:tr>
      <w:tr>
        <w:trPr>
          <w:trHeight w:val="142"/>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Gross Profit</w:t>
            </w:r>
          </w:p>
        </w:tc>
        <w:tc>
          <w:tcPr>
            <w:tcW w:w="22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120.2</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111.3</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299.5</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290.2</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Selling, general and administrative expenses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47.8</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42.6</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133.5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129.1</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Amortization of intangible assets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17.2</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14.7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46.3</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Other operating income, net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42"/>
        </w:trPr>
        <w:tc>
          <w:tcPr>
            <w:tcW w:w="64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Operating Profit</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67.5</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51.5</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151.3</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114.9</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32.8</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33.6</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before Income Taxes</w:t>
            </w:r>
          </w:p>
        </w:tc>
        <w:tc>
          <w:tcPr>
            <w:tcW w:w="22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51.6</w:t>
            </w:r>
          </w:p>
        </w:tc>
        <w:tc>
          <w:tcPr>
            <w:tcW w:w="24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41.9</w:t>
            </w:r>
          </w:p>
        </w:tc>
        <w:tc>
          <w:tcPr>
            <w:tcW w:w="34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100.9</w:t>
            </w:r>
          </w:p>
        </w:tc>
        <w:tc>
          <w:tcPr>
            <w:tcW w:w="220" w:type="dxa"/>
            <w:vAlign w:val="bottom"/>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79.7</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22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18.6</w:t>
            </w:r>
          </w:p>
        </w:tc>
        <w:tc>
          <w:tcPr>
            <w:tcW w:w="2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5.8</w:t>
            </w:r>
          </w:p>
        </w:tc>
      </w:tr>
      <w:tr>
        <w:trPr>
          <w:trHeight w:val="142"/>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Earnings Including Redeemable Noncontrolling Interest</w:t>
            </w:r>
          </w:p>
        </w:tc>
        <w:tc>
          <w:tcPr>
            <w:tcW w:w="22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38.5</w:t>
            </w: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82.3</w:t>
            </w: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73.9</w:t>
            </w: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Less: Net earnings attributable to redeemable noncontrolling interest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29.0</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33.7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56.0</w:t>
            </w:r>
          </w:p>
        </w:tc>
      </w:tr>
      <w:tr>
        <w:trPr>
          <w:trHeight w:val="158"/>
        </w:trPr>
        <w:tc>
          <w:tcPr>
            <w:tcW w:w="6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220" w:type="dxa"/>
            <w:vAlign w:val="bottom"/>
            <w:tcBorders>
              <w:top w:val="single" w:sz="8" w:color="auto"/>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4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2"/>
                <w:szCs w:val="12"/>
                <w:color w:val="auto"/>
              </w:rPr>
              <w:t>48.6</w:t>
            </w:r>
          </w:p>
        </w:tc>
        <w:tc>
          <w:tcPr>
            <w:tcW w:w="220" w:type="dxa"/>
            <w:vAlign w:val="bottom"/>
            <w:tcBorders>
              <w:bottom w:val="single" w:sz="8" w:color="CCEEFF"/>
            </w:tcBorders>
          </w:tcPr>
          <w:p>
            <w:pPr>
              <w:spacing w:after="0"/>
              <w:rPr>
                <w:sz w:val="13"/>
                <w:szCs w:val="13"/>
                <w:color w:val="auto"/>
              </w:rPr>
            </w:pPr>
          </w:p>
        </w:tc>
        <w:tc>
          <w:tcPr>
            <w:tcW w:w="360" w:type="dxa"/>
            <w:vAlign w:val="bottom"/>
            <w:tcBorders>
              <w:top w:val="single" w:sz="8" w:color="auto"/>
              <w:bottom w:val="single" w:sz="8" w:color="auto"/>
            </w:tcBorders>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17.9</w:t>
            </w:r>
          </w:p>
        </w:tc>
      </w:tr>
      <w:tr>
        <w:trPr>
          <w:trHeight w:val="153"/>
        </w:trPr>
        <w:tc>
          <w:tcPr>
            <w:tcW w:w="64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Earnings per share of Common Stock:</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0.61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tcPr>
          <w:p>
            <w:pPr>
              <w:spacing w:after="0"/>
              <w:rPr>
                <w:sz w:val="13"/>
                <w:szCs w:val="13"/>
                <w:color w:val="auto"/>
              </w:rPr>
            </w:pPr>
          </w:p>
        </w:tc>
        <w:tc>
          <w:tcPr>
            <w:tcW w:w="380" w:type="dxa"/>
            <w:vAlign w:val="bottom"/>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340" w:type="dxa"/>
            <w:vAlign w:val="bottom"/>
          </w:tcPr>
          <w:p>
            <w:pPr>
              <w:spacing w:after="0"/>
              <w:rPr>
                <w:sz w:val="13"/>
                <w:szCs w:val="13"/>
                <w:color w:val="auto"/>
              </w:rPr>
            </w:pPr>
          </w:p>
        </w:tc>
        <w:tc>
          <w:tcPr>
            <w:tcW w:w="24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0.61</w:t>
            </w:r>
          </w:p>
        </w:tc>
        <w:tc>
          <w:tcPr>
            <w:tcW w:w="220" w:type="dxa"/>
            <w:vAlign w:val="bottom"/>
          </w:tcPr>
          <w:p>
            <w:pPr>
              <w:spacing w:after="0"/>
              <w:rPr>
                <w:sz w:val="13"/>
                <w:szCs w:val="13"/>
                <w:color w:val="auto"/>
              </w:rPr>
            </w:pPr>
          </w:p>
        </w:tc>
        <w:tc>
          <w:tcPr>
            <w:tcW w:w="360" w:type="dxa"/>
            <w:vAlign w:val="bottom"/>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0.45</w:t>
            </w:r>
          </w:p>
        </w:tc>
      </w:tr>
      <w:tr>
        <w:trPr>
          <w:trHeight w:val="171"/>
        </w:trPr>
        <w:tc>
          <w:tcPr>
            <w:tcW w:w="64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r>
      <w:tr>
        <w:trPr>
          <w:trHeight w:val="153"/>
        </w:trPr>
        <w:tc>
          <w:tcPr>
            <w:tcW w:w="646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Weighted-Average shares of Common Stock Outstanding:</w:t>
            </w: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Basic</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136.3</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79.5</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39.5</w:t>
            </w:r>
          </w:p>
        </w:tc>
      </w:tr>
      <w:tr>
        <w:trPr>
          <w:trHeight w:val="155"/>
        </w:trPr>
        <w:tc>
          <w:tcPr>
            <w:tcW w:w="6460" w:type="dxa"/>
            <w:vAlign w:val="bottom"/>
          </w:tcPr>
          <w:p>
            <w:pPr>
              <w:spacing w:after="0"/>
              <w:rPr>
                <w:sz w:val="20"/>
                <w:szCs w:val="20"/>
                <w:color w:val="auto"/>
              </w:rPr>
            </w:pPr>
            <w:r>
              <w:rPr>
                <w:rFonts w:ascii="Times New Roman" w:cs="Times New Roman" w:eastAsia="Times New Roman" w:hAnsi="Times New Roman"/>
                <w:sz w:val="12"/>
                <w:szCs w:val="12"/>
                <w:color w:val="auto"/>
              </w:rPr>
              <w:t>Diluted</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136.7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79.7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39.7</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6</w:t>
      </w:r>
    </w:p>
    <w:p>
      <w:pPr>
        <w:sectPr>
          <w:pgSz w:w="11900" w:h="16838" w:orient="portrait"/>
          <w:cols w:equalWidth="0" w:num="1">
            <w:col w:w="11220"/>
          </w:cols>
          <w:pgMar w:left="340" w:top="638" w:right="339" w:bottom="1440" w:gutter="0" w:footer="0" w:header="0"/>
        </w:sectPr>
      </w:pPr>
    </w:p>
    <w:bookmarkStart w:id="9" w:name="page10"/>
    <w:bookmarkEnd w:id="9"/>
    <w:p>
      <w:pPr>
        <w:jc w:val="center"/>
        <w:ind w:right="20"/>
        <w:spacing w:after="0"/>
        <w:rPr>
          <w:sz w:val="20"/>
          <w:szCs w:val="20"/>
          <w:color w:val="auto"/>
        </w:rPr>
      </w:pPr>
      <w:r>
        <w:rPr>
          <w:rFonts w:ascii="Times New Roman" w:cs="Times New Roman" w:eastAsia="Times New Roman" w:hAnsi="Times New Roman"/>
          <w:sz w:val="12"/>
          <w:szCs w:val="12"/>
          <w:b w:val="1"/>
          <w:bCs w:val="1"/>
          <w:color w:val="auto"/>
        </w:rPr>
        <w:t>CONDENSED CONSOLIDATED BALANCE SHEETS (Unaudited)</w:t>
      </w:r>
    </w:p>
    <w:p>
      <w:pPr>
        <w:spacing w:after="0" w:line="2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2"/>
          <w:szCs w:val="12"/>
          <w:b w:val="1"/>
          <w:bCs w:val="1"/>
          <w:color w:val="auto"/>
        </w:rPr>
        <w:t>(in millions)</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4"/>
        </w:trPr>
        <w:tc>
          <w:tcPr>
            <w:tcW w:w="3200" w:type="dxa"/>
            <w:vAlign w:val="bottom"/>
            <w:tcBorders>
              <w:bottom w:val="single" w:sz="8" w:color="CCEEFF"/>
            </w:tcBorders>
          </w:tcPr>
          <w:p>
            <w:pPr>
              <w:spacing w:after="0"/>
              <w:rPr>
                <w:sz w:val="12"/>
                <w:szCs w:val="12"/>
                <w:color w:val="auto"/>
              </w:rPr>
            </w:pP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1"/>
                <w:szCs w:val="11"/>
                <w:b w:val="1"/>
                <w:bCs w:val="1"/>
                <w:color w:val="auto"/>
              </w:rPr>
              <w:t>June 30, 2022</w:t>
            </w:r>
          </w:p>
        </w:tc>
        <w:tc>
          <w:tcPr>
            <w:tcW w:w="500" w:type="dxa"/>
            <w:vAlign w:val="bottom"/>
            <w:tcBorders>
              <w:bottom w:val="single" w:sz="8" w:color="auto"/>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ind w:right="420"/>
              <w:spacing w:after="0"/>
              <w:rPr>
                <w:sz w:val="20"/>
                <w:szCs w:val="20"/>
                <w:color w:val="auto"/>
              </w:rPr>
            </w:pPr>
            <w:r>
              <w:rPr>
                <w:rFonts w:ascii="Times New Roman" w:cs="Times New Roman" w:eastAsia="Times New Roman" w:hAnsi="Times New Roman"/>
                <w:sz w:val="11"/>
                <w:szCs w:val="11"/>
                <w:b w:val="1"/>
                <w:bCs w:val="1"/>
                <w:color w:val="auto"/>
              </w:rPr>
              <w:t>September 30, 2021</w:t>
            </w:r>
          </w:p>
        </w:tc>
        <w:tc>
          <w:tcPr>
            <w:tcW w:w="0" w:type="dxa"/>
            <w:vAlign w:val="bottom"/>
          </w:tcPr>
          <w:p>
            <w:pPr>
              <w:spacing w:after="0"/>
              <w:rPr>
                <w:sz w:val="1"/>
                <w:szCs w:val="1"/>
                <w:color w:val="auto"/>
              </w:rPr>
            </w:pPr>
          </w:p>
        </w:tc>
      </w:tr>
      <w:tr>
        <w:trPr>
          <w:trHeight w:val="162"/>
        </w:trPr>
        <w:tc>
          <w:tcPr>
            <w:tcW w:w="3200" w:type="dxa"/>
            <w:vAlign w:val="bottom"/>
            <w:shd w:val="clear" w:color="auto" w:fill="CCEEFF"/>
          </w:tcPr>
          <w:p>
            <w:pPr>
              <w:spacing w:after="0"/>
              <w:rPr>
                <w:sz w:val="14"/>
                <w:szCs w:val="14"/>
                <w:color w:val="auto"/>
              </w:rPr>
            </w:pPr>
          </w:p>
        </w:tc>
        <w:tc>
          <w:tcPr>
            <w:tcW w:w="5300" w:type="dxa"/>
            <w:vAlign w:val="bottom"/>
            <w:gridSpan w:val="2"/>
            <w:shd w:val="clear" w:color="auto" w:fill="CCEEFF"/>
          </w:tcPr>
          <w:p>
            <w:pPr>
              <w:jc w:val="center"/>
              <w:ind w:right="442"/>
              <w:spacing w:after="0"/>
              <w:rPr>
                <w:sz w:val="20"/>
                <w:szCs w:val="20"/>
                <w:color w:val="auto"/>
              </w:rPr>
            </w:pPr>
            <w:r>
              <w:rPr>
                <w:rFonts w:ascii="Times New Roman" w:cs="Times New Roman" w:eastAsia="Times New Roman" w:hAnsi="Times New Roman"/>
                <w:sz w:val="11"/>
                <w:szCs w:val="11"/>
                <w:b w:val="1"/>
                <w:bCs w:val="1"/>
                <w:color w:val="auto"/>
                <w:w w:val="97"/>
              </w:rPr>
              <w:t>ASSETS</w:t>
            </w:r>
          </w:p>
        </w:tc>
        <w:tc>
          <w:tcPr>
            <w:tcW w:w="5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5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Assets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Cash and cash equivalents</w:t>
            </w:r>
          </w:p>
        </w:tc>
        <w:tc>
          <w:tcPr>
            <w:tcW w:w="5300" w:type="dxa"/>
            <w:vAlign w:val="bottom"/>
            <w:gridSpan w:val="2"/>
            <w:shd w:val="clear" w:color="auto" w:fill="CCEEFF"/>
          </w:tcPr>
          <w:p>
            <w:pPr>
              <w:jc w:val="right"/>
              <w:ind w:right="122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34.7</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152.6</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Receivables, net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148.8</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103.9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Inventories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227.9</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2"/>
                <w:szCs w:val="12"/>
                <w:color w:val="auto"/>
              </w:rPr>
              <w:t>Prepaid expenses and other current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13.7</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Assets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423.1</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388.1</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Property,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8.9</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Goodwill</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65.9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Intangible assets, net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208.3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223.1</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assets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10.5</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Assets</w:t>
            </w:r>
          </w:p>
        </w:tc>
        <w:tc>
          <w:tcPr>
            <w:tcW w:w="39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2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715.1</w:t>
            </w: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153"/>
        </w:trPr>
        <w:tc>
          <w:tcPr>
            <w:tcW w:w="3200" w:type="dxa"/>
            <w:vAlign w:val="bottom"/>
          </w:tcPr>
          <w:p>
            <w:pPr>
              <w:spacing w:after="0"/>
              <w:rPr>
                <w:sz w:val="13"/>
                <w:szCs w:val="13"/>
                <w:color w:val="auto"/>
              </w:rPr>
            </w:pP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200" w:type="dxa"/>
            <w:vAlign w:val="bottom"/>
            <w:shd w:val="clear" w:color="auto" w:fill="CCEEFF"/>
          </w:tcPr>
          <w:p>
            <w:pPr>
              <w:spacing w:after="0"/>
              <w:rPr>
                <w:sz w:val="15"/>
                <w:szCs w:val="15"/>
                <w:color w:val="auto"/>
              </w:rPr>
            </w:pPr>
          </w:p>
        </w:tc>
        <w:tc>
          <w:tcPr>
            <w:tcW w:w="5300" w:type="dxa"/>
            <w:vAlign w:val="bottom"/>
            <w:gridSpan w:val="2"/>
            <w:shd w:val="clear" w:color="auto" w:fill="CCEEFF"/>
          </w:tcPr>
          <w:p>
            <w:pPr>
              <w:jc w:val="center"/>
              <w:ind w:right="442"/>
              <w:spacing w:after="0"/>
              <w:rPr>
                <w:sz w:val="20"/>
                <w:szCs w:val="20"/>
                <w:color w:val="auto"/>
              </w:rPr>
            </w:pPr>
            <w:r>
              <w:rPr>
                <w:rFonts w:ascii="Times New Roman" w:cs="Times New Roman" w:eastAsia="Times New Roman" w:hAnsi="Times New Roman"/>
                <w:sz w:val="11"/>
                <w:szCs w:val="11"/>
                <w:b w:val="1"/>
                <w:bCs w:val="1"/>
                <w:color w:val="auto"/>
                <w:w w:val="97"/>
              </w:rPr>
              <w:t>LIABILITIES AND STOCKHOLDERS’ DEFICIT</w:t>
            </w:r>
          </w:p>
        </w:tc>
        <w:tc>
          <w:tcPr>
            <w:tcW w:w="5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Current Liabilities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Current portion of long-term debt</w:t>
            </w:r>
          </w:p>
        </w:tc>
        <w:tc>
          <w:tcPr>
            <w:tcW w:w="5300" w:type="dxa"/>
            <w:vAlign w:val="bottom"/>
            <w:gridSpan w:val="2"/>
            <w:shd w:val="clear" w:color="auto" w:fill="CCEEFF"/>
          </w:tcPr>
          <w:p>
            <w:pPr>
              <w:jc w:val="right"/>
              <w:ind w:right="1222"/>
              <w:spacing w:after="0"/>
              <w:rPr>
                <w:sz w:val="20"/>
                <w:szCs w:val="20"/>
                <w:color w:val="auto"/>
              </w:rPr>
            </w:pPr>
            <w:r>
              <w:rPr>
                <w:rFonts w:ascii="Times New Roman" w:cs="Times New Roman" w:eastAsia="Times New Roman" w:hAnsi="Times New Roman"/>
                <w:sz w:val="12"/>
                <w:szCs w:val="12"/>
                <w:color w:val="auto"/>
              </w:rPr>
              <w:t>$</w:t>
            </w: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116.3</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Accounts payable</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117.4</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Other current liabilities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59.6</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43.1</w:t>
            </w:r>
          </w:p>
        </w:tc>
        <w:tc>
          <w:tcPr>
            <w:tcW w:w="0" w:type="dxa"/>
            <w:vAlign w:val="bottom"/>
          </w:tcPr>
          <w:p>
            <w:pPr>
              <w:spacing w:after="0"/>
              <w:rPr>
                <w:sz w:val="1"/>
                <w:szCs w:val="1"/>
                <w:color w:val="auto"/>
              </w:rPr>
            </w:pPr>
          </w:p>
        </w:tc>
      </w:tr>
      <w:tr>
        <w:trPr>
          <w:trHeight w:val="142"/>
        </w:trPr>
        <w:tc>
          <w:tcPr>
            <w:tcW w:w="3200" w:type="dxa"/>
            <w:vAlign w:val="bottom"/>
          </w:tcPr>
          <w:p>
            <w:pPr>
              <w:ind w:left="340"/>
              <w:spacing w:after="0"/>
              <w:rPr>
                <w:sz w:val="20"/>
                <w:szCs w:val="20"/>
                <w:color w:val="auto"/>
              </w:rPr>
            </w:pPr>
            <w:r>
              <w:rPr>
                <w:rFonts w:ascii="Times New Roman" w:cs="Times New Roman" w:eastAsia="Times New Roman" w:hAnsi="Times New Roman"/>
                <w:sz w:val="12"/>
                <w:szCs w:val="12"/>
                <w:b w:val="1"/>
                <w:bCs w:val="1"/>
                <w:color w:val="auto"/>
              </w:rPr>
              <w:t>Total Current Liabilities</w:t>
            </w: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177.0</w:t>
            </w: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251.3</w:t>
            </w:r>
          </w:p>
        </w:tc>
        <w:tc>
          <w:tcPr>
            <w:tcW w:w="0" w:type="dxa"/>
            <w:vAlign w:val="bottom"/>
          </w:tcPr>
          <w:p>
            <w:pPr>
              <w:spacing w:after="0"/>
              <w:rPr>
                <w:sz w:val="1"/>
                <w:szCs w:val="1"/>
                <w:color w:val="auto"/>
              </w:rPr>
            </w:pPr>
          </w:p>
        </w:tc>
      </w:tr>
      <w:tr>
        <w:trPr>
          <w:trHeight w:val="144"/>
        </w:trPr>
        <w:tc>
          <w:tcPr>
            <w:tcW w:w="3200" w:type="dxa"/>
            <w:vAlign w:val="bottom"/>
            <w:shd w:val="clear" w:color="auto" w:fill="CCEEFF"/>
          </w:tcPr>
          <w:p>
            <w:pPr>
              <w:spacing w:after="0"/>
              <w:rPr>
                <w:sz w:val="12"/>
                <w:szCs w:val="12"/>
                <w:color w:val="auto"/>
              </w:rPr>
            </w:pP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tcPr>
          <w:p>
            <w:pPr>
              <w:spacing w:after="0"/>
              <w:rPr>
                <w:sz w:val="20"/>
                <w:szCs w:val="20"/>
                <w:color w:val="auto"/>
              </w:rPr>
            </w:pPr>
            <w:r>
              <w:rPr>
                <w:rFonts w:ascii="Times New Roman" w:cs="Times New Roman" w:eastAsia="Times New Roman" w:hAnsi="Times New Roman"/>
                <w:sz w:val="12"/>
                <w:szCs w:val="12"/>
                <w:color w:val="auto"/>
              </w:rPr>
              <w:t>Long-term debt</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914.2</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481.2</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Deferred income taxes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5.0</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w:t>
            </w:r>
          </w:p>
        </w:tc>
        <w:tc>
          <w:tcPr>
            <w:tcW w:w="0" w:type="dxa"/>
            <w:vAlign w:val="bottom"/>
          </w:tcPr>
          <w:p>
            <w:pPr>
              <w:spacing w:after="0"/>
              <w:rPr>
                <w:sz w:val="1"/>
                <w:szCs w:val="1"/>
                <w:color w:val="auto"/>
              </w:rPr>
            </w:pPr>
          </w:p>
        </w:tc>
      </w:tr>
      <w:tr>
        <w:trPr>
          <w:trHeight w:val="153"/>
        </w:trPr>
        <w:tc>
          <w:tcPr>
            <w:tcW w:w="32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color w:val="auto"/>
              </w:rPr>
              <w:t>Other liabilities</w:t>
            </w:r>
          </w:p>
        </w:tc>
        <w:tc>
          <w:tcPr>
            <w:tcW w:w="3940" w:type="dxa"/>
            <w:vAlign w:val="bottom"/>
            <w:tcBorders>
              <w:bottom w:val="single" w:sz="8" w:color="CCEEFF"/>
            </w:tcBorders>
          </w:tcPr>
          <w:p>
            <w:pPr>
              <w:spacing w:after="0"/>
              <w:rPr>
                <w:sz w:val="13"/>
                <w:szCs w:val="13"/>
                <w:color w:val="auto"/>
              </w:rPr>
            </w:pPr>
          </w:p>
        </w:tc>
        <w:tc>
          <w:tcPr>
            <w:tcW w:w="13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3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21.9</w:t>
            </w:r>
          </w:p>
        </w:tc>
        <w:tc>
          <w:tcPr>
            <w:tcW w:w="0" w:type="dxa"/>
            <w:vAlign w:val="bottom"/>
          </w:tcPr>
          <w:p>
            <w:pPr>
              <w:spacing w:after="0"/>
              <w:rPr>
                <w:sz w:val="1"/>
                <w:szCs w:val="1"/>
                <w:color w:val="auto"/>
              </w:rPr>
            </w:pPr>
          </w:p>
        </w:tc>
      </w:tr>
      <w:tr>
        <w:trPr>
          <w:trHeight w:val="142"/>
        </w:trPr>
        <w:tc>
          <w:tcPr>
            <w:tcW w:w="32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w:t>
            </w:r>
          </w:p>
        </w:tc>
        <w:tc>
          <w:tcPr>
            <w:tcW w:w="3940" w:type="dxa"/>
            <w:vAlign w:val="bottom"/>
            <w:shd w:val="clear" w:color="auto" w:fill="CCEEFF"/>
          </w:tcPr>
          <w:p>
            <w:pPr>
              <w:spacing w:after="0"/>
              <w:rPr>
                <w:sz w:val="12"/>
                <w:szCs w:val="12"/>
                <w:color w:val="auto"/>
              </w:rPr>
            </w:pPr>
          </w:p>
        </w:tc>
        <w:tc>
          <w:tcPr>
            <w:tcW w:w="13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1,104.7</w:t>
            </w:r>
          </w:p>
        </w:tc>
        <w:tc>
          <w:tcPr>
            <w:tcW w:w="34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762.0</w:t>
            </w:r>
          </w:p>
        </w:tc>
        <w:tc>
          <w:tcPr>
            <w:tcW w:w="0" w:type="dxa"/>
            <w:vAlign w:val="bottom"/>
          </w:tcPr>
          <w:p>
            <w:pPr>
              <w:spacing w:after="0"/>
              <w:rPr>
                <w:sz w:val="1"/>
                <w:szCs w:val="1"/>
                <w:color w:val="auto"/>
              </w:rPr>
            </w:pPr>
          </w:p>
        </w:tc>
      </w:tr>
      <w:tr>
        <w:trPr>
          <w:trHeight w:val="171"/>
        </w:trPr>
        <w:tc>
          <w:tcPr>
            <w:tcW w:w="3200" w:type="dxa"/>
            <w:vAlign w:val="bottom"/>
          </w:tcPr>
          <w:p>
            <w:pPr>
              <w:spacing w:after="0"/>
              <w:rPr>
                <w:sz w:val="14"/>
                <w:szCs w:val="14"/>
                <w:color w:val="auto"/>
              </w:rPr>
            </w:pPr>
          </w:p>
        </w:tc>
        <w:tc>
          <w:tcPr>
            <w:tcW w:w="3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Redeemable noncontrolling interest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2,997.3</w:t>
            </w:r>
          </w:p>
        </w:tc>
        <w:tc>
          <w:tcPr>
            <w:tcW w:w="0" w:type="dxa"/>
            <w:vAlign w:val="bottom"/>
          </w:tcPr>
          <w:p>
            <w:pPr>
              <w:spacing w:after="0"/>
              <w:rPr>
                <w:sz w:val="1"/>
                <w:szCs w:val="1"/>
                <w:color w:val="auto"/>
              </w:rPr>
            </w:pPr>
          </w:p>
        </w:tc>
      </w:tr>
      <w:tr>
        <w:trPr>
          <w:trHeight w:val="144"/>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Stockholders’ Deficit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Preferred stock</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8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Common stock</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1.4</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Additional paid-in capital</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4.0</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Accumulated deficit</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(389.3)</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(3,059.7)</w:t>
            </w:r>
          </w:p>
        </w:tc>
        <w:tc>
          <w:tcPr>
            <w:tcW w:w="0" w:type="dxa"/>
            <w:vAlign w:val="bottom"/>
          </w:tcPr>
          <w:p>
            <w:pPr>
              <w:spacing w:after="0"/>
              <w:rPr>
                <w:sz w:val="1"/>
                <w:szCs w:val="1"/>
                <w:color w:val="auto"/>
              </w:rPr>
            </w:pPr>
          </w:p>
        </w:tc>
      </w:tr>
      <w:tr>
        <w:trPr>
          <w:trHeight w:val="153"/>
        </w:trPr>
        <w:tc>
          <w:tcPr>
            <w:tcW w:w="3200" w:type="dxa"/>
            <w:vAlign w:val="bottom"/>
          </w:tcPr>
          <w:p>
            <w:pPr>
              <w:ind w:left="120"/>
              <w:spacing w:after="0"/>
              <w:rPr>
                <w:sz w:val="20"/>
                <w:szCs w:val="20"/>
                <w:color w:val="auto"/>
              </w:rPr>
            </w:pPr>
            <w:r>
              <w:rPr>
                <w:rFonts w:ascii="Times New Roman" w:cs="Times New Roman" w:eastAsia="Times New Roman" w:hAnsi="Times New Roman"/>
                <w:sz w:val="12"/>
                <w:szCs w:val="12"/>
                <w:color w:val="auto"/>
              </w:rPr>
              <w:t>Accumulated other comprehensive loss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(3.3)</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(3.5)</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2"/>
                <w:szCs w:val="12"/>
                <w:color w:val="auto"/>
              </w:rPr>
              <w:t>Treasury stock, at cost</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(2.4)</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0" w:type="dxa"/>
            <w:vAlign w:val="bottom"/>
          </w:tcPr>
          <w:p>
            <w:pPr>
              <w:spacing w:after="0"/>
              <w:rPr>
                <w:sz w:val="1"/>
                <w:szCs w:val="1"/>
                <w:color w:val="auto"/>
              </w:rPr>
            </w:pPr>
          </w:p>
        </w:tc>
      </w:tr>
      <w:tr>
        <w:trPr>
          <w:trHeight w:val="142"/>
        </w:trPr>
        <w:tc>
          <w:tcPr>
            <w:tcW w:w="32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2"/>
                <w:szCs w:val="12"/>
                <w:b w:val="1"/>
                <w:bCs w:val="1"/>
                <w:color w:val="auto"/>
              </w:rPr>
              <w:t>Total Stockholders’ Deficit</w:t>
            </w:r>
          </w:p>
        </w:tc>
        <w:tc>
          <w:tcPr>
            <w:tcW w:w="3940" w:type="dxa"/>
            <w:vAlign w:val="bottom"/>
            <w:tcBorders>
              <w:bottom w:val="single" w:sz="8" w:color="CCEEFF"/>
            </w:tcBorders>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(389.6)</w:t>
            </w:r>
          </w:p>
        </w:tc>
        <w:tc>
          <w:tcPr>
            <w:tcW w:w="340" w:type="dxa"/>
            <w:vAlign w:val="bottom"/>
            <w:tcBorders>
              <w:bottom w:val="single" w:sz="8" w:color="CCEEFF"/>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(3,062.8)</w:t>
            </w:r>
          </w:p>
        </w:tc>
        <w:tc>
          <w:tcPr>
            <w:tcW w:w="0" w:type="dxa"/>
            <w:vAlign w:val="bottom"/>
          </w:tcPr>
          <w:p>
            <w:pPr>
              <w:spacing w:after="0"/>
              <w:rPr>
                <w:sz w:val="1"/>
                <w:szCs w:val="1"/>
                <w:color w:val="auto"/>
              </w:rPr>
            </w:pPr>
          </w:p>
        </w:tc>
      </w:tr>
      <w:tr>
        <w:trPr>
          <w:trHeight w:val="158"/>
        </w:trPr>
        <w:tc>
          <w:tcPr>
            <w:tcW w:w="32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2"/>
                <w:szCs w:val="12"/>
                <w:b w:val="1"/>
                <w:bCs w:val="1"/>
                <w:color w:val="auto"/>
              </w:rPr>
              <w:t>Total Liabilities and Stockholders’ Deficit</w:t>
            </w:r>
          </w:p>
        </w:tc>
        <w:tc>
          <w:tcPr>
            <w:tcW w:w="394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jc w:val="right"/>
              <w:ind w:right="12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715.1</w:t>
            </w:r>
          </w:p>
        </w:tc>
        <w:tc>
          <w:tcPr>
            <w:tcW w:w="3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696.5</w:t>
            </w:r>
          </w:p>
        </w:tc>
        <w:tc>
          <w:tcPr>
            <w:tcW w:w="0" w:type="dxa"/>
            <w:vAlign w:val="bottom"/>
          </w:tcPr>
          <w:p>
            <w:pPr>
              <w:spacing w:after="0"/>
              <w:rPr>
                <w:sz w:val="1"/>
                <w:szCs w:val="1"/>
                <w:color w:val="auto"/>
              </w:rPr>
            </w:pPr>
          </w:p>
        </w:tc>
      </w:tr>
      <w:tr>
        <w:trPr>
          <w:trHeight w:val="502"/>
        </w:trPr>
        <w:tc>
          <w:tcPr>
            <w:tcW w:w="3200" w:type="dxa"/>
            <w:vAlign w:val="bottom"/>
          </w:tcPr>
          <w:p>
            <w:pPr>
              <w:spacing w:after="0"/>
              <w:rPr>
                <w:sz w:val="24"/>
                <w:szCs w:val="24"/>
                <w:color w:val="auto"/>
              </w:rPr>
            </w:pPr>
          </w:p>
        </w:tc>
        <w:tc>
          <w:tcPr>
            <w:tcW w:w="5300" w:type="dxa"/>
            <w:vAlign w:val="bottom"/>
            <w:gridSpan w:val="2"/>
          </w:tcPr>
          <w:p>
            <w:pPr>
              <w:jc w:val="center"/>
              <w:ind w:right="442"/>
              <w:spacing w:after="0"/>
              <w:rPr>
                <w:sz w:val="20"/>
                <w:szCs w:val="20"/>
                <w:color w:val="auto"/>
              </w:rPr>
            </w:pPr>
            <w:r>
              <w:rPr>
                <w:rFonts w:ascii="Times New Roman" w:cs="Times New Roman" w:eastAsia="Times New Roman" w:hAnsi="Times New Roman"/>
                <w:sz w:val="11"/>
                <w:szCs w:val="11"/>
                <w:b w:val="1"/>
                <w:bCs w:val="1"/>
                <w:color w:val="auto"/>
                <w:w w:val="97"/>
              </w:rPr>
              <w:t>SELECTED CONDENSED CONSOLIDATED CASH FLOWS INFORMATION (Unaudited)</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3200" w:type="dxa"/>
            <w:vAlign w:val="bottom"/>
          </w:tcPr>
          <w:p>
            <w:pPr>
              <w:spacing w:after="0"/>
              <w:rPr>
                <w:sz w:val="12"/>
                <w:szCs w:val="12"/>
                <w:color w:val="auto"/>
              </w:rPr>
            </w:pPr>
          </w:p>
        </w:tc>
        <w:tc>
          <w:tcPr>
            <w:tcW w:w="5300" w:type="dxa"/>
            <w:vAlign w:val="bottom"/>
            <w:gridSpan w:val="2"/>
          </w:tcPr>
          <w:p>
            <w:pPr>
              <w:jc w:val="center"/>
              <w:ind w:right="442"/>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3200" w:type="dxa"/>
            <w:vAlign w:val="bottom"/>
          </w:tcPr>
          <w:p>
            <w:pPr>
              <w:spacing w:after="0"/>
              <w:rPr>
                <w:sz w:val="10"/>
                <w:szCs w:val="10"/>
                <w:color w:val="auto"/>
              </w:rPr>
            </w:pPr>
          </w:p>
        </w:tc>
        <w:tc>
          <w:tcPr>
            <w:tcW w:w="394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20" w:type="dxa"/>
            <w:vAlign w:val="bottom"/>
            <w:gridSpan w:val="3"/>
          </w:tcPr>
          <w:p>
            <w:pPr>
              <w:jc w:val="right"/>
              <w:ind w:right="40"/>
              <w:spacing w:after="0" w:line="121" w:lineRule="exact"/>
              <w:rPr>
                <w:sz w:val="20"/>
                <w:szCs w:val="20"/>
                <w:color w:val="auto"/>
              </w:rPr>
            </w:pPr>
            <w:r>
              <w:rPr>
                <w:rFonts w:ascii="Times New Roman" w:cs="Times New Roman" w:eastAsia="Times New Roman" w:hAnsi="Times New Roman"/>
                <w:sz w:val="11"/>
                <w:szCs w:val="11"/>
                <w:b w:val="1"/>
                <w:bCs w:val="1"/>
                <w:color w:val="auto"/>
              </w:rPr>
              <w:t>Nine Months Ended</w:t>
            </w:r>
          </w:p>
        </w:tc>
        <w:tc>
          <w:tcPr>
            <w:tcW w:w="15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3200" w:type="dxa"/>
            <w:vAlign w:val="bottom"/>
          </w:tcPr>
          <w:p>
            <w:pPr>
              <w:spacing w:after="0"/>
              <w:rPr>
                <w:sz w:val="12"/>
                <w:szCs w:val="12"/>
                <w:color w:val="auto"/>
              </w:rPr>
            </w:pPr>
          </w:p>
        </w:tc>
        <w:tc>
          <w:tcPr>
            <w:tcW w:w="3940" w:type="dxa"/>
            <w:vAlign w:val="bottom"/>
          </w:tcPr>
          <w:p>
            <w:pPr>
              <w:spacing w:after="0"/>
              <w:rPr>
                <w:sz w:val="12"/>
                <w:szCs w:val="12"/>
                <w:color w:val="auto"/>
              </w:rPr>
            </w:pPr>
          </w:p>
        </w:tc>
        <w:tc>
          <w:tcPr>
            <w:tcW w:w="1360" w:type="dxa"/>
            <w:vAlign w:val="bottom"/>
            <w:tcBorders>
              <w:bottom w:val="single" w:sz="8" w:color="auto"/>
            </w:tcBorders>
          </w:tcPr>
          <w:p>
            <w:pPr>
              <w:spacing w:after="0"/>
              <w:rPr>
                <w:sz w:val="12"/>
                <w:szCs w:val="12"/>
                <w:color w:val="auto"/>
              </w:rPr>
            </w:pPr>
          </w:p>
        </w:tc>
        <w:tc>
          <w:tcPr>
            <w:tcW w:w="122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150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3200" w:type="dxa"/>
            <w:vAlign w:val="bottom"/>
            <w:tcBorders>
              <w:bottom w:val="single" w:sz="8" w:color="CCEEFF"/>
            </w:tcBorders>
          </w:tcPr>
          <w:p>
            <w:pPr>
              <w:spacing w:after="0"/>
              <w:rPr>
                <w:sz w:val="11"/>
                <w:szCs w:val="11"/>
                <w:color w:val="auto"/>
              </w:rPr>
            </w:pPr>
          </w:p>
        </w:tc>
        <w:tc>
          <w:tcPr>
            <w:tcW w:w="3940" w:type="dxa"/>
            <w:vAlign w:val="bottom"/>
            <w:tcBorders>
              <w:bottom w:val="single" w:sz="8" w:color="CCEEFF"/>
            </w:tcBorders>
          </w:tcPr>
          <w:p>
            <w:pPr>
              <w:spacing w:after="0"/>
              <w:rPr>
                <w:sz w:val="11"/>
                <w:szCs w:val="11"/>
                <w:color w:val="auto"/>
              </w:rPr>
            </w:pPr>
          </w:p>
        </w:tc>
        <w:tc>
          <w:tcPr>
            <w:tcW w:w="136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1"/>
                <w:szCs w:val="11"/>
                <w:b w:val="1"/>
                <w:bCs w:val="1"/>
                <w:color w:val="auto"/>
              </w:rPr>
              <w:t>2022</w:t>
            </w:r>
          </w:p>
        </w:tc>
        <w:tc>
          <w:tcPr>
            <w:tcW w:w="500" w:type="dxa"/>
            <w:vAlign w:val="bottom"/>
            <w:tcBorders>
              <w:bottom w:val="single" w:sz="8" w:color="auto"/>
            </w:tcBorders>
          </w:tcPr>
          <w:p>
            <w:pPr>
              <w:spacing w:after="0"/>
              <w:rPr>
                <w:sz w:val="11"/>
                <w:szCs w:val="11"/>
                <w:color w:val="auto"/>
              </w:rPr>
            </w:pPr>
          </w:p>
        </w:tc>
        <w:tc>
          <w:tcPr>
            <w:tcW w:w="3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jc w:val="right"/>
              <w:ind w:right="780"/>
              <w:spacing w:after="0"/>
              <w:rPr>
                <w:sz w:val="20"/>
                <w:szCs w:val="20"/>
                <w:color w:val="auto"/>
              </w:rPr>
            </w:pPr>
            <w:r>
              <w:rPr>
                <w:rFonts w:ascii="Times New Roman" w:cs="Times New Roman" w:eastAsia="Times New Roman" w:hAnsi="Times New Roman"/>
                <w:sz w:val="11"/>
                <w:szCs w:val="11"/>
                <w:b w:val="1"/>
                <w:bCs w:val="1"/>
                <w:color w:val="auto"/>
              </w:rPr>
              <w:t>2021</w:t>
            </w:r>
          </w:p>
        </w:tc>
        <w:tc>
          <w:tcPr>
            <w:tcW w:w="0" w:type="dxa"/>
            <w:vAlign w:val="bottom"/>
          </w:tcPr>
          <w:p>
            <w:pPr>
              <w:spacing w:after="0"/>
              <w:rPr>
                <w:sz w:val="1"/>
                <w:szCs w:val="1"/>
                <w:color w:val="auto"/>
              </w:rPr>
            </w:pPr>
          </w:p>
        </w:tc>
      </w:tr>
      <w:tr>
        <w:trPr>
          <w:trHeight w:val="134"/>
        </w:trPr>
        <w:tc>
          <w:tcPr>
            <w:tcW w:w="3200" w:type="dxa"/>
            <w:vAlign w:val="bottom"/>
            <w:shd w:val="clear" w:color="auto" w:fill="CCEEFF"/>
          </w:tcPr>
          <w:p>
            <w:pPr>
              <w:spacing w:after="0" w:line="134" w:lineRule="exact"/>
              <w:rPr>
                <w:sz w:val="20"/>
                <w:szCs w:val="20"/>
                <w:color w:val="auto"/>
              </w:rPr>
            </w:pPr>
            <w:r>
              <w:rPr>
                <w:rFonts w:ascii="Times New Roman" w:cs="Times New Roman" w:eastAsia="Times New Roman" w:hAnsi="Times New Roman"/>
                <w:sz w:val="12"/>
                <w:szCs w:val="12"/>
                <w:b w:val="1"/>
                <w:bCs w:val="1"/>
                <w:color w:val="auto"/>
              </w:rPr>
              <w:t>Cash provided by (used in):</w:t>
            </w:r>
          </w:p>
        </w:tc>
        <w:tc>
          <w:tcPr>
            <w:tcW w:w="3940" w:type="dxa"/>
            <w:vAlign w:val="bottom"/>
            <w:shd w:val="clear" w:color="auto" w:fill="CCEEFF"/>
          </w:tcPr>
          <w:p>
            <w:pPr>
              <w:spacing w:after="0"/>
              <w:rPr>
                <w:sz w:val="11"/>
                <w:szCs w:val="11"/>
                <w:color w:val="auto"/>
              </w:rPr>
            </w:pPr>
          </w:p>
        </w:tc>
        <w:tc>
          <w:tcPr>
            <w:tcW w:w="136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Operating activities</w:t>
            </w:r>
          </w:p>
        </w:tc>
        <w:tc>
          <w:tcPr>
            <w:tcW w:w="5300" w:type="dxa"/>
            <w:vAlign w:val="bottom"/>
            <w:gridSpan w:val="2"/>
          </w:tcPr>
          <w:p>
            <w:pPr>
              <w:jc w:val="right"/>
              <w:ind w:right="1222"/>
              <w:spacing w:after="0"/>
              <w:rPr>
                <w:sz w:val="20"/>
                <w:szCs w:val="20"/>
                <w:color w:val="auto"/>
              </w:rPr>
            </w:pPr>
            <w:r>
              <w:rPr>
                <w:rFonts w:ascii="Times New Roman" w:cs="Times New Roman" w:eastAsia="Times New Roman" w:hAnsi="Times New Roman"/>
                <w:sz w:val="12"/>
                <w:szCs w:val="12"/>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11.4</w:t>
            </w:r>
          </w:p>
        </w:tc>
        <w:tc>
          <w:tcPr>
            <w:tcW w:w="340" w:type="dxa"/>
            <w:vAlign w:val="bottom"/>
          </w:tcPr>
          <w:p>
            <w:pPr>
              <w:spacing w:after="0"/>
              <w:rPr>
                <w:sz w:val="13"/>
                <w:szCs w:val="13"/>
                <w:color w:val="auto"/>
              </w:rPr>
            </w:pPr>
          </w:p>
        </w:tc>
        <w:tc>
          <w:tcPr>
            <w:tcW w:w="380" w:type="dxa"/>
            <w:vAlign w:val="bottom"/>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145.9</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2"/>
                <w:szCs w:val="12"/>
                <w:color w:val="auto"/>
              </w:rPr>
              <w:t>Investing activities</w:t>
            </w:r>
          </w:p>
        </w:tc>
        <w:tc>
          <w:tcPr>
            <w:tcW w:w="3940" w:type="dxa"/>
            <w:vAlign w:val="bottom"/>
            <w:shd w:val="clear" w:color="auto" w:fill="CCEEFF"/>
          </w:tcPr>
          <w:p>
            <w:pPr>
              <w:spacing w:after="0"/>
              <w:rPr>
                <w:sz w:val="13"/>
                <w:szCs w:val="13"/>
                <w:color w:val="auto"/>
              </w:rPr>
            </w:pPr>
          </w:p>
        </w:tc>
        <w:tc>
          <w:tcPr>
            <w:tcW w:w="1360" w:type="dxa"/>
            <w:vAlign w:val="bottom"/>
            <w:shd w:val="clear" w:color="auto" w:fill="CCEEFF"/>
          </w:tcPr>
          <w:p>
            <w:pPr>
              <w:spacing w:after="0"/>
              <w:rPr>
                <w:sz w:val="13"/>
                <w:szCs w:val="13"/>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(1.2)</w:t>
            </w:r>
          </w:p>
        </w:tc>
        <w:tc>
          <w:tcPr>
            <w:tcW w:w="3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(0.8)</w:t>
            </w:r>
          </w:p>
        </w:tc>
        <w:tc>
          <w:tcPr>
            <w:tcW w:w="0" w:type="dxa"/>
            <w:vAlign w:val="bottom"/>
          </w:tcPr>
          <w:p>
            <w:pPr>
              <w:spacing w:after="0"/>
              <w:rPr>
                <w:sz w:val="1"/>
                <w:szCs w:val="1"/>
                <w:color w:val="auto"/>
              </w:rPr>
            </w:pPr>
          </w:p>
        </w:tc>
      </w:tr>
      <w:tr>
        <w:trPr>
          <w:trHeight w:val="153"/>
        </w:trPr>
        <w:tc>
          <w:tcPr>
            <w:tcW w:w="3200" w:type="dxa"/>
            <w:vAlign w:val="bottom"/>
          </w:tcPr>
          <w:p>
            <w:pPr>
              <w:ind w:left="140"/>
              <w:spacing w:after="0"/>
              <w:rPr>
                <w:sz w:val="20"/>
                <w:szCs w:val="20"/>
                <w:color w:val="auto"/>
              </w:rPr>
            </w:pPr>
            <w:r>
              <w:rPr>
                <w:rFonts w:ascii="Times New Roman" w:cs="Times New Roman" w:eastAsia="Times New Roman" w:hAnsi="Times New Roman"/>
                <w:sz w:val="12"/>
                <w:szCs w:val="12"/>
                <w:color w:val="auto"/>
              </w:rPr>
              <w:t>Financing activities</w:t>
            </w:r>
          </w:p>
        </w:tc>
        <w:tc>
          <w:tcPr>
            <w:tcW w:w="394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(127.7)</w:t>
            </w:r>
          </w:p>
        </w:tc>
        <w:tc>
          <w:tcPr>
            <w:tcW w:w="3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(105.0)</w:t>
            </w:r>
          </w:p>
        </w:tc>
        <w:tc>
          <w:tcPr>
            <w:tcW w:w="0" w:type="dxa"/>
            <w:vAlign w:val="bottom"/>
          </w:tcPr>
          <w:p>
            <w:pPr>
              <w:spacing w:after="0"/>
              <w:rPr>
                <w:sz w:val="1"/>
                <w:szCs w:val="1"/>
                <w:color w:val="auto"/>
              </w:rPr>
            </w:pPr>
          </w:p>
        </w:tc>
      </w:tr>
      <w:tr>
        <w:trPr>
          <w:trHeight w:val="15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Effect of exchange rate changes on cash and cash equivalents</w:t>
            </w:r>
          </w:p>
        </w:tc>
        <w:tc>
          <w:tcPr>
            <w:tcW w:w="3940" w:type="dxa"/>
            <w:vAlign w:val="bottom"/>
            <w:shd w:val="clear" w:color="auto" w:fill="CCEEFF"/>
          </w:tcPr>
          <w:p>
            <w:pPr>
              <w:spacing w:after="0"/>
              <w:rPr>
                <w:sz w:val="13"/>
                <w:szCs w:val="13"/>
                <w:color w:val="auto"/>
              </w:rPr>
            </w:pPr>
          </w:p>
        </w:tc>
        <w:tc>
          <w:tcPr>
            <w:tcW w:w="1360" w:type="dxa"/>
            <w:vAlign w:val="bottom"/>
            <w:tcBorders>
              <w:bottom w:val="single" w:sz="8" w:color="auto"/>
            </w:tcBorders>
            <w:shd w:val="clear" w:color="auto" w:fill="CCEEFF"/>
          </w:tcPr>
          <w:p>
            <w:pPr>
              <w:spacing w:after="0"/>
              <w:rPr>
                <w:sz w:val="13"/>
                <w:szCs w:val="13"/>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0.6</w:t>
            </w:r>
          </w:p>
        </w:tc>
        <w:tc>
          <w:tcPr>
            <w:tcW w:w="0" w:type="dxa"/>
            <w:vAlign w:val="bottom"/>
          </w:tcPr>
          <w:p>
            <w:pPr>
              <w:spacing w:after="0"/>
              <w:rPr>
                <w:sz w:val="1"/>
                <w:szCs w:val="1"/>
                <w:color w:val="auto"/>
              </w:rPr>
            </w:pPr>
          </w:p>
        </w:tc>
      </w:tr>
      <w:tr>
        <w:trPr>
          <w:trHeight w:val="142"/>
        </w:trPr>
        <w:tc>
          <w:tcPr>
            <w:tcW w:w="3200" w:type="dxa"/>
            <w:vAlign w:val="bottom"/>
          </w:tcPr>
          <w:p>
            <w:pPr>
              <w:spacing w:after="0"/>
              <w:rPr>
                <w:sz w:val="20"/>
                <w:szCs w:val="20"/>
                <w:color w:val="auto"/>
              </w:rPr>
            </w:pPr>
            <w:r>
              <w:rPr>
                <w:rFonts w:ascii="Times New Roman" w:cs="Times New Roman" w:eastAsia="Times New Roman" w:hAnsi="Times New Roman"/>
                <w:sz w:val="12"/>
                <w:szCs w:val="12"/>
                <w:b w:val="1"/>
                <w:bCs w:val="1"/>
                <w:color w:val="auto"/>
              </w:rPr>
              <w:t>Net (decrease) increase in cash and cash equivalents</w:t>
            </w:r>
          </w:p>
        </w:tc>
        <w:tc>
          <w:tcPr>
            <w:tcW w:w="3940" w:type="dxa"/>
            <w:vAlign w:val="bottom"/>
          </w:tcPr>
          <w:p>
            <w:pPr>
              <w:spacing w:after="0"/>
              <w:rPr>
                <w:sz w:val="12"/>
                <w:szCs w:val="12"/>
                <w:color w:val="auto"/>
              </w:rPr>
            </w:pPr>
          </w:p>
        </w:tc>
        <w:tc>
          <w:tcPr>
            <w:tcW w:w="1360" w:type="dxa"/>
            <w:vAlign w:val="bottom"/>
            <w:tcBorders>
              <w:bottom w:val="single" w:sz="8" w:color="auto"/>
            </w:tcBorders>
          </w:tcPr>
          <w:p>
            <w:pPr>
              <w:jc w:val="right"/>
              <w:ind w:right="1222"/>
              <w:spacing w:after="0"/>
              <w:rPr>
                <w:sz w:val="20"/>
                <w:szCs w:val="20"/>
                <w:color w:val="auto"/>
              </w:rPr>
            </w:pPr>
            <w:r>
              <w:rPr>
                <w:rFonts w:ascii="Times New Roman" w:cs="Times New Roman" w:eastAsia="Times New Roman" w:hAnsi="Times New Roman"/>
                <w:sz w:val="12"/>
                <w:szCs w:val="12"/>
                <w:color w:val="auto"/>
                <w:w w:val="99"/>
              </w:rPr>
              <w:t>$</w:t>
            </w: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(117.9)</w:t>
            </w:r>
          </w:p>
        </w:tc>
        <w:tc>
          <w:tcPr>
            <w:tcW w:w="340" w:type="dxa"/>
            <w:vAlign w:val="bottom"/>
          </w:tcPr>
          <w:p>
            <w:pPr>
              <w:spacing w:after="0"/>
              <w:rPr>
                <w:sz w:val="12"/>
                <w:szCs w:val="12"/>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40.7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3940" w:type="dxa"/>
            <w:vAlign w:val="bottom"/>
            <w:vMerge w:val="restart"/>
          </w:tcPr>
          <w:p>
            <w:pPr>
              <w:jc w:val="center"/>
              <w:ind w:left="823"/>
              <w:spacing w:after="0"/>
              <w:rPr>
                <w:sz w:val="20"/>
                <w:szCs w:val="20"/>
                <w:color w:val="auto"/>
              </w:rPr>
            </w:pPr>
            <w:r>
              <w:rPr>
                <w:rFonts w:ascii="Times New Roman" w:cs="Times New Roman" w:eastAsia="Times New Roman" w:hAnsi="Times New Roman"/>
                <w:sz w:val="12"/>
                <w:szCs w:val="12"/>
                <w:color w:val="auto"/>
                <w:w w:val="99"/>
              </w:rPr>
              <w:t>7</w:t>
            </w:r>
          </w:p>
        </w:tc>
        <w:tc>
          <w:tcPr>
            <w:tcW w:w="13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14"/>
        </w:trPr>
        <w:tc>
          <w:tcPr>
            <w:tcW w:w="3200" w:type="dxa"/>
            <w:vAlign w:val="bottom"/>
          </w:tcPr>
          <w:p>
            <w:pPr>
              <w:spacing w:after="0"/>
              <w:rPr>
                <w:sz w:val="24"/>
                <w:szCs w:val="24"/>
                <w:color w:val="auto"/>
              </w:rPr>
            </w:pPr>
          </w:p>
        </w:tc>
        <w:tc>
          <w:tcPr>
            <w:tcW w:w="394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20"/>
          </w:cols>
          <w:pgMar w:left="340" w:top="638"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1"/>
          <w:szCs w:val="11"/>
          <w:b w:val="1"/>
          <w:bCs w:val="1"/>
          <w:color w:val="auto"/>
        </w:rPr>
        <w:t>EXPLANATION AND RECONCILIATION OF NON-GAAP MEASURES</w:t>
      </w:r>
    </w:p>
    <w:p>
      <w:pPr>
        <w:spacing w:after="0" w:line="108"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BellRing uses certain non-GAAP measures in this release to supplement the financial measures prepared in accordance with U.S. generally accepted accounting principles (“GAAP”). These non-GAAP measures include Adjusted net earnings available to common stockholders, Adjusted diluted earnings per share of common stock and Adjusted EBITDA. The reconciliation of each of these non-GAAP measures to the most directly comparable GAAP measure is provided in the tables following this section. Non-GAAP measures are not prepared in accordance with GAAP, as they exclude certain items as described below. These non-GAAP measures may not be comparable to similarly titled measures of other companies.</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net earnings available to common stockholders and Adjusted diluted earnings per share of common stock</w:t>
      </w:r>
    </w:p>
    <w:p>
      <w:pPr>
        <w:spacing w:after="0" w:line="17" w:lineRule="exact"/>
        <w:rPr>
          <w:sz w:val="20"/>
          <w:szCs w:val="20"/>
          <w:color w:val="auto"/>
        </w:rPr>
      </w:pPr>
    </w:p>
    <w:p>
      <w:pPr>
        <w:ind w:right="100"/>
        <w:spacing w:after="0" w:line="260" w:lineRule="auto"/>
        <w:rPr>
          <w:sz w:val="20"/>
          <w:szCs w:val="20"/>
          <w:color w:val="auto"/>
        </w:rPr>
      </w:pPr>
      <w:r>
        <w:rPr>
          <w:rFonts w:ascii="Times New Roman" w:cs="Times New Roman" w:eastAsia="Times New Roman" w:hAnsi="Times New Roman"/>
          <w:sz w:val="12"/>
          <w:szCs w:val="12"/>
          <w:color w:val="auto"/>
        </w:rPr>
        <w:t>BellRing believes Adjusted net earnings available to common stockholders and Adjusted diluted earnings per share of common stock are useful to investors in evaluating BellRing’s operating performance because they exclude items that affect the comparability of BellRing’s financial results and could potentially distort an understanding of the trends in business performance.</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Adjusted net earnings available to common stockholders and Adjusted diluted earnings per share of common stock are adjusted for the following items:</w:t>
      </w:r>
    </w:p>
    <w:p>
      <w:pPr>
        <w:spacing w:after="0" w:line="17" w:lineRule="exact"/>
        <w:rPr>
          <w:sz w:val="20"/>
          <w:szCs w:val="20"/>
          <w:color w:val="auto"/>
        </w:rPr>
      </w:pPr>
    </w:p>
    <w:p>
      <w:pPr>
        <w:jc w:val="both"/>
        <w:ind w:left="420" w:right="16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Accelerated amortization</w:t>
      </w:r>
      <w:r>
        <w:rPr>
          <w:rFonts w:ascii="Times New Roman" w:cs="Times New Roman" w:eastAsia="Times New Roman" w:hAnsi="Times New Roman"/>
          <w:sz w:val="12"/>
          <w:szCs w:val="12"/>
          <w:color w:val="auto"/>
        </w:rPr>
        <w:t>: BellRing has excluded non-cash accelerated amortization charges recorded in connection with the discontinuation of certain brands as the amount and frequency of such charges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charges do not reflect expected ongoing future operating expenses and do not contribute to a meaningful evaluation of BellRing’s current operating performance or comparisons of BellRing’s operating performance to other periods.</w:t>
      </w:r>
    </w:p>
    <w:p>
      <w:pPr>
        <w:ind w:left="4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Loss on extinguishment and refinancing of debt, net</w:t>
      </w:r>
      <w:r>
        <w:rPr>
          <w:rFonts w:ascii="Times New Roman" w:cs="Times New Roman" w:eastAsia="Times New Roman" w:hAnsi="Times New Roman"/>
          <w:sz w:val="12"/>
          <w:szCs w:val="12"/>
          <w:color w:val="auto"/>
        </w:rPr>
        <w:t>: BellRing has excluded losses recorded on extinguishment and refinancing of debt, inclusive of the write-off of debt issuance costs and deferred financing fees and the write-off of net unamortized debt discounts, as such losses are inconsistent in amount and frequency.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10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Separation costs</w:t>
      </w:r>
      <w:r>
        <w:rPr>
          <w:rFonts w:ascii="Times New Roman" w:cs="Times New Roman" w:eastAsia="Times New Roman" w:hAnsi="Times New Roman"/>
          <w:sz w:val="12"/>
          <w:szCs w:val="12"/>
          <w:color w:val="auto"/>
        </w:rPr>
        <w:t>: BellRing has excluded certain expenses incurred (i) to effect its separation from Post, (ii) in connection with Post’s distribution of 80.1% of its interest in BellRing and (iii) to support its transition into a</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separate stand-alone, publicly-traded entity, as the amount and frequency of such expenses are not consistent. 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3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Restructuring and facility closure costs, including accelerated depreciation</w:t>
      </w:r>
      <w:r>
        <w:rPr>
          <w:rFonts w:ascii="Times New Roman" w:cs="Times New Roman" w:eastAsia="Times New Roman" w:hAnsi="Times New Roman"/>
          <w:sz w:val="12"/>
          <w:szCs w:val="12"/>
          <w:color w:val="auto"/>
        </w:rPr>
        <w:t>: BellRing has excluded certain costs associated with facility closures as the amount and frequency of such adjustments are not consistent.</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Additionally, BellRing believes that these costs do not reflect expected ongoing future operating expenses and do not contribute to a meaningful evaluation of BellRing’s current operating performance or comparisons of BellRing’s operating performance to other periods.</w:t>
      </w:r>
    </w:p>
    <w:p>
      <w:pPr>
        <w:ind w:left="420" w:right="180" w:hanging="212"/>
        <w:spacing w:after="0" w:line="250" w:lineRule="auto"/>
        <w:tabs>
          <w:tab w:leader="none" w:pos="413"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Resolution of dispute with former contract manufacturer</w:t>
      </w:r>
      <w:r>
        <w:rPr>
          <w:rFonts w:ascii="Times New Roman" w:cs="Times New Roman" w:eastAsia="Times New Roman" w:hAnsi="Times New Roman"/>
          <w:sz w:val="12"/>
          <w:szCs w:val="12"/>
          <w:color w:val="auto"/>
        </w:rPr>
        <w:t>: BellRing has excluded certain non-cash write-offs recorded in connection with the resolution of a dispute with a former contract manufacturer as the amount and</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frequency of such losses are not consistent. Additionally, BellRing believes that these losses do not reflect expected ongoing future operating expenses and do not contribute to a meaningful evaluation of BellRing’s current operating performance or comparisons of BellRing’s operating performance to other periods.</w:t>
      </w:r>
    </w:p>
    <w:p>
      <w:pPr>
        <w:ind w:left="420" w:right="460" w:hanging="212"/>
        <w:spacing w:after="0" w:line="250" w:lineRule="auto"/>
        <w:tabs>
          <w:tab w:leader="none" w:pos="418"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Foreign currency gain/loss on intercompany loans</w:t>
      </w:r>
      <w:r>
        <w:rPr>
          <w:rFonts w:ascii="Times New Roman" w:cs="Times New Roman" w:eastAsia="Times New Roman" w:hAnsi="Times New Roman"/>
          <w:sz w:val="12"/>
          <w:szCs w:val="12"/>
          <w:color w:val="auto"/>
        </w:rPr>
        <w:t>: BellRing has excluded the impact of foreign currency fluctuations related to intercompany loans denominated in currencies other than the functional currency of the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respective legal entity in evaluating BellRing’s performance to allow for more meaningful comparisons of performance to other periods.</w:t>
      </w:r>
    </w:p>
    <w:p>
      <w:pPr>
        <w:ind w:left="420" w:right="2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Mark-to-market adjustments on commodity hedges</w:t>
      </w:r>
      <w:r>
        <w:rPr>
          <w:rFonts w:ascii="Times New Roman" w:cs="Times New Roman" w:eastAsia="Times New Roman" w:hAnsi="Times New Roman"/>
          <w:sz w:val="12"/>
          <w:szCs w:val="12"/>
          <w:color w:val="auto"/>
        </w:rPr>
        <w:t>: BellRing has excluded the impact of mark-to-market adjustments on commodity hedges due to the inherent uncertainty and volatility associated with such amounts based on</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changes in assumptions with respect to fair value estimates. Additionally, these adjustments are primarily non-cash items and the amount and frequency of such adjustments are not consistent.</w:t>
      </w:r>
    </w:p>
    <w:p>
      <w:pPr>
        <w:ind w:left="420" w:right="40" w:hanging="212"/>
        <w:spacing w:after="0" w:line="250" w:lineRule="auto"/>
        <w:tabs>
          <w:tab w:leader="none" w:pos="420"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Adjustment to tax receivable agreement (“TRA”) liability</w:t>
      </w:r>
      <w:r>
        <w:rPr>
          <w:rFonts w:ascii="Times New Roman" w:cs="Times New Roman" w:eastAsia="Times New Roman" w:hAnsi="Times New Roman"/>
          <w:sz w:val="12"/>
          <w:szCs w:val="12"/>
          <w:color w:val="auto"/>
        </w:rPr>
        <w:t>: BellRing has excluded adjustments to its TRA liability as the amount and frequency of such adjustments are not consistent. Additionally, BellRing believes that these</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adjustments do not contribute to a meaningful evaluation of BellRing’s current operating performance or comparisons of BellRing’s operating performance to other periods.</w:t>
      </w:r>
    </w:p>
    <w:p>
      <w:pPr>
        <w:ind w:left="420" w:right="120" w:hanging="212"/>
        <w:spacing w:after="0" w:line="260" w:lineRule="auto"/>
        <w:tabs>
          <w:tab w:leader="none" w:pos="411" w:val="left"/>
        </w:tabs>
        <w:numPr>
          <w:ilvl w:val="0"/>
          <w:numId w:val="5"/>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NCI adjustment</w:t>
      </w:r>
      <w:r>
        <w:rPr>
          <w:rFonts w:ascii="Times New Roman" w:cs="Times New Roman" w:eastAsia="Times New Roman" w:hAnsi="Times New Roman"/>
          <w:sz w:val="12"/>
          <w:szCs w:val="12"/>
          <w:color w:val="auto"/>
        </w:rPr>
        <w:t>: BellRing has included an adjustment to reflect the removal of non-GAAP adjustments which are attributable to redeemable NCI in the periods prior to the Spin-off in the calculation of Adjusted net earnings</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available to common stockholders and Adjusted diluted earnings per share of common stock.</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8</w:t>
      </w:r>
    </w:p>
    <w:p>
      <w:pPr>
        <w:sectPr>
          <w:pgSz w:w="11900" w:h="16838" w:orient="portrait"/>
          <w:cols w:equalWidth="0" w:num="1">
            <w:col w:w="11240"/>
          </w:cols>
          <w:pgMar w:left="300" w:top="641" w:right="359" w:bottom="1440" w:gutter="0" w:footer="0" w:header="0"/>
        </w:sectPr>
      </w:pPr>
    </w:p>
    <w:bookmarkStart w:id="11" w:name="page12"/>
    <w:bookmarkEnd w:id="11"/>
    <w:p>
      <w:pPr>
        <w:ind w:left="420" w:right="180" w:hanging="212"/>
        <w:spacing w:after="0" w:line="261" w:lineRule="auto"/>
        <w:tabs>
          <w:tab w:leader="none" w:pos="411" w:val="left"/>
        </w:tabs>
        <w:numPr>
          <w:ilvl w:val="0"/>
          <w:numId w:val="6"/>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Income tax effect on adjustments</w:t>
      </w:r>
      <w:r>
        <w:rPr>
          <w:rFonts w:ascii="Times New Roman" w:cs="Times New Roman" w:eastAsia="Times New Roman" w:hAnsi="Times New Roman"/>
          <w:sz w:val="12"/>
          <w:szCs w:val="12"/>
          <w:color w:val="auto"/>
        </w:rPr>
        <w:t>: BellRing has included the income tax impact of the non-GAAP adjustments using a rate described in the applicable footnote of the reconciliation tables, as BellRing believes that its GAAP</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effective income tax rate as reported is not representative of the income tax expense impact of the adjustments.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u w:val="single" w:color="auto"/>
          <w:color w:val="auto"/>
        </w:rPr>
        <w:t>Adjusted EBITDA</w:t>
      </w:r>
    </w:p>
    <w:p>
      <w:pPr>
        <w:spacing w:after="0" w:line="6"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2"/>
          <w:szCs w:val="12"/>
          <w:color w:val="auto"/>
        </w:rPr>
        <w:t>BellRing believes that Adjusted EBITDA is useful to investors in evaluating BellRing’s operating performance and liquidity because (i) BellRing believes it is widely used to measure a company’s operating performance without regard to items such as depreciation and amortization, which can vary depending upon accounting methods and the book value of assets, (ii) it presents a measure of corporate performance exclusive of BellRing’s capital structure and the method by which the assets were acquired and (iii) it is a financial indicator of a company’s ability to service its debt, as BellRing is required to comply with certain covenants and limitations that are based on variations of EBITDA in its financing documents. Management uses Adjusted EBITDA to provide forward-looking guidance and to forecast future results.</w:t>
      </w:r>
    </w:p>
    <w:p>
      <w:pPr>
        <w:spacing w:after="0" w:line="91" w:lineRule="exact"/>
        <w:rPr>
          <w:sz w:val="20"/>
          <w:szCs w:val="20"/>
          <w:color w:val="auto"/>
        </w:rPr>
      </w:pPr>
    </w:p>
    <w:p>
      <w:pPr>
        <w:ind w:right="300"/>
        <w:spacing w:after="0" w:line="256" w:lineRule="auto"/>
        <w:rPr>
          <w:sz w:val="20"/>
          <w:szCs w:val="20"/>
          <w:color w:val="auto"/>
        </w:rPr>
      </w:pPr>
      <w:r>
        <w:rPr>
          <w:rFonts w:ascii="Times New Roman" w:cs="Times New Roman" w:eastAsia="Times New Roman" w:hAnsi="Times New Roman"/>
          <w:sz w:val="12"/>
          <w:szCs w:val="12"/>
          <w:color w:val="auto"/>
        </w:rPr>
        <w:t>Adjusted EBITDA reflects adjustments for income tax expense, interest expense, net and depreciation and amortization including accelerated depreciation and amortization, and the following adjustments discussed above: loss on extinguishment and refinancing of debt, net, separation costs, restructuring and facility closure costs excluding accelerated depreciation, resolution of dispute with former contract manufacturer, foreign currency gain/loss on intercompany loans, mark-to-market adjustments on commodity hedges and adjustment to TRA liability. Additionally, Adjusted EBITDA reflects adjustments for the following items:</w:t>
      </w:r>
    </w:p>
    <w:p>
      <w:pPr>
        <w:spacing w:after="0" w:line="1" w:lineRule="exact"/>
        <w:rPr>
          <w:sz w:val="20"/>
          <w:szCs w:val="20"/>
          <w:color w:val="auto"/>
        </w:rPr>
      </w:pPr>
    </w:p>
    <w:p>
      <w:pPr>
        <w:ind w:left="420" w:hanging="212"/>
        <w:spacing w:after="0" w:line="250" w:lineRule="auto"/>
        <w:tabs>
          <w:tab w:leader="none" w:pos="420"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Stock-based compensation</w:t>
      </w:r>
      <w:r>
        <w:rPr>
          <w:rFonts w:ascii="Times New Roman" w:cs="Times New Roman" w:eastAsia="Times New Roman" w:hAnsi="Times New Roman"/>
          <w:sz w:val="12"/>
          <w:szCs w:val="12"/>
          <w:color w:val="auto"/>
        </w:rPr>
        <w:t>: BellRing’s compensation strategy after the initial public offering (the “IPO”) includes the use of BellRing stock-based compensation to attract and retain executives and employees by aligning their</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long-term compensation interests with BellRing’s stockholders’ investment interests. BellRing’s director compensation strategy includes an election by any director who earns retainers in which the director may elect to defer compensation granted as a director to BellRing common stock, earning a match on the deferral, both of which are stock-settled upon the director’s retirement from the BellRing board of directors. BellRing’s compensation strategy prior to the IPO included the use of Post stock-based compensation to attract and retain executives and employees by aligning their long-term compensation interests with Post’s shareholders’ investment interests; after the IPO, BellRing continues to be charged for Post stock-based compensation through the master services agreement with Post. BellRing has excluded stock-based compensation as stock-based compensation can vary significantly based on reasons such as the timing, size and nature of the awards granted and subjective assumptions which are unrelated to operational decisions and performance in any particular period and does not contribute to meaningful comparisons of BellRing’s operating performance to other periods.</w:t>
      </w:r>
    </w:p>
    <w:p>
      <w:pPr>
        <w:spacing w:after="0" w:line="1" w:lineRule="exact"/>
        <w:rPr>
          <w:rFonts w:ascii="Times New Roman" w:cs="Times New Roman" w:eastAsia="Times New Roman" w:hAnsi="Times New Roman"/>
          <w:sz w:val="12"/>
          <w:szCs w:val="12"/>
          <w:color w:val="auto"/>
        </w:rPr>
      </w:pPr>
    </w:p>
    <w:p>
      <w:pPr>
        <w:ind w:left="420" w:right="120" w:hanging="212"/>
        <w:spacing w:after="0" w:line="260" w:lineRule="auto"/>
        <w:tabs>
          <w:tab w:leader="none" w:pos="411" w:val="left"/>
        </w:tabs>
        <w:numPr>
          <w:ilvl w:val="0"/>
          <w:numId w:val="7"/>
        </w:numPr>
        <w:rPr>
          <w:rFonts w:ascii="Times New Roman" w:cs="Times New Roman" w:eastAsia="Times New Roman" w:hAnsi="Times New Roman"/>
          <w:sz w:val="12"/>
          <w:szCs w:val="12"/>
          <w:color w:val="auto"/>
        </w:rPr>
      </w:pPr>
      <w:r>
        <w:rPr>
          <w:rFonts w:ascii="Times New Roman" w:cs="Times New Roman" w:eastAsia="Times New Roman" w:hAnsi="Times New Roman"/>
          <w:sz w:val="12"/>
          <w:szCs w:val="12"/>
          <w:i w:val="1"/>
          <w:iCs w:val="1"/>
          <w:color w:val="auto"/>
        </w:rPr>
        <w:t>Net earnings attributable to redeemable noncontrolling interest</w:t>
      </w:r>
      <w:r>
        <w:rPr>
          <w:rFonts w:ascii="Times New Roman" w:cs="Times New Roman" w:eastAsia="Times New Roman" w:hAnsi="Times New Roman"/>
          <w:sz w:val="12"/>
          <w:szCs w:val="12"/>
          <w:color w:val="auto"/>
        </w:rPr>
        <w:t>: BellRing has included adjustments for the portion of its consolidated net earnings which was allocated to redeemable NCI for the periods prior to the Spin-off,</w:t>
      </w:r>
      <w:r>
        <w:rPr>
          <w:rFonts w:ascii="Times New Roman" w:cs="Times New Roman" w:eastAsia="Times New Roman" w:hAnsi="Times New Roman"/>
          <w:sz w:val="12"/>
          <w:szCs w:val="12"/>
          <w:i w:val="1"/>
          <w:iCs w:val="1"/>
          <w:color w:val="auto"/>
        </w:rPr>
        <w:t xml:space="preserve"> </w:t>
      </w:r>
      <w:r>
        <w:rPr>
          <w:rFonts w:ascii="Times New Roman" w:cs="Times New Roman" w:eastAsia="Times New Roman" w:hAnsi="Times New Roman"/>
          <w:sz w:val="12"/>
          <w:szCs w:val="12"/>
          <w:color w:val="auto"/>
        </w:rPr>
        <w:t>allowing for the calculation of Adjusted EBITDA to include 100% of BellRing as BellRing’s management evaluates BellRing’s operating performance on a basis that includes 100% of BellRing.</w:t>
      </w:r>
    </w:p>
    <w:p>
      <w:pPr>
        <w:spacing w:after="0" w:line="34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auto"/>
        </w:rPr>
        <w:t>9</w:t>
      </w:r>
    </w:p>
    <w:p>
      <w:pPr>
        <w:sectPr>
          <w:pgSz w:w="11900" w:h="16838" w:orient="portrait"/>
          <w:cols w:equalWidth="0" w:num="1">
            <w:col w:w="11260"/>
          </w:cols>
          <w:pgMar w:left="300" w:top="64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126"/>
        </w:trPr>
        <w:tc>
          <w:tcPr>
            <w:tcW w:w="8060" w:type="dxa"/>
            <w:vAlign w:val="bottom"/>
            <w:gridSpan w:val="6"/>
          </w:tcPr>
          <w:p>
            <w:pPr>
              <w:jc w:val="center"/>
              <w:ind w:left="3101"/>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35"/>
        </w:trPr>
        <w:tc>
          <w:tcPr>
            <w:tcW w:w="8060" w:type="dxa"/>
            <w:vAlign w:val="bottom"/>
            <w:gridSpan w:val="6"/>
          </w:tcPr>
          <w:p>
            <w:pPr>
              <w:jc w:val="center"/>
              <w:ind w:left="3081"/>
              <w:spacing w:after="0"/>
              <w:rPr>
                <w:sz w:val="20"/>
                <w:szCs w:val="20"/>
                <w:color w:val="auto"/>
              </w:rPr>
            </w:pPr>
            <w:r>
              <w:rPr>
                <w:rFonts w:ascii="Times New Roman" w:cs="Times New Roman" w:eastAsia="Times New Roman" w:hAnsi="Times New Roman"/>
                <w:sz w:val="11"/>
                <w:szCs w:val="11"/>
                <w:b w:val="1"/>
                <w:bCs w:val="1"/>
                <w:color w:val="auto"/>
                <w:w w:val="97"/>
              </w:rPr>
              <w:t>TO ADJUSTED NET EARNINGS AVAILABLE TO COMMON STOCKHOLDERS (Unaudited)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42"/>
        </w:trPr>
        <w:tc>
          <w:tcPr>
            <w:tcW w:w="4540" w:type="dxa"/>
            <w:vAlign w:val="bottom"/>
          </w:tcPr>
          <w:p>
            <w:pPr>
              <w:spacing w:after="0"/>
              <w:rPr>
                <w:sz w:val="12"/>
                <w:szCs w:val="12"/>
                <w:color w:val="auto"/>
              </w:rPr>
            </w:pPr>
          </w:p>
        </w:tc>
        <w:tc>
          <w:tcPr>
            <w:tcW w:w="214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7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21"/>
        </w:trPr>
        <w:tc>
          <w:tcPr>
            <w:tcW w:w="454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38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340" w:type="dxa"/>
            <w:vAlign w:val="bottom"/>
            <w:gridSpan w:val="3"/>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Nine Months Ended</w:t>
            </w:r>
          </w:p>
        </w:tc>
        <w:tc>
          <w:tcPr>
            <w:tcW w:w="640" w:type="dxa"/>
            <w:vAlign w:val="bottom"/>
          </w:tcPr>
          <w:p>
            <w:pPr>
              <w:spacing w:after="0"/>
              <w:rPr>
                <w:sz w:val="10"/>
                <w:szCs w:val="10"/>
                <w:color w:val="auto"/>
              </w:rPr>
            </w:pPr>
          </w:p>
        </w:tc>
      </w:tr>
      <w:tr>
        <w:trPr>
          <w:trHeight w:val="143"/>
        </w:trPr>
        <w:tc>
          <w:tcPr>
            <w:tcW w:w="454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4540" w:type="dxa"/>
            <w:vAlign w:val="bottom"/>
            <w:tcBorders>
              <w:bottom w:val="single" w:sz="8" w:color="CCEEFF"/>
            </w:tcBorders>
          </w:tcPr>
          <w:p>
            <w:pPr>
              <w:spacing w:after="0"/>
              <w:rPr>
                <w:sz w:val="11"/>
                <w:szCs w:val="11"/>
                <w:color w:val="auto"/>
              </w:rPr>
            </w:pPr>
          </w:p>
        </w:tc>
        <w:tc>
          <w:tcPr>
            <w:tcW w:w="192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14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920" w:type="dxa"/>
            <w:vAlign w:val="bottom"/>
            <w:shd w:val="clear" w:color="auto" w:fill="CCEEFF"/>
          </w:tcPr>
          <w:p>
            <w:pPr>
              <w:spacing w:after="0"/>
              <w:rPr>
                <w:sz w:val="12"/>
                <w:szCs w:val="12"/>
                <w:color w:val="auto"/>
              </w:rPr>
            </w:pP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48.6</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17.9</w:t>
            </w:r>
          </w:p>
        </w:tc>
      </w:tr>
      <w:tr>
        <w:trPr>
          <w:trHeight w:val="171"/>
        </w:trPr>
        <w:tc>
          <w:tcPr>
            <w:tcW w:w="4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53"/>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29.9</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17.6</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13.2</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5.6</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2.3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0.7</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0.2</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5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19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54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1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(8.5)</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(26.3)</w:t>
            </w:r>
          </w:p>
        </w:tc>
      </w:tr>
      <w:tr>
        <w:trPr>
          <w:trHeight w:val="142"/>
        </w:trPr>
        <w:tc>
          <w:tcPr>
            <w:tcW w:w="454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19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4.3</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3.0</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21.5</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10.3</w:t>
            </w:r>
          </w:p>
        </w:tc>
      </w:tr>
      <w:tr>
        <w:trPr>
          <w:trHeight w:val="153"/>
        </w:trPr>
        <w:tc>
          <w:tcPr>
            <w:tcW w:w="454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192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(3.1)</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(2.5)</w:t>
            </w:r>
          </w:p>
        </w:tc>
      </w:tr>
      <w:tr>
        <w:trPr>
          <w:trHeight w:val="158"/>
        </w:trPr>
        <w:tc>
          <w:tcPr>
            <w:tcW w:w="45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Net Earnings Available to Common Stockholders</w:t>
            </w:r>
          </w:p>
        </w:tc>
        <w:tc>
          <w:tcPr>
            <w:tcW w:w="192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42.5</w:t>
            </w:r>
          </w:p>
        </w:tc>
        <w:tc>
          <w:tcPr>
            <w:tcW w:w="240" w:type="dxa"/>
            <w:vAlign w:val="bottom"/>
            <w:tcBorders>
              <w:bottom w:val="single" w:sz="8" w:color="CCEEFF"/>
            </w:tcBorders>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11.8</w:t>
            </w:r>
          </w:p>
        </w:tc>
        <w:tc>
          <w:tcPr>
            <w:tcW w:w="34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67.0</w:t>
            </w:r>
          </w:p>
        </w:tc>
        <w:tc>
          <w:tcPr>
            <w:tcW w:w="220" w:type="dxa"/>
            <w:vAlign w:val="bottom"/>
            <w:tcBorders>
              <w:bottom w:val="single" w:sz="8" w:color="CCEEFF"/>
            </w:tcBorders>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25.7</w:t>
            </w:r>
          </w:p>
        </w:tc>
      </w:tr>
    </w:tbl>
    <w:p>
      <w:pPr>
        <w:spacing w:after="0" w:line="160" w:lineRule="exact"/>
        <w:rPr>
          <w:sz w:val="20"/>
          <w:szCs w:val="20"/>
          <w:color w:val="auto"/>
        </w:rPr>
      </w:pPr>
    </w:p>
    <w:p>
      <w:pPr>
        <w:ind w:right="80" w:firstLine="9"/>
        <w:spacing w:after="0" w:line="256" w:lineRule="auto"/>
        <w:tabs>
          <w:tab w:leader="none" w:pos="121" w:val="left"/>
        </w:tabs>
        <w:numPr>
          <w:ilvl w:val="0"/>
          <w:numId w:val="8"/>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June 30, 2022), income tax effect on adjustments was calculated on all items, except for separation costs, using a rate of 24.0%. For the periods prior to the Spin-off (October 1, 2021 through March 10, 2022 and for the three and nine months ended June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10</w:t>
      </w:r>
    </w:p>
    <w:p>
      <w:pPr>
        <w:sectPr>
          <w:pgSz w:w="11900" w:h="16838" w:orient="portrait"/>
          <w:cols w:equalWidth="0" w:num="1">
            <w:col w:w="11220"/>
          </w:cols>
          <w:pgMar w:left="340" w:top="641" w:right="339" w:bottom="1440" w:gutter="0" w:footer="0" w:header="0"/>
        </w:sectPr>
      </w:pPr>
    </w:p>
    <w:bookmarkStart w:id="13" w:name="page14"/>
    <w:bookmarkEnd w:id="13"/>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RECONCILIATION OF DILUTED EARNINGS PER SHARE OF COMMON STOCK</w:t>
      </w:r>
    </w:p>
    <w:p>
      <w:pPr>
        <w:spacing w:after="0" w:line="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1"/>
          <w:szCs w:val="11"/>
          <w:b w:val="1"/>
          <w:bCs w:val="1"/>
          <w:color w:val="auto"/>
        </w:rPr>
        <w:t>TO ADJUSTED DILUTED EARNINGS PER SHARE OF COMMON STOCK (Unaudited)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64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8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Three Months Ended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Nine Months Ended</w:t>
            </w:r>
          </w:p>
        </w:tc>
        <w:tc>
          <w:tcPr>
            <w:tcW w:w="640" w:type="dxa"/>
            <w:vAlign w:val="bottom"/>
          </w:tcPr>
          <w:p>
            <w:pPr>
              <w:spacing w:after="0"/>
              <w:rPr>
                <w:sz w:val="11"/>
                <w:szCs w:val="11"/>
                <w:color w:val="auto"/>
              </w:rPr>
            </w:pPr>
          </w:p>
        </w:tc>
      </w:tr>
      <w:tr>
        <w:trPr>
          <w:trHeight w:val="143"/>
        </w:trPr>
        <w:tc>
          <w:tcPr>
            <w:tcW w:w="64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1380" w:type="dxa"/>
            <w:vAlign w:val="bottom"/>
            <w:tcBorders>
              <w:bottom w:val="single" w:sz="8" w:color="auto"/>
            </w:tcBorders>
            <w:gridSpan w:val="3"/>
          </w:tcPr>
          <w:p>
            <w:pPr>
              <w:jc w:val="right"/>
              <w:ind w:right="246"/>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0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34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40" w:type="dxa"/>
            <w:vAlign w:val="bottom"/>
            <w:tcBorders>
              <w:bottom w:val="single" w:sz="8" w:color="auto"/>
            </w:tcBorders>
          </w:tcPr>
          <w:p>
            <w:pPr>
              <w:spacing w:after="0"/>
              <w:rPr>
                <w:sz w:val="12"/>
                <w:szCs w:val="12"/>
                <w:color w:val="auto"/>
              </w:rPr>
            </w:pPr>
          </w:p>
        </w:tc>
      </w:tr>
      <w:tr>
        <w:trPr>
          <w:trHeight w:val="133"/>
        </w:trPr>
        <w:tc>
          <w:tcPr>
            <w:tcW w:w="64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4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jc w:val="right"/>
              <w:ind w:right="320"/>
              <w:spacing w:after="0"/>
              <w:rPr>
                <w:sz w:val="20"/>
                <w:szCs w:val="20"/>
                <w:color w:val="auto"/>
              </w:rPr>
            </w:pPr>
            <w:r>
              <w:rPr>
                <w:rFonts w:ascii="Times New Roman" w:cs="Times New Roman" w:eastAsia="Times New Roman" w:hAnsi="Times New Roman"/>
                <w:sz w:val="11"/>
                <w:szCs w:val="11"/>
                <w:b w:val="1"/>
                <w:bCs w:val="1"/>
                <w:color w:val="auto"/>
                <w:w w:val="90"/>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2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1"/>
                <w:szCs w:val="11"/>
                <w:b w:val="1"/>
                <w:bCs w:val="1"/>
                <w:color w:val="auto"/>
                <w:w w:val="99"/>
              </w:rPr>
              <w:t>2021</w:t>
            </w:r>
          </w:p>
        </w:tc>
      </w:tr>
      <w:tr>
        <w:trPr>
          <w:trHeight w:val="14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Diluted Earnings per share of Common Stock</w:t>
            </w:r>
          </w:p>
        </w:tc>
        <w:tc>
          <w:tcPr>
            <w:tcW w:w="22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0.29</w:t>
            </w:r>
          </w:p>
        </w:tc>
        <w:tc>
          <w:tcPr>
            <w:tcW w:w="24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66"/>
              <w:spacing w:after="0"/>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0.24</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0.61</w:t>
            </w:r>
          </w:p>
        </w:tc>
        <w:tc>
          <w:tcPr>
            <w:tcW w:w="2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20"/>
              <w:spacing w:after="0"/>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0.45</w:t>
            </w:r>
          </w:p>
        </w:tc>
      </w:tr>
      <w:tr>
        <w:trPr>
          <w:trHeight w:val="180"/>
        </w:trPr>
        <w:tc>
          <w:tcPr>
            <w:tcW w:w="64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53"/>
        </w:trPr>
        <w:tc>
          <w:tcPr>
            <w:tcW w:w="64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Adjustments:</w:t>
            </w:r>
          </w:p>
        </w:tc>
        <w:tc>
          <w:tcPr>
            <w:tcW w:w="22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spacing w:after="0"/>
              <w:rPr>
                <w:sz w:val="13"/>
                <w:szCs w:val="13"/>
                <w:color w:val="auto"/>
              </w:rPr>
            </w:pP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Accelerated amortization</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0.30</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0.75</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0.22</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0.04</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Separation costs</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0.17</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Restructuring and facility closure costs, including accelerated depreciation</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0.14</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22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2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60" w:type="dxa"/>
            <w:vAlign w:val="bottom"/>
          </w:tcPr>
          <w:p>
            <w:pPr>
              <w:jc w:val="right"/>
              <w:ind w:right="1"/>
              <w:spacing w:after="0"/>
              <w:rPr>
                <w:sz w:val="20"/>
                <w:szCs w:val="20"/>
                <w:color w:val="auto"/>
              </w:rPr>
            </w:pPr>
            <w:r>
              <w:rPr>
                <w:rFonts w:ascii="Times New Roman" w:cs="Times New Roman" w:eastAsia="Times New Roman" w:hAnsi="Times New Roman"/>
                <w:sz w:val="12"/>
                <w:szCs w:val="12"/>
                <w:color w:val="auto"/>
              </w:rPr>
              <w:t>0.03</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94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6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0.01</w:t>
            </w:r>
          </w:p>
        </w:tc>
        <w:tc>
          <w:tcPr>
            <w:tcW w:w="2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940" w:type="dxa"/>
            <w:vAlign w:val="bottom"/>
            <w:gridSpan w:val="2"/>
          </w:tcPr>
          <w:p>
            <w:pPr>
              <w:jc w:val="right"/>
              <w:ind w:right="3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64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22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shd w:val="clear" w:color="auto" w:fill="CCEEFF"/>
          </w:tcPr>
          <w:p>
            <w:pPr>
              <w:spacing w:after="0"/>
              <w:rPr>
                <w:sz w:val="13"/>
                <w:szCs w:val="13"/>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60" w:type="dxa"/>
            <w:vAlign w:val="bottom"/>
            <w:shd w:val="clear" w:color="auto" w:fill="CCEEFF"/>
          </w:tcPr>
          <w:p>
            <w:pPr>
              <w:spacing w:after="0"/>
              <w:rPr>
                <w:sz w:val="13"/>
                <w:szCs w:val="13"/>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(0.01)</w:t>
            </w:r>
          </w:p>
        </w:tc>
      </w:tr>
      <w:tr>
        <w:trPr>
          <w:trHeight w:val="153"/>
        </w:trPr>
        <w:tc>
          <w:tcPr>
            <w:tcW w:w="6460" w:type="dxa"/>
            <w:vAlign w:val="bottom"/>
          </w:tcPr>
          <w:p>
            <w:pPr>
              <w:ind w:left="160"/>
              <w:spacing w:after="0"/>
              <w:rPr>
                <w:sz w:val="20"/>
                <w:szCs w:val="20"/>
                <w:color w:val="auto"/>
              </w:rPr>
            </w:pPr>
            <w:r>
              <w:rPr>
                <w:rFonts w:ascii="Times New Roman" w:cs="Times New Roman" w:eastAsia="Times New Roman" w:hAnsi="Times New Roman"/>
                <w:sz w:val="12"/>
                <w:szCs w:val="12"/>
                <w:color w:val="auto"/>
              </w:rPr>
              <w:t>NCI adjustment</w:t>
            </w:r>
          </w:p>
        </w:tc>
        <w:tc>
          <w:tcPr>
            <w:tcW w:w="220" w:type="dxa"/>
            <w:vAlign w:val="bottom"/>
          </w:tcPr>
          <w:p>
            <w:pPr>
              <w:spacing w:after="0"/>
              <w:rPr>
                <w:sz w:val="13"/>
                <w:szCs w:val="13"/>
                <w:color w:val="auto"/>
              </w:rPr>
            </w:pPr>
          </w:p>
        </w:tc>
        <w:tc>
          <w:tcPr>
            <w:tcW w:w="1000" w:type="dxa"/>
            <w:vAlign w:val="bottom"/>
            <w:gridSpan w:val="2"/>
          </w:tcPr>
          <w:p>
            <w:pPr>
              <w:jc w:val="right"/>
              <w:ind w:right="280"/>
              <w:spacing w:after="0"/>
              <w:rPr>
                <w:sz w:val="20"/>
                <w:szCs w:val="20"/>
                <w:color w:val="auto"/>
              </w:rPr>
            </w:pPr>
            <w:r>
              <w:rPr>
                <w:rFonts w:ascii="Times New Roman" w:cs="Times New Roman" w:eastAsia="Times New Roman" w:hAnsi="Times New Roman"/>
                <w:sz w:val="12"/>
                <w:szCs w:val="12"/>
                <w:color w:val="auto"/>
              </w:rPr>
              <w:t>—</w:t>
            </w:r>
          </w:p>
        </w:tc>
        <w:tc>
          <w:tcPr>
            <w:tcW w:w="38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(0.21)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(0.16)</w:t>
            </w:r>
          </w:p>
        </w:tc>
        <w:tc>
          <w:tcPr>
            <w:tcW w:w="2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(0.66)</w:t>
            </w:r>
          </w:p>
        </w:tc>
      </w:tr>
      <w:tr>
        <w:trPr>
          <w:trHeight w:val="142"/>
        </w:trPr>
        <w:tc>
          <w:tcPr>
            <w:tcW w:w="6460" w:type="dxa"/>
            <w:vAlign w:val="bottom"/>
            <w:tcBorders>
              <w:top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2"/>
                <w:szCs w:val="12"/>
                <w:b w:val="1"/>
                <w:bCs w:val="1"/>
                <w:color w:val="auto"/>
              </w:rPr>
              <w:t>Total Net Adjustments</w:t>
            </w:r>
          </w:p>
        </w:tc>
        <w:tc>
          <w:tcPr>
            <w:tcW w:w="22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0.03</w:t>
            </w:r>
          </w:p>
        </w:tc>
        <w:tc>
          <w:tcPr>
            <w:tcW w:w="24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shd w:val="clear" w:color="auto" w:fill="CCEEFF"/>
          </w:tcPr>
          <w:p>
            <w:pPr>
              <w:spacing w:after="0"/>
              <w:rPr>
                <w:sz w:val="12"/>
                <w:szCs w:val="12"/>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0.08</w:t>
            </w:r>
          </w:p>
        </w:tc>
        <w:tc>
          <w:tcPr>
            <w:tcW w:w="34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shd w:val="clear" w:color="auto" w:fill="CCEEFF"/>
          </w:tcPr>
          <w:p>
            <w:pPr>
              <w:spacing w:after="0"/>
              <w:rPr>
                <w:sz w:val="12"/>
                <w:szCs w:val="12"/>
                <w:color w:val="auto"/>
              </w:rPr>
            </w:pPr>
          </w:p>
        </w:tc>
        <w:tc>
          <w:tcPr>
            <w:tcW w:w="760" w:type="dxa"/>
            <w:vAlign w:val="bottom"/>
            <w:tcBorders>
              <w:top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2"/>
                <w:szCs w:val="12"/>
                <w:color w:val="auto"/>
              </w:rPr>
              <w:t>0.27</w:t>
            </w:r>
          </w:p>
        </w:tc>
        <w:tc>
          <w:tcPr>
            <w:tcW w:w="220" w:type="dxa"/>
            <w:vAlign w:val="bottom"/>
            <w:tcBorders>
              <w:top w:val="single" w:sz="8" w:color="CCEEFF"/>
            </w:tcBorders>
            <w:shd w:val="clear" w:color="auto" w:fill="CCEEFF"/>
          </w:tcPr>
          <w:p>
            <w:pPr>
              <w:spacing w:after="0"/>
              <w:rPr>
                <w:sz w:val="12"/>
                <w:szCs w:val="12"/>
                <w:color w:val="auto"/>
              </w:rPr>
            </w:pPr>
          </w:p>
        </w:tc>
        <w:tc>
          <w:tcPr>
            <w:tcW w:w="360" w:type="dxa"/>
            <w:vAlign w:val="bottom"/>
            <w:tcBorders>
              <w:top w:val="single" w:sz="8" w:color="auto"/>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0.26</w:t>
            </w:r>
          </w:p>
        </w:tc>
      </w:tr>
      <w:tr>
        <w:trPr>
          <w:trHeight w:val="153"/>
        </w:trPr>
        <w:tc>
          <w:tcPr>
            <w:tcW w:w="6460" w:type="dxa"/>
            <w:vAlign w:val="bottom"/>
            <w:tcBorders>
              <w:bottom w:val="single" w:sz="8" w:color="CCEEFF"/>
            </w:tcBorders>
          </w:tcPr>
          <w:p>
            <w:pPr>
              <w:spacing w:after="0" w:line="153" w:lineRule="exact"/>
              <w:rPr>
                <w:sz w:val="20"/>
                <w:szCs w:val="20"/>
                <w:color w:val="auto"/>
              </w:rPr>
            </w:pPr>
            <w:r>
              <w:rPr>
                <w:rFonts w:ascii="Times New Roman" w:cs="Times New Roman" w:eastAsia="Times New Roman" w:hAnsi="Times New Roman"/>
                <w:sz w:val="12"/>
                <w:szCs w:val="12"/>
                <w:color w:val="auto"/>
              </w:rPr>
              <w:t xml:space="preserve">Income tax effect on adjustments </w:t>
            </w:r>
            <w:r>
              <w:rPr>
                <w:rFonts w:ascii="Times New Roman" w:cs="Times New Roman" w:eastAsia="Times New Roman" w:hAnsi="Times New Roman"/>
                <w:sz w:val="15"/>
                <w:szCs w:val="15"/>
                <w:color w:val="auto"/>
                <w:vertAlign w:val="superscript"/>
              </w:rPr>
              <w:t>(1)</w:t>
            </w:r>
          </w:p>
        </w:tc>
        <w:tc>
          <w:tcPr>
            <w:tcW w:w="22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(0.01)</w:t>
            </w:r>
          </w:p>
        </w:tc>
        <w:tc>
          <w:tcPr>
            <w:tcW w:w="2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(0.02)</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(0.04)</w:t>
            </w:r>
          </w:p>
        </w:tc>
        <w:tc>
          <w:tcPr>
            <w:tcW w:w="2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(0.06)</w:t>
            </w:r>
          </w:p>
        </w:tc>
      </w:tr>
      <w:tr>
        <w:trPr>
          <w:trHeight w:val="140"/>
        </w:trPr>
        <w:tc>
          <w:tcPr>
            <w:tcW w:w="6460" w:type="dxa"/>
            <w:vAlign w:val="bottom"/>
            <w:tcBorders>
              <w:bottom w:val="single" w:sz="8" w:color="CCEEFF"/>
            </w:tcBorders>
            <w:shd w:val="clear" w:color="auto" w:fill="CCEEFF"/>
          </w:tcPr>
          <w:p>
            <w:pPr>
              <w:spacing w:after="0" w:line="124" w:lineRule="exact"/>
              <w:rPr>
                <w:sz w:val="20"/>
                <w:szCs w:val="20"/>
                <w:color w:val="auto"/>
              </w:rPr>
            </w:pPr>
            <w:r>
              <w:rPr>
                <w:rFonts w:ascii="Times New Roman" w:cs="Times New Roman" w:eastAsia="Times New Roman" w:hAnsi="Times New Roman"/>
                <w:sz w:val="12"/>
                <w:szCs w:val="12"/>
                <w:b w:val="1"/>
                <w:bCs w:val="1"/>
                <w:color w:val="auto"/>
              </w:rPr>
              <w:t>Adjusted Diluted Earnings per share of Common Stock</w:t>
            </w:r>
          </w:p>
        </w:tc>
        <w:tc>
          <w:tcPr>
            <w:tcW w:w="220" w:type="dxa"/>
            <w:vAlign w:val="bottom"/>
            <w:tcBorders>
              <w:bottom w:val="single" w:sz="8" w:color="auto"/>
            </w:tcBorders>
            <w:shd w:val="clear" w:color="auto" w:fill="CCEEFF"/>
          </w:tcPr>
          <w:p>
            <w:pPr>
              <w:jc w:val="right"/>
              <w:ind w:right="8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0.31</w:t>
            </w:r>
          </w:p>
        </w:tc>
        <w:tc>
          <w:tcPr>
            <w:tcW w:w="240" w:type="dxa"/>
            <w:vAlign w:val="bottom"/>
            <w:tcBorders>
              <w:bottom w:val="single" w:sz="8" w:color="CCEEFF"/>
            </w:tcBorders>
            <w:shd w:val="clear" w:color="auto" w:fill="CCEEFF"/>
          </w:tcPr>
          <w:p>
            <w:pPr>
              <w:spacing w:after="0"/>
              <w:rPr>
                <w:sz w:val="12"/>
                <w:szCs w:val="12"/>
                <w:color w:val="auto"/>
              </w:rPr>
            </w:pPr>
          </w:p>
        </w:tc>
        <w:tc>
          <w:tcPr>
            <w:tcW w:w="380" w:type="dxa"/>
            <w:vAlign w:val="bottom"/>
            <w:tcBorders>
              <w:bottom w:val="single" w:sz="8" w:color="auto"/>
            </w:tcBorders>
            <w:shd w:val="clear" w:color="auto" w:fill="CCEEFF"/>
          </w:tcPr>
          <w:p>
            <w:pPr>
              <w:jc w:val="right"/>
              <w:ind w:right="266"/>
              <w:spacing w:after="0" w:line="124" w:lineRule="exact"/>
              <w:rPr>
                <w:sz w:val="20"/>
                <w:szCs w:val="20"/>
                <w:color w:val="auto"/>
              </w:rPr>
            </w:pPr>
            <w:r>
              <w:rPr>
                <w:rFonts w:ascii="Times New Roman" w:cs="Times New Roman" w:eastAsia="Times New Roman" w:hAnsi="Times New Roman"/>
                <w:sz w:val="11"/>
                <w:szCs w:val="11"/>
                <w:color w:val="auto"/>
                <w:w w:val="71"/>
              </w:rPr>
              <w:t>$</w:t>
            </w:r>
          </w:p>
        </w:tc>
        <w:tc>
          <w:tcPr>
            <w:tcW w:w="60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0.30</w:t>
            </w:r>
          </w:p>
        </w:tc>
        <w:tc>
          <w:tcPr>
            <w:tcW w:w="340" w:type="dxa"/>
            <w:vAlign w:val="bottom"/>
            <w:tcBorders>
              <w:bottom w:val="single" w:sz="8" w:color="CCEEFF"/>
            </w:tcBorders>
            <w:shd w:val="clear" w:color="auto" w:fill="CCEEFF"/>
          </w:tcPr>
          <w:p>
            <w:pPr>
              <w:spacing w:after="0"/>
              <w:rPr>
                <w:sz w:val="12"/>
                <w:szCs w:val="12"/>
                <w:color w:val="auto"/>
              </w:rPr>
            </w:pPr>
          </w:p>
        </w:tc>
        <w:tc>
          <w:tcPr>
            <w:tcW w:w="240" w:type="dxa"/>
            <w:vAlign w:val="bottom"/>
            <w:tcBorders>
              <w:bottom w:val="single" w:sz="8" w:color="auto"/>
            </w:tcBorders>
            <w:shd w:val="clear" w:color="auto" w:fill="CCEEFF"/>
          </w:tcPr>
          <w:p>
            <w:pPr>
              <w:jc w:val="right"/>
              <w:ind w:right="10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760" w:type="dxa"/>
            <w:vAlign w:val="bottom"/>
            <w:tcBorders>
              <w:bottom w:val="single" w:sz="8" w:color="auto"/>
            </w:tcBorders>
            <w:shd w:val="clear" w:color="auto" w:fill="CCEEFF"/>
          </w:tcPr>
          <w:p>
            <w:pPr>
              <w:jc w:val="right"/>
              <w:ind w:right="1"/>
              <w:spacing w:after="0" w:line="124" w:lineRule="exact"/>
              <w:rPr>
                <w:sz w:val="20"/>
                <w:szCs w:val="20"/>
                <w:color w:val="auto"/>
              </w:rPr>
            </w:pPr>
            <w:r>
              <w:rPr>
                <w:rFonts w:ascii="Times New Roman" w:cs="Times New Roman" w:eastAsia="Times New Roman" w:hAnsi="Times New Roman"/>
                <w:sz w:val="12"/>
                <w:szCs w:val="12"/>
                <w:color w:val="auto"/>
              </w:rPr>
              <w:t>0.84</w:t>
            </w:r>
          </w:p>
        </w:tc>
        <w:tc>
          <w:tcPr>
            <w:tcW w:w="220" w:type="dxa"/>
            <w:vAlign w:val="bottom"/>
            <w:tcBorders>
              <w:bottom w:val="single" w:sz="8" w:color="CCEEFF"/>
            </w:tcBorders>
            <w:shd w:val="clear" w:color="auto" w:fill="CCEEFF"/>
          </w:tcPr>
          <w:p>
            <w:pPr>
              <w:spacing w:after="0"/>
              <w:rPr>
                <w:sz w:val="12"/>
                <w:szCs w:val="12"/>
                <w:color w:val="auto"/>
              </w:rPr>
            </w:pPr>
          </w:p>
        </w:tc>
        <w:tc>
          <w:tcPr>
            <w:tcW w:w="360" w:type="dxa"/>
            <w:vAlign w:val="bottom"/>
            <w:tcBorders>
              <w:bottom w:val="single" w:sz="8" w:color="auto"/>
            </w:tcBorders>
            <w:shd w:val="clear" w:color="auto" w:fill="CCEEFF"/>
          </w:tcPr>
          <w:p>
            <w:pPr>
              <w:jc w:val="right"/>
              <w:ind w:right="220"/>
              <w:spacing w:after="0" w:line="124" w:lineRule="exact"/>
              <w:rPr>
                <w:sz w:val="20"/>
                <w:szCs w:val="20"/>
                <w:color w:val="auto"/>
              </w:rPr>
            </w:pPr>
            <w:r>
              <w:rPr>
                <w:rFonts w:ascii="Times New Roman" w:cs="Times New Roman" w:eastAsia="Times New Roman" w:hAnsi="Times New Roman"/>
                <w:sz w:val="12"/>
                <w:szCs w:val="12"/>
                <w:color w:val="auto"/>
                <w:w w:val="99"/>
              </w:rPr>
              <w:t>$</w:t>
            </w:r>
          </w:p>
        </w:tc>
        <w:tc>
          <w:tcPr>
            <w:tcW w:w="640" w:type="dxa"/>
            <w:vAlign w:val="bottom"/>
            <w:tcBorders>
              <w:bottom w:val="single" w:sz="8" w:color="auto"/>
            </w:tcBorders>
            <w:shd w:val="clear" w:color="auto" w:fill="CCEEFF"/>
          </w:tcPr>
          <w:p>
            <w:pPr>
              <w:jc w:val="right"/>
              <w:spacing w:after="0" w:line="124" w:lineRule="exact"/>
              <w:rPr>
                <w:sz w:val="20"/>
                <w:szCs w:val="20"/>
                <w:color w:val="auto"/>
              </w:rPr>
            </w:pPr>
            <w:r>
              <w:rPr>
                <w:rFonts w:ascii="Times New Roman" w:cs="Times New Roman" w:eastAsia="Times New Roman" w:hAnsi="Times New Roman"/>
                <w:sz w:val="12"/>
                <w:szCs w:val="12"/>
                <w:color w:val="auto"/>
              </w:rPr>
              <w:t>0.65</w:t>
            </w:r>
          </w:p>
        </w:tc>
      </w:tr>
    </w:tbl>
    <w:p>
      <w:pPr>
        <w:spacing w:after="0" w:line="160" w:lineRule="exact"/>
        <w:rPr>
          <w:sz w:val="20"/>
          <w:szCs w:val="20"/>
          <w:color w:val="auto"/>
        </w:rPr>
      </w:pPr>
    </w:p>
    <w:p>
      <w:pPr>
        <w:ind w:right="80" w:firstLine="9"/>
        <w:spacing w:after="0" w:line="256" w:lineRule="auto"/>
        <w:tabs>
          <w:tab w:leader="none" w:pos="121" w:val="left"/>
        </w:tabs>
        <w:numPr>
          <w:ilvl w:val="0"/>
          <w:numId w:val="9"/>
        </w:numPr>
        <w:rPr>
          <w:rFonts w:ascii="Times New Roman" w:cs="Times New Roman" w:eastAsia="Times New Roman" w:hAnsi="Times New Roman"/>
          <w:sz w:val="14"/>
          <w:szCs w:val="14"/>
          <w:color w:val="auto"/>
          <w:vertAlign w:val="superscript"/>
        </w:rPr>
      </w:pPr>
      <w:r>
        <w:rPr>
          <w:rFonts w:ascii="Times New Roman" w:cs="Times New Roman" w:eastAsia="Times New Roman" w:hAnsi="Times New Roman"/>
          <w:sz w:val="11"/>
          <w:szCs w:val="11"/>
          <w:color w:val="auto"/>
        </w:rPr>
        <w:t>For the periods subsequent to the Spin-off (March 11, 2022 through June 30, 2022), income tax effect on adjustments was calculated on all items, except for separation costs, using a rate of 24.0%. For the periods prior to the Spin-off (October 1, 2021 through March 10, 2022 and for the three and nine months ended June 30, 2021), income tax effect on adjustments was calculated on all items, except for separation costs, adjustment to TRA liability and NCI adjustment, using a rate of 7.0%, which represents the effective income tax rate on BellRing’s distributive share from BellRing LLC. For the periods prior to the Spin-off, income tax effect for NCI adjustment was calculated using a rate of 0.0%, and income tax effect for adjustment to TRA liability was calculated using a rate of 24.0%. For all periods, income tax effect for separation costs was calculated using a rate of 8.0%.</w:t>
      </w:r>
    </w:p>
    <w:p>
      <w:pPr>
        <w:spacing w:after="0" w:line="200" w:lineRule="exact"/>
        <w:rPr>
          <w:sz w:val="20"/>
          <w:szCs w:val="20"/>
          <w:color w:val="auto"/>
        </w:rPr>
      </w:pPr>
    </w:p>
    <w:p>
      <w:pPr>
        <w:spacing w:after="0" w:line="21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11</w:t>
      </w:r>
    </w:p>
    <w:p>
      <w:pPr>
        <w:sectPr>
          <w:pgSz w:w="11900" w:h="16838" w:orient="portrait"/>
          <w:cols w:equalWidth="0" w:num="1">
            <w:col w:w="11220"/>
          </w:cols>
          <w:pgMar w:left="340" w:top="641"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26"/>
        </w:trPr>
        <w:tc>
          <w:tcPr>
            <w:tcW w:w="7860" w:type="dxa"/>
            <w:vAlign w:val="bottom"/>
            <w:gridSpan w:val="7"/>
          </w:tcPr>
          <w:p>
            <w:pPr>
              <w:jc w:val="center"/>
              <w:ind w:left="3300"/>
              <w:spacing w:after="0"/>
              <w:rPr>
                <w:sz w:val="20"/>
                <w:szCs w:val="20"/>
                <w:color w:val="auto"/>
              </w:rPr>
            </w:pPr>
            <w:r>
              <w:rPr>
                <w:rFonts w:ascii="Times New Roman" w:cs="Times New Roman" w:eastAsia="Times New Roman" w:hAnsi="Times New Roman"/>
                <w:sz w:val="11"/>
                <w:szCs w:val="11"/>
                <w:b w:val="1"/>
                <w:bCs w:val="1"/>
                <w:color w:val="auto"/>
                <w:w w:val="97"/>
              </w:rPr>
              <w:t>RECONCILIATION OF NET EARNINGS AVAILABLE TO COMMON STOCKHOLDERS</w:t>
            </w: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5"/>
        </w:trPr>
        <w:tc>
          <w:tcPr>
            <w:tcW w:w="4360" w:type="dxa"/>
            <w:vAlign w:val="bottom"/>
          </w:tcPr>
          <w:p>
            <w:pPr>
              <w:spacing w:after="0"/>
              <w:rPr>
                <w:sz w:val="11"/>
                <w:szCs w:val="11"/>
                <w:color w:val="auto"/>
              </w:rPr>
            </w:pPr>
          </w:p>
        </w:tc>
        <w:tc>
          <w:tcPr>
            <w:tcW w:w="2180" w:type="dxa"/>
            <w:vAlign w:val="bottom"/>
            <w:gridSpan w:val="2"/>
          </w:tcPr>
          <w:p>
            <w:pPr>
              <w:jc w:val="center"/>
              <w:ind w:left="266"/>
              <w:spacing w:after="0"/>
              <w:rPr>
                <w:sz w:val="20"/>
                <w:szCs w:val="20"/>
                <w:color w:val="auto"/>
              </w:rPr>
            </w:pPr>
            <w:r>
              <w:rPr>
                <w:rFonts w:ascii="Times New Roman" w:cs="Times New Roman" w:eastAsia="Times New Roman" w:hAnsi="Times New Roman"/>
                <w:sz w:val="11"/>
                <w:szCs w:val="11"/>
                <w:b w:val="1"/>
                <w:bCs w:val="1"/>
                <w:color w:val="auto"/>
                <w:w w:val="98"/>
              </w:rPr>
              <w:t>TO ADJUSTED EBITDA (Unaudited)</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42"/>
        </w:trPr>
        <w:tc>
          <w:tcPr>
            <w:tcW w:w="4360" w:type="dxa"/>
            <w:vAlign w:val="bottom"/>
          </w:tcPr>
          <w:p>
            <w:pPr>
              <w:spacing w:after="0"/>
              <w:rPr>
                <w:sz w:val="12"/>
                <w:szCs w:val="12"/>
                <w:color w:val="auto"/>
              </w:rPr>
            </w:pPr>
          </w:p>
        </w:tc>
        <w:tc>
          <w:tcPr>
            <w:tcW w:w="2180" w:type="dxa"/>
            <w:vAlign w:val="bottom"/>
            <w:gridSpan w:val="2"/>
          </w:tcPr>
          <w:p>
            <w:pPr>
              <w:jc w:val="center"/>
              <w:ind w:left="246"/>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700" w:type="dxa"/>
            <w:vAlign w:val="bottom"/>
          </w:tcPr>
          <w:p>
            <w:pPr>
              <w:spacing w:after="0"/>
              <w:rPr>
                <w:sz w:val="12"/>
                <w:szCs w:val="12"/>
                <w:color w:val="auto"/>
              </w:rPr>
            </w:pPr>
          </w:p>
        </w:tc>
      </w:tr>
      <w:tr>
        <w:trPr>
          <w:trHeight w:val="121"/>
        </w:trPr>
        <w:tc>
          <w:tcPr>
            <w:tcW w:w="4360" w:type="dxa"/>
            <w:vAlign w:val="bottom"/>
          </w:tcPr>
          <w:p>
            <w:pPr>
              <w:spacing w:after="0"/>
              <w:rPr>
                <w:sz w:val="10"/>
                <w:szCs w:val="10"/>
                <w:color w:val="auto"/>
              </w:rPr>
            </w:pPr>
          </w:p>
        </w:tc>
        <w:tc>
          <w:tcPr>
            <w:tcW w:w="182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320" w:type="dxa"/>
            <w:vAlign w:val="bottom"/>
            <w:gridSpan w:val="4"/>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Three Months Ended</w:t>
            </w:r>
          </w:p>
        </w:tc>
        <w:tc>
          <w:tcPr>
            <w:tcW w:w="6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20" w:type="dxa"/>
            <w:vAlign w:val="bottom"/>
            <w:gridSpan w:val="4"/>
          </w:tcPr>
          <w:p>
            <w:pPr>
              <w:jc w:val="right"/>
              <w:spacing w:after="0" w:line="121" w:lineRule="exact"/>
              <w:rPr>
                <w:sz w:val="20"/>
                <w:szCs w:val="20"/>
                <w:color w:val="auto"/>
              </w:rPr>
            </w:pPr>
            <w:r>
              <w:rPr>
                <w:rFonts w:ascii="Times New Roman" w:cs="Times New Roman" w:eastAsia="Times New Roman" w:hAnsi="Times New Roman"/>
                <w:sz w:val="11"/>
                <w:szCs w:val="11"/>
                <w:b w:val="1"/>
                <w:bCs w:val="1"/>
                <w:color w:val="auto"/>
              </w:rPr>
              <w:t>Nine Months Ended</w:t>
            </w:r>
          </w:p>
        </w:tc>
        <w:tc>
          <w:tcPr>
            <w:tcW w:w="700" w:type="dxa"/>
            <w:vAlign w:val="bottom"/>
          </w:tcPr>
          <w:p>
            <w:pPr>
              <w:spacing w:after="0"/>
              <w:rPr>
                <w:sz w:val="10"/>
                <w:szCs w:val="10"/>
                <w:color w:val="auto"/>
              </w:rPr>
            </w:pPr>
          </w:p>
        </w:tc>
      </w:tr>
      <w:tr>
        <w:trPr>
          <w:trHeight w:val="143"/>
        </w:trPr>
        <w:tc>
          <w:tcPr>
            <w:tcW w:w="436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660" w:type="dxa"/>
            <w:vAlign w:val="bottom"/>
            <w:tcBorders>
              <w:bottom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gridSpan w:val="3"/>
          </w:tcPr>
          <w:p>
            <w:pPr>
              <w:jc w:val="right"/>
              <w:ind w:right="240"/>
              <w:spacing w:after="0"/>
              <w:rPr>
                <w:sz w:val="20"/>
                <w:szCs w:val="20"/>
                <w:color w:val="auto"/>
              </w:rPr>
            </w:pPr>
            <w:r>
              <w:rPr>
                <w:rFonts w:ascii="Times New Roman" w:cs="Times New Roman" w:eastAsia="Times New Roman" w:hAnsi="Times New Roman"/>
                <w:sz w:val="11"/>
                <w:szCs w:val="11"/>
                <w:b w:val="1"/>
                <w:bCs w:val="1"/>
                <w:color w:val="auto"/>
              </w:rPr>
              <w:t>June 30,</w:t>
            </w:r>
          </w:p>
        </w:tc>
        <w:tc>
          <w:tcPr>
            <w:tcW w:w="700" w:type="dxa"/>
            <w:vAlign w:val="bottom"/>
            <w:tcBorders>
              <w:bottom w:val="single" w:sz="8" w:color="auto"/>
            </w:tcBorders>
          </w:tcPr>
          <w:p>
            <w:pPr>
              <w:spacing w:after="0"/>
              <w:rPr>
                <w:sz w:val="12"/>
                <w:szCs w:val="12"/>
                <w:color w:val="auto"/>
              </w:rPr>
            </w:pPr>
          </w:p>
        </w:tc>
      </w:tr>
      <w:tr>
        <w:trPr>
          <w:trHeight w:val="133"/>
        </w:trPr>
        <w:tc>
          <w:tcPr>
            <w:tcW w:w="4360" w:type="dxa"/>
            <w:vAlign w:val="bottom"/>
            <w:tcBorders>
              <w:bottom w:val="single" w:sz="8" w:color="CCEEFF"/>
            </w:tcBorders>
          </w:tcPr>
          <w:p>
            <w:pPr>
              <w:spacing w:after="0"/>
              <w:rPr>
                <w:sz w:val="11"/>
                <w:szCs w:val="11"/>
                <w:color w:val="auto"/>
              </w:rPr>
            </w:pPr>
          </w:p>
        </w:tc>
        <w:tc>
          <w:tcPr>
            <w:tcW w:w="1820" w:type="dxa"/>
            <w:vAlign w:val="bottom"/>
            <w:tcBorders>
              <w:bottom w:val="single" w:sz="8" w:color="CCEEFF"/>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40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w w:val="99"/>
              </w:rPr>
              <w:t>2021</w:t>
            </w:r>
          </w:p>
        </w:tc>
        <w:tc>
          <w:tcPr>
            <w:tcW w:w="340" w:type="dxa"/>
            <w:vAlign w:val="bottom"/>
            <w:tcBorders>
              <w:bottom w:val="single" w:sz="8" w:color="CCEEFF"/>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241"/>
              <w:spacing w:after="0"/>
              <w:rPr>
                <w:sz w:val="20"/>
                <w:szCs w:val="20"/>
                <w:color w:val="auto"/>
              </w:rPr>
            </w:pPr>
            <w:r>
              <w:rPr>
                <w:rFonts w:ascii="Times New Roman" w:cs="Times New Roman" w:eastAsia="Times New Roman" w:hAnsi="Times New Roman"/>
                <w:sz w:val="11"/>
                <w:szCs w:val="11"/>
                <w:b w:val="1"/>
                <w:bCs w:val="1"/>
                <w:color w:val="auto"/>
              </w:rPr>
              <w:t>2022</w:t>
            </w:r>
          </w:p>
        </w:tc>
        <w:tc>
          <w:tcPr>
            <w:tcW w:w="120" w:type="dxa"/>
            <w:vAlign w:val="bottom"/>
            <w:tcBorders>
              <w:bottom w:val="single" w:sz="8" w:color="auto"/>
            </w:tcBorders>
          </w:tcPr>
          <w:p>
            <w:pPr>
              <w:spacing w:after="0"/>
              <w:rPr>
                <w:sz w:val="11"/>
                <w:szCs w:val="11"/>
                <w:color w:val="auto"/>
              </w:rPr>
            </w:pPr>
          </w:p>
        </w:tc>
        <w:tc>
          <w:tcPr>
            <w:tcW w:w="220" w:type="dxa"/>
            <w:vAlign w:val="bottom"/>
            <w:tcBorders>
              <w:bottom w:val="single" w:sz="8" w:color="CCEEFF"/>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1"/>
                <w:szCs w:val="11"/>
                <w:b w:val="1"/>
                <w:bCs w:val="1"/>
                <w:color w:val="auto"/>
              </w:rPr>
              <w:t>2021</w:t>
            </w:r>
          </w:p>
        </w:tc>
      </w:tr>
      <w:tr>
        <w:trPr>
          <w:trHeight w:val="14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Net Earnings Available to Common Stockholders</w:t>
            </w:r>
          </w:p>
        </w:tc>
        <w:tc>
          <w:tcPr>
            <w:tcW w:w="1820" w:type="dxa"/>
            <w:vAlign w:val="bottom"/>
            <w:shd w:val="clear" w:color="auto" w:fill="CCEEFF"/>
          </w:tcPr>
          <w:p>
            <w:pPr>
              <w:spacing w:after="0"/>
              <w:rPr>
                <w:sz w:val="12"/>
                <w:szCs w:val="12"/>
                <w:color w:val="auto"/>
              </w:rPr>
            </w:pPr>
          </w:p>
        </w:tc>
        <w:tc>
          <w:tcPr>
            <w:tcW w:w="360" w:type="dxa"/>
            <w:vAlign w:val="bottom"/>
            <w:shd w:val="clear" w:color="auto" w:fill="CCEEFF"/>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39.1</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00" w:type="dxa"/>
            <w:vAlign w:val="bottom"/>
            <w:shd w:val="clear" w:color="auto" w:fill="CCEEFF"/>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48.6</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380" w:type="dxa"/>
            <w:vAlign w:val="bottom"/>
            <w:shd w:val="clear" w:color="auto" w:fill="CCEEFF"/>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17.9</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Income tax expense</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12.5</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3.4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18.6</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5.8</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Interest expense,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9.5</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32.8</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33.6</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Depreciation and amortization, including accelerated depreciation and amortization</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5.3</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80"/>
              <w:spacing w:after="0"/>
              <w:rPr>
                <w:sz w:val="20"/>
                <w:szCs w:val="20"/>
                <w:color w:val="auto"/>
              </w:rPr>
            </w:pPr>
            <w:r>
              <w:rPr>
                <w:rFonts w:ascii="Times New Roman" w:cs="Times New Roman" w:eastAsia="Times New Roman" w:hAnsi="Times New Roman"/>
                <w:sz w:val="12"/>
                <w:szCs w:val="12"/>
                <w:color w:val="auto"/>
              </w:rPr>
              <w:t>17.7</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15.9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48.3</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Loss on extinguishment and refinancing of debt, net</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17.6</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1.6</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Separation costs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0.9</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13.2</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Stock-based compensation</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66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1.8</w:t>
            </w:r>
          </w:p>
        </w:tc>
        <w:tc>
          <w:tcPr>
            <w:tcW w:w="34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7.9</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5.4</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Restructuring and facility closure costs, excluding accelerated depreciation</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000" w:type="dxa"/>
            <w:vAlign w:val="bottom"/>
            <w:gridSpan w:val="2"/>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100"/>
              <w:spacing w:after="0"/>
              <w:rPr>
                <w:sz w:val="20"/>
                <w:szCs w:val="20"/>
                <w:color w:val="auto"/>
              </w:rPr>
            </w:pPr>
            <w:r>
              <w:rPr>
                <w:rFonts w:ascii="Times New Roman" w:cs="Times New Roman" w:eastAsia="Times New Roman" w:hAnsi="Times New Roman"/>
                <w:sz w:val="12"/>
                <w:szCs w:val="12"/>
                <w:color w:val="auto"/>
              </w:rPr>
              <w:t>5.3</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Resolution of dispute with former contract manufacturer</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2.3</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Foreign currency loss (gain) on intercompany loans</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0.4</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(0.1)</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Mark-to-market adjustments on commodity hedges</w:t>
            </w:r>
          </w:p>
        </w:tc>
        <w:tc>
          <w:tcPr>
            <w:tcW w:w="1820" w:type="dxa"/>
            <w:vAlign w:val="bottom"/>
            <w:shd w:val="clear" w:color="auto" w:fill="CCEEFF"/>
          </w:tcPr>
          <w:p>
            <w:pPr>
              <w:spacing w:after="0"/>
              <w:rPr>
                <w:sz w:val="13"/>
                <w:szCs w:val="13"/>
                <w:color w:val="auto"/>
              </w:rPr>
            </w:pPr>
          </w:p>
        </w:tc>
        <w:tc>
          <w:tcPr>
            <w:tcW w:w="360" w:type="dxa"/>
            <w:vAlign w:val="bottom"/>
            <w:shd w:val="clear" w:color="auto" w:fill="CCEEFF"/>
          </w:tcPr>
          <w:p>
            <w:pPr>
              <w:spacing w:after="0"/>
              <w:rPr>
                <w:sz w:val="13"/>
                <w:szCs w:val="13"/>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0.7</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2"/>
                <w:szCs w:val="12"/>
                <w:color w:val="auto"/>
              </w:rPr>
              <w:t>—</w:t>
            </w:r>
          </w:p>
        </w:tc>
        <w:tc>
          <w:tcPr>
            <w:tcW w:w="240" w:type="dxa"/>
            <w:vAlign w:val="bottom"/>
            <w:shd w:val="clear" w:color="auto" w:fill="CCEEFF"/>
          </w:tcPr>
          <w:p>
            <w:pPr>
              <w:spacing w:after="0"/>
              <w:rPr>
                <w:sz w:val="13"/>
                <w:szCs w:val="13"/>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0.2</w:t>
            </w:r>
          </w:p>
        </w:tc>
        <w:tc>
          <w:tcPr>
            <w:tcW w:w="1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700" w:type="dxa"/>
            <w:vAlign w:val="bottom"/>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w:t>
            </w:r>
          </w:p>
        </w:tc>
      </w:tr>
      <w:tr>
        <w:trPr>
          <w:trHeight w:val="153"/>
        </w:trPr>
        <w:tc>
          <w:tcPr>
            <w:tcW w:w="4360" w:type="dxa"/>
            <w:vAlign w:val="bottom"/>
          </w:tcPr>
          <w:p>
            <w:pPr>
              <w:spacing w:after="0"/>
              <w:rPr>
                <w:sz w:val="20"/>
                <w:szCs w:val="20"/>
                <w:color w:val="auto"/>
              </w:rPr>
            </w:pPr>
            <w:r>
              <w:rPr>
                <w:rFonts w:ascii="Times New Roman" w:cs="Times New Roman" w:eastAsia="Times New Roman" w:hAnsi="Times New Roman"/>
                <w:sz w:val="12"/>
                <w:szCs w:val="12"/>
                <w:color w:val="auto"/>
              </w:rPr>
              <w:t>Adjustment to TRA liability</w:t>
            </w:r>
          </w:p>
        </w:tc>
        <w:tc>
          <w:tcPr>
            <w:tcW w:w="18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6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00" w:type="dxa"/>
            <w:vAlign w:val="bottom"/>
          </w:tcPr>
          <w:p>
            <w:pPr>
              <w:jc w:val="right"/>
              <w:ind w:right="60"/>
              <w:spacing w:after="0"/>
              <w:rPr>
                <w:sz w:val="20"/>
                <w:szCs w:val="20"/>
                <w:color w:val="auto"/>
              </w:rPr>
            </w:pPr>
            <w:r>
              <w:rPr>
                <w:rFonts w:ascii="Times New Roman" w:cs="Times New Roman" w:eastAsia="Times New Roman" w:hAnsi="Times New Roman"/>
                <w:sz w:val="12"/>
                <w:szCs w:val="12"/>
                <w:color w:val="auto"/>
              </w:rPr>
              <w:t>(0.4)</w:t>
            </w:r>
          </w:p>
        </w:tc>
      </w:tr>
      <w:tr>
        <w:trPr>
          <w:trHeight w:val="153"/>
        </w:trPr>
        <w:tc>
          <w:tcPr>
            <w:tcW w:w="4360" w:type="dxa"/>
            <w:vAlign w:val="bottom"/>
            <w:shd w:val="clear" w:color="auto" w:fill="CCEEFF"/>
          </w:tcPr>
          <w:p>
            <w:pPr>
              <w:spacing w:after="0"/>
              <w:rPr>
                <w:sz w:val="20"/>
                <w:szCs w:val="20"/>
                <w:color w:val="auto"/>
              </w:rPr>
            </w:pPr>
            <w:r>
              <w:rPr>
                <w:rFonts w:ascii="Times New Roman" w:cs="Times New Roman" w:eastAsia="Times New Roman" w:hAnsi="Times New Roman"/>
                <w:sz w:val="12"/>
                <w:szCs w:val="12"/>
                <w:color w:val="auto"/>
              </w:rPr>
              <w:t>Net earnings attributable to redeemable noncontrolling interest</w:t>
            </w:r>
          </w:p>
        </w:tc>
        <w:tc>
          <w:tcPr>
            <w:tcW w:w="1820" w:type="dxa"/>
            <w:vAlign w:val="bottom"/>
            <w:shd w:val="clear" w:color="auto" w:fill="CCEEFF"/>
          </w:tcPr>
          <w:p>
            <w:pPr>
              <w:spacing w:after="0"/>
              <w:rPr>
                <w:sz w:val="13"/>
                <w:szCs w:val="13"/>
                <w:color w:val="auto"/>
              </w:rPr>
            </w:pPr>
          </w:p>
        </w:tc>
        <w:tc>
          <w:tcPr>
            <w:tcW w:w="360" w:type="dxa"/>
            <w:vAlign w:val="bottom"/>
            <w:tcBorders>
              <w:bottom w:val="single" w:sz="8" w:color="auto"/>
            </w:tcBorders>
            <w:shd w:val="clear" w:color="auto" w:fill="CCEEFF"/>
          </w:tcPr>
          <w:p>
            <w:pPr>
              <w:spacing w:after="0"/>
              <w:rPr>
                <w:sz w:val="13"/>
                <w:szCs w:val="13"/>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w:t>
            </w:r>
          </w:p>
        </w:tc>
        <w:tc>
          <w:tcPr>
            <w:tcW w:w="1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jc w:val="right"/>
              <w:ind w:right="80"/>
              <w:spacing w:after="0"/>
              <w:rPr>
                <w:sz w:val="20"/>
                <w:szCs w:val="20"/>
                <w:color w:val="auto"/>
              </w:rPr>
            </w:pPr>
            <w:r>
              <w:rPr>
                <w:rFonts w:ascii="Times New Roman" w:cs="Times New Roman" w:eastAsia="Times New Roman" w:hAnsi="Times New Roman"/>
                <w:sz w:val="12"/>
                <w:szCs w:val="12"/>
                <w:color w:val="auto"/>
              </w:rPr>
              <w:t>29.0</w:t>
            </w:r>
          </w:p>
        </w:tc>
        <w:tc>
          <w:tcPr>
            <w:tcW w:w="340" w:type="dxa"/>
            <w:vAlign w:val="bottom"/>
            <w:shd w:val="clear" w:color="auto" w:fill="CCEEFF"/>
          </w:tcPr>
          <w:p>
            <w:pPr>
              <w:spacing w:after="0"/>
              <w:rPr>
                <w:sz w:val="13"/>
                <w:szCs w:val="13"/>
                <w:color w:val="auto"/>
              </w:rPr>
            </w:pPr>
          </w:p>
        </w:tc>
        <w:tc>
          <w:tcPr>
            <w:tcW w:w="24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33.7</w:t>
            </w:r>
          </w:p>
        </w:tc>
        <w:tc>
          <w:tcPr>
            <w:tcW w:w="120" w:type="dxa"/>
            <w:vAlign w:val="bottom"/>
            <w:tcBorders>
              <w:bottom w:val="single" w:sz="8" w:color="auto"/>
            </w:tcBorders>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380" w:type="dxa"/>
            <w:vAlign w:val="bottom"/>
            <w:tcBorders>
              <w:bottom w:val="single" w:sz="8" w:color="auto"/>
            </w:tcBorders>
            <w:shd w:val="clear" w:color="auto" w:fill="CCEEFF"/>
          </w:tcPr>
          <w:p>
            <w:pPr>
              <w:spacing w:after="0"/>
              <w:rPr>
                <w:sz w:val="13"/>
                <w:szCs w:val="13"/>
                <w:color w:val="auto"/>
              </w:rPr>
            </w:pPr>
          </w:p>
        </w:tc>
        <w:tc>
          <w:tcPr>
            <w:tcW w:w="700" w:type="dxa"/>
            <w:vAlign w:val="bottom"/>
            <w:tcBorders>
              <w:bottom w:val="single" w:sz="8" w:color="auto"/>
            </w:tcBorders>
            <w:shd w:val="clear" w:color="auto" w:fill="CCEEFF"/>
          </w:tcPr>
          <w:p>
            <w:pPr>
              <w:jc w:val="right"/>
              <w:ind w:right="100"/>
              <w:spacing w:after="0"/>
              <w:rPr>
                <w:sz w:val="20"/>
                <w:szCs w:val="20"/>
                <w:color w:val="auto"/>
              </w:rPr>
            </w:pPr>
            <w:r>
              <w:rPr>
                <w:rFonts w:ascii="Times New Roman" w:cs="Times New Roman" w:eastAsia="Times New Roman" w:hAnsi="Times New Roman"/>
                <w:sz w:val="12"/>
                <w:szCs w:val="12"/>
                <w:color w:val="auto"/>
              </w:rPr>
              <w:t>56.0</w:t>
            </w:r>
          </w:p>
        </w:tc>
      </w:tr>
      <w:tr>
        <w:trPr>
          <w:trHeight w:val="158"/>
        </w:trPr>
        <w:tc>
          <w:tcPr>
            <w:tcW w:w="43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2"/>
                <w:szCs w:val="12"/>
                <w:b w:val="1"/>
                <w:bCs w:val="1"/>
                <w:color w:val="auto"/>
              </w:rPr>
              <w:t>Adjusted EBITDA</w:t>
            </w:r>
          </w:p>
        </w:tc>
        <w:tc>
          <w:tcPr>
            <w:tcW w:w="1820" w:type="dxa"/>
            <w:vAlign w:val="bottom"/>
            <w:tcBorders>
              <w:bottom w:val="single" w:sz="8" w:color="CCEEFF"/>
            </w:tcBorders>
          </w:tcPr>
          <w:p>
            <w:pPr>
              <w:spacing w:after="0"/>
              <w:rPr>
                <w:sz w:val="13"/>
                <w:szCs w:val="13"/>
                <w:color w:val="auto"/>
              </w:rPr>
            </w:pPr>
          </w:p>
        </w:tc>
        <w:tc>
          <w:tcPr>
            <w:tcW w:w="360" w:type="dxa"/>
            <w:vAlign w:val="bottom"/>
            <w:tcBorders>
              <w:bottom w:val="single" w:sz="8" w:color="auto"/>
            </w:tcBorders>
          </w:tcPr>
          <w:p>
            <w:pPr>
              <w:jc w:val="right"/>
              <w:ind w:right="246"/>
              <w:spacing w:after="0"/>
              <w:rPr>
                <w:sz w:val="20"/>
                <w:szCs w:val="20"/>
                <w:color w:val="auto"/>
              </w:rPr>
            </w:pPr>
            <w:r>
              <w:rPr>
                <w:rFonts w:ascii="Times New Roman" w:cs="Times New Roman" w:eastAsia="Times New Roman" w:hAnsi="Times New Roman"/>
                <w:sz w:val="11"/>
                <w:szCs w:val="11"/>
                <w:color w:val="auto"/>
                <w:w w:val="71"/>
              </w:rPr>
              <w:t>$</w:t>
            </w: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80.8</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2"/>
                <w:szCs w:val="12"/>
                <w:color w:val="auto"/>
                <w:w w:val="99"/>
              </w:rPr>
              <w:t>$</w:t>
            </w:r>
          </w:p>
        </w:tc>
        <w:tc>
          <w:tcPr>
            <w:tcW w:w="660" w:type="dxa"/>
            <w:vAlign w:val="bottom"/>
            <w:tcBorders>
              <w:bottom w:val="single" w:sz="8" w:color="auto"/>
            </w:tcBorders>
          </w:tcPr>
          <w:p>
            <w:pPr>
              <w:jc w:val="right"/>
              <w:ind w:right="80"/>
              <w:spacing w:after="0"/>
              <w:rPr>
                <w:sz w:val="20"/>
                <w:szCs w:val="20"/>
                <w:color w:val="auto"/>
              </w:rPr>
            </w:pPr>
            <w:r>
              <w:rPr>
                <w:rFonts w:ascii="Times New Roman" w:cs="Times New Roman" w:eastAsia="Times New Roman" w:hAnsi="Times New Roman"/>
                <w:sz w:val="12"/>
                <w:szCs w:val="12"/>
                <w:color w:val="auto"/>
              </w:rPr>
              <w:t>70.5</w:t>
            </w:r>
          </w:p>
        </w:tc>
        <w:tc>
          <w:tcPr>
            <w:tcW w:w="34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2"/>
                <w:szCs w:val="12"/>
                <w:color w:val="auto"/>
              </w:rPr>
              <w:t>191.5</w:t>
            </w:r>
          </w:p>
        </w:tc>
        <w:tc>
          <w:tcPr>
            <w:tcW w:w="120" w:type="dxa"/>
            <w:vAlign w:val="bottom"/>
            <w:tcBorders>
              <w:bottom w:val="single" w:sz="8" w:color="auto"/>
            </w:tcBorders>
          </w:tcPr>
          <w:p>
            <w:pPr>
              <w:spacing w:after="0"/>
              <w:rPr>
                <w:sz w:val="13"/>
                <w:szCs w:val="13"/>
                <w:color w:val="auto"/>
              </w:rPr>
            </w:pPr>
          </w:p>
        </w:tc>
        <w:tc>
          <w:tcPr>
            <w:tcW w:w="22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jc w:val="right"/>
              <w:ind w:right="240"/>
              <w:spacing w:after="0"/>
              <w:rPr>
                <w:sz w:val="20"/>
                <w:szCs w:val="20"/>
                <w:color w:val="auto"/>
              </w:rPr>
            </w:pPr>
            <w:r>
              <w:rPr>
                <w:rFonts w:ascii="Times New Roman" w:cs="Times New Roman" w:eastAsia="Times New Roman" w:hAnsi="Times New Roman"/>
                <w:sz w:val="12"/>
                <w:szCs w:val="12"/>
                <w:color w:val="auto"/>
                <w:w w:val="99"/>
              </w:rPr>
              <w:t>$</w:t>
            </w:r>
          </w:p>
        </w:tc>
        <w:tc>
          <w:tcPr>
            <w:tcW w:w="700" w:type="dxa"/>
            <w:vAlign w:val="bottom"/>
            <w:tcBorders>
              <w:bottom w:val="single" w:sz="8" w:color="auto"/>
            </w:tcBorders>
          </w:tcPr>
          <w:p>
            <w:pPr>
              <w:jc w:val="right"/>
              <w:ind w:right="100"/>
              <w:spacing w:after="0"/>
              <w:rPr>
                <w:sz w:val="20"/>
                <w:szCs w:val="20"/>
                <w:color w:val="auto"/>
              </w:rPr>
            </w:pPr>
            <w:r>
              <w:rPr>
                <w:rFonts w:ascii="Times New Roman" w:cs="Times New Roman" w:eastAsia="Times New Roman" w:hAnsi="Times New Roman"/>
                <w:sz w:val="12"/>
                <w:szCs w:val="12"/>
                <w:color w:val="auto"/>
              </w:rPr>
              <w:t>173.4</w:t>
            </w:r>
          </w:p>
        </w:tc>
      </w:tr>
      <w:tr>
        <w:trPr>
          <w:trHeight w:val="169"/>
        </w:trPr>
        <w:tc>
          <w:tcPr>
            <w:tcW w:w="4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2"/>
                <w:szCs w:val="12"/>
                <w:b w:val="1"/>
                <w:bCs w:val="1"/>
                <w:color w:val="auto"/>
              </w:rPr>
              <w:t>Adjusted EBITDA as a percentage of Net Sales</w:t>
            </w:r>
          </w:p>
        </w:tc>
        <w:tc>
          <w:tcPr>
            <w:tcW w:w="1820" w:type="dxa"/>
            <w:vAlign w:val="bottom"/>
            <w:tcBorders>
              <w:bottom w:val="single" w:sz="8" w:color="CCEEFF"/>
            </w:tcBorders>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21.8 %</w:t>
            </w:r>
          </w:p>
        </w:tc>
        <w:tc>
          <w:tcPr>
            <w:tcW w:w="220" w:type="dxa"/>
            <w:vAlign w:val="bottom"/>
            <w:tcBorders>
              <w:bottom w:val="single" w:sz="8" w:color="CCEEFF"/>
            </w:tcBorders>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20.6 %</w:t>
            </w:r>
          </w:p>
        </w:tc>
        <w:tc>
          <w:tcPr>
            <w:tcW w:w="34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19.3 %</w:t>
            </w:r>
          </w:p>
        </w:tc>
        <w:tc>
          <w:tcPr>
            <w:tcW w:w="220" w:type="dxa"/>
            <w:vAlign w:val="bottom"/>
            <w:tcBorders>
              <w:bottom w:val="single" w:sz="8" w:color="CCEEFF"/>
            </w:tcBorders>
            <w:shd w:val="clear" w:color="auto" w:fill="CCEEFF"/>
          </w:tcPr>
          <w:p>
            <w:pPr>
              <w:spacing w:after="0"/>
              <w:rPr>
                <w:sz w:val="14"/>
                <w:szCs w:val="14"/>
                <w:color w:val="auto"/>
              </w:rPr>
            </w:pPr>
          </w:p>
        </w:tc>
        <w:tc>
          <w:tcPr>
            <w:tcW w:w="3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2"/>
                <w:szCs w:val="12"/>
                <w:color w:val="auto"/>
              </w:rPr>
              <w:t>19.1 %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2"/>
          <w:szCs w:val="12"/>
          <w:color w:val="auto"/>
        </w:rPr>
        <w:t>12</w:t>
      </w:r>
    </w:p>
    <w:p>
      <w:pPr>
        <w:sectPr>
          <w:pgSz w:w="11900" w:h="16838" w:orient="portrait"/>
          <w:cols w:equalWidth="0" w:num="1">
            <w:col w:w="11220"/>
          </w:cols>
          <w:pgMar w:left="340" w:top="749" w:right="33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99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99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3985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0415" cy="33985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10"/>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decimal"/>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2022-08-05T16:04:43Z</dcterms:created>
  <dcterms:modified xsi:type="dcterms:W3CDTF">2022-08-05T16:04:43Z</dcterms:modified>
</cp:coreProperties>
</file>