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line="235" w:lineRule="auto"/>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5"/>
          <w:szCs w:val="25"/>
          <w:b w:val="1"/>
          <w:bCs w:val="1"/>
          <w:color w:val="auto"/>
        </w:rPr>
        <w:t>__________________</w:t>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3"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5"/>
          <w:szCs w:val="25"/>
          <w:b w:val="1"/>
          <w:bCs w:val="1"/>
          <w:color w:val="auto"/>
        </w:rPr>
        <w:t>__________________</w:t>
      </w:r>
    </w:p>
    <w:p>
      <w:pPr>
        <w:spacing w:after="0" w:line="218" w:lineRule="exact"/>
        <w:rPr>
          <w:sz w:val="24"/>
          <w:szCs w:val="24"/>
          <w:color w:val="auto"/>
        </w:rPr>
      </w:pPr>
    </w:p>
    <w:p>
      <w:pPr>
        <w:jc w:val="center"/>
        <w:ind w:left="4060" w:right="1400" w:hanging="2656"/>
        <w:spacing w:after="0" w:line="290" w:lineRule="auto"/>
        <w:tabs>
          <w:tab w:leader="none" w:pos="161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June 30, 2024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3" w:lineRule="exact"/>
        <w:rPr>
          <w:sz w:val="24"/>
          <w:szCs w:val="24"/>
          <w:color w:val="auto"/>
        </w:rPr>
      </w:pPr>
    </w:p>
    <w:p>
      <w:pPr>
        <w:jc w:val="center"/>
        <w:ind w:left="4040" w:right="1400" w:hanging="2640"/>
        <w:spacing w:after="0" w:line="294" w:lineRule="auto"/>
        <w:tabs>
          <w:tab w:leader="none" w:pos="159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 to _____</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Commission File Number: </w:t>
      </w:r>
      <w:r>
        <w:rPr>
          <w:rFonts w:ascii="Times New Roman" w:cs="Times New Roman" w:eastAsia="Times New Roman" w:hAnsi="Times New Roman"/>
          <w:sz w:val="17"/>
          <w:szCs w:val="17"/>
          <w:b w:val="1"/>
          <w:bCs w:val="1"/>
          <w:color w:val="auto"/>
        </w:rPr>
        <w:t>1-39093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130175</wp:posOffset>
            </wp:positionV>
            <wp:extent cx="1362710"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2710" cy="659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BellRing Brands,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540" w:type="dxa"/>
            <w:vAlign w:val="bottom"/>
          </w:tcPr>
          <w:p>
            <w:pPr>
              <w:spacing w:after="0"/>
              <w:rPr>
                <w:sz w:val="20"/>
                <w:szCs w:val="20"/>
                <w:color w:val="auto"/>
              </w:rPr>
            </w:pPr>
          </w:p>
        </w:tc>
        <w:tc>
          <w:tcPr>
            <w:tcW w:w="2280" w:type="dxa"/>
            <w:vAlign w:val="bottom"/>
            <w:gridSpan w:val="2"/>
          </w:tcPr>
          <w:p>
            <w:pPr>
              <w:jc w:val="center"/>
              <w:ind w:left="27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60" w:type="dxa"/>
            <w:vAlign w:val="bottom"/>
            <w:gridSpan w:val="2"/>
          </w:tcPr>
          <w:p>
            <w:pPr>
              <w:jc w:val="right"/>
              <w:ind w:right="1659"/>
              <w:spacing w:after="0"/>
              <w:rPr>
                <w:sz w:val="20"/>
                <w:szCs w:val="20"/>
                <w:color w:val="auto"/>
              </w:rPr>
            </w:pPr>
            <w:r>
              <w:rPr>
                <w:rFonts w:ascii="Times New Roman" w:cs="Times New Roman" w:eastAsia="Times New Roman" w:hAnsi="Times New Roman"/>
                <w:sz w:val="18"/>
                <w:szCs w:val="18"/>
                <w:b w:val="1"/>
                <w:bCs w:val="1"/>
                <w:color w:val="auto"/>
              </w:rPr>
              <w:t>87-3296749</w:t>
            </w:r>
          </w:p>
        </w:tc>
      </w:tr>
      <w:tr>
        <w:trPr>
          <w:trHeight w:val="210"/>
        </w:trPr>
        <w:tc>
          <w:tcPr>
            <w:tcW w:w="6900" w:type="dxa"/>
            <w:vAlign w:val="bottom"/>
            <w:gridSpan w:val="6"/>
          </w:tcPr>
          <w:p>
            <w:pPr>
              <w:jc w:val="center"/>
              <w:ind w:right="118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660" w:type="dxa"/>
            <w:vAlign w:val="bottom"/>
            <w:gridSpan w:val="2"/>
          </w:tcPr>
          <w:p>
            <w:pPr>
              <w:jc w:val="center"/>
              <w:ind w:right="61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40"/>
        </w:trPr>
        <w:tc>
          <w:tcPr>
            <w:tcW w:w="1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80" w:type="dxa"/>
            <w:vAlign w:val="bottom"/>
            <w:gridSpan w:val="3"/>
          </w:tcPr>
          <w:p>
            <w:pPr>
              <w:jc w:val="center"/>
              <w:ind w:left="434"/>
              <w:spacing w:after="0"/>
              <w:rPr>
                <w:sz w:val="20"/>
                <w:szCs w:val="20"/>
                <w:color w:val="auto"/>
              </w:rPr>
            </w:pPr>
            <w:r>
              <w:rPr>
                <w:rFonts w:ascii="Times New Roman" w:cs="Times New Roman" w:eastAsia="Times New Roman" w:hAnsi="Times New Roman"/>
                <w:sz w:val="18"/>
                <w:szCs w:val="18"/>
                <w:b w:val="1"/>
                <w:bCs w:val="1"/>
                <w:color w:val="auto"/>
                <w:w w:val="99"/>
              </w:rPr>
              <w:t>2503 S. Hanley Road</w:t>
            </w:r>
          </w:p>
        </w:tc>
        <w:tc>
          <w:tcPr>
            <w:tcW w:w="78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197"/>
        </w:trPr>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80" w:type="dxa"/>
            <w:vAlign w:val="bottom"/>
            <w:gridSpan w:val="3"/>
          </w:tcPr>
          <w:p>
            <w:pPr>
              <w:jc w:val="center"/>
              <w:ind w:left="454"/>
              <w:spacing w:after="0" w:line="198" w:lineRule="exact"/>
              <w:rPr>
                <w:sz w:val="20"/>
                <w:szCs w:val="20"/>
                <w:color w:val="auto"/>
              </w:rPr>
            </w:pPr>
            <w:r>
              <w:rPr>
                <w:rFonts w:ascii="Times New Roman" w:cs="Times New Roman" w:eastAsia="Times New Roman" w:hAnsi="Times New Roman"/>
                <w:sz w:val="18"/>
                <w:szCs w:val="18"/>
                <w:b w:val="1"/>
                <w:bCs w:val="1"/>
                <w:color w:val="auto"/>
                <w:w w:val="99"/>
              </w:rPr>
              <w:t>St. Louis, Missouri 63144</w:t>
            </w:r>
          </w:p>
        </w:tc>
        <w:tc>
          <w:tcPr>
            <w:tcW w:w="78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10"/>
        </w:trPr>
        <w:tc>
          <w:tcPr>
            <w:tcW w:w="1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740" w:type="dxa"/>
            <w:vAlign w:val="bottom"/>
            <w:gridSpan w:val="5"/>
          </w:tcPr>
          <w:p>
            <w:pPr>
              <w:jc w:val="center"/>
              <w:ind w:right="305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r>
      <w:tr>
        <w:trPr>
          <w:trHeight w:val="303"/>
        </w:trPr>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0" w:type="dxa"/>
            <w:vAlign w:val="bottom"/>
            <w:gridSpan w:val="2"/>
          </w:tcPr>
          <w:p>
            <w:pPr>
              <w:jc w:val="center"/>
              <w:ind w:left="1114"/>
              <w:spacing w:after="0"/>
              <w:rPr>
                <w:sz w:val="20"/>
                <w:szCs w:val="20"/>
                <w:color w:val="auto"/>
              </w:rPr>
            </w:pPr>
            <w:r>
              <w:rPr>
                <w:rFonts w:ascii="Times New Roman" w:cs="Times New Roman" w:eastAsia="Times New Roman" w:hAnsi="Times New Roman"/>
                <w:sz w:val="18"/>
                <w:szCs w:val="18"/>
                <w:b w:val="1"/>
                <w:bCs w:val="1"/>
                <w:color w:val="auto"/>
                <w:w w:val="99"/>
              </w:rPr>
              <w:t>(314) 644-7600</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10"/>
        </w:trPr>
        <w:tc>
          <w:tcPr>
            <w:tcW w:w="1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740" w:type="dxa"/>
            <w:vAlign w:val="bottom"/>
            <w:gridSpan w:val="5"/>
          </w:tcPr>
          <w:p>
            <w:pPr>
              <w:jc w:val="center"/>
              <w:ind w:right="305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310"/>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95"/>
        </w:trPr>
        <w:tc>
          <w:tcPr>
            <w:tcW w:w="1540" w:type="dxa"/>
            <w:vAlign w:val="bottom"/>
          </w:tcPr>
          <w:p>
            <w:pPr>
              <w:spacing w:after="0"/>
              <w:rPr>
                <w:sz w:val="16"/>
                <w:szCs w:val="16"/>
                <w:color w:val="auto"/>
              </w:rPr>
            </w:pPr>
          </w:p>
        </w:tc>
        <w:tc>
          <w:tcPr>
            <w:tcW w:w="2280" w:type="dxa"/>
            <w:vAlign w:val="bottom"/>
            <w:gridSpan w:val="2"/>
          </w:tcPr>
          <w:p>
            <w:pPr>
              <w:jc w:val="center"/>
              <w:ind w:right="112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180" w:type="dxa"/>
            <w:vAlign w:val="bottom"/>
          </w:tcPr>
          <w:p>
            <w:pPr>
              <w:spacing w:after="0"/>
              <w:rPr>
                <w:sz w:val="16"/>
                <w:szCs w:val="16"/>
                <w:color w:val="auto"/>
              </w:rPr>
            </w:pPr>
          </w:p>
        </w:tc>
        <w:tc>
          <w:tcPr>
            <w:tcW w:w="1900" w:type="dxa"/>
            <w:vAlign w:val="bottom"/>
            <w:gridSpan w:val="2"/>
          </w:tcPr>
          <w:p>
            <w:pPr>
              <w:jc w:val="center"/>
              <w:ind w:right="680"/>
              <w:spacing w:after="0"/>
              <w:rPr>
                <w:sz w:val="20"/>
                <w:szCs w:val="20"/>
                <w:color w:val="auto"/>
              </w:rPr>
            </w:pPr>
            <w:r>
              <w:rPr>
                <w:rFonts w:ascii="Times New Roman" w:cs="Times New Roman" w:eastAsia="Times New Roman" w:hAnsi="Times New Roman"/>
                <w:sz w:val="16"/>
                <w:szCs w:val="16"/>
                <w:color w:val="auto"/>
              </w:rPr>
              <w:t>Trading Symbol(s)</w:t>
            </w:r>
          </w:p>
        </w:tc>
        <w:tc>
          <w:tcPr>
            <w:tcW w:w="780" w:type="dxa"/>
            <w:vAlign w:val="bottom"/>
          </w:tcPr>
          <w:p>
            <w:pPr>
              <w:spacing w:after="0"/>
              <w:rPr>
                <w:sz w:val="16"/>
                <w:szCs w:val="16"/>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30"/>
        </w:trPr>
        <w:tc>
          <w:tcPr>
            <w:tcW w:w="3820" w:type="dxa"/>
            <w:vAlign w:val="bottom"/>
            <w:gridSpan w:val="3"/>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1180" w:type="dxa"/>
            <w:vAlign w:val="bottom"/>
          </w:tcPr>
          <w:p>
            <w:pPr>
              <w:spacing w:after="0"/>
              <w:rPr>
                <w:sz w:val="20"/>
                <w:szCs w:val="20"/>
                <w:color w:val="auto"/>
              </w:rPr>
            </w:pPr>
          </w:p>
        </w:tc>
        <w:tc>
          <w:tcPr>
            <w:tcW w:w="1900" w:type="dxa"/>
            <w:vAlign w:val="bottom"/>
            <w:gridSpan w:val="2"/>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w w:val="98"/>
              </w:rPr>
              <w:t>BRBR</w:t>
            </w:r>
          </w:p>
        </w:tc>
        <w:tc>
          <w:tcPr>
            <w:tcW w:w="780" w:type="dxa"/>
            <w:vAlign w:val="bottom"/>
          </w:tcPr>
          <w:p>
            <w:pPr>
              <w:spacing w:after="0"/>
              <w:rPr>
                <w:sz w:val="20"/>
                <w:szCs w:val="20"/>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195"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ind w:right="40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12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pacing w:after="0" w:line="75" w:lineRule="exact"/>
        <w:rPr>
          <w:sz w:val="24"/>
          <w:szCs w:val="24"/>
          <w:color w:val="auto"/>
        </w:rPr>
      </w:pPr>
    </w:p>
    <w:tbl>
      <w:tblPr>
        <w:tblLayout w:type="fixed"/>
        <w:tblInd w:w="300" w:type="dxa"/>
        <w:tblCellMar>
          <w:top w:w="0" w:type="dxa"/>
          <w:left w:w="0" w:type="dxa"/>
          <w:bottom w:w="0" w:type="dxa"/>
          <w:right w:w="0" w:type="dxa"/>
        </w:tblCellMar>
      </w:tblPr>
      <w:tr>
        <w:trPr>
          <w:trHeight w:val="272"/>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Accelerated filer</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6"/>
        </w:trPr>
        <w:tc>
          <w:tcPr>
            <w:tcW w:w="2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Emerging growth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rPr>
          <w:sz w:val="20"/>
          <w:szCs w:val="20"/>
          <w:color w:val="auto"/>
        </w:rPr>
      </w:pPr>
      <w:r>
        <w:rPr>
          <w:rFonts w:ascii="Times New Roman" w:cs="Times New Roman" w:eastAsia="Times New Roman" w:hAnsi="Times New Roman"/>
          <w:sz w:val="16"/>
          <w:szCs w:val="16"/>
          <w:color w:val="auto"/>
        </w:rPr>
        <w:t>Act.</w:t>
      </w:r>
    </w:p>
    <w:p>
      <w:pPr>
        <w:spacing w:after="0" w:line="8" w:lineRule="exact"/>
        <w:rPr>
          <w:sz w:val="24"/>
          <w:szCs w:val="24"/>
          <w:color w:val="auto"/>
        </w:rPr>
      </w:pPr>
    </w:p>
    <w:p>
      <w:pPr>
        <w:ind w:right="58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Common Stock, $0.01 par value per share – 129,242,457 shares as of July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916"/>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9"/>
              </w:rPr>
              <w:t>BELLRING BRANDS, INC.</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QUARTERLY REPORT ON FORM 10-Q</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48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20" w:type="dxa"/>
            <w:vAlign w:val="bottom"/>
          </w:tcPr>
          <w:p>
            <w:pPr>
              <w:spacing w:after="0"/>
              <w:rPr>
                <w:sz w:val="16"/>
                <w:szCs w:val="16"/>
                <w:color w:val="auto"/>
              </w:rPr>
            </w:pPr>
          </w:p>
        </w:tc>
        <w:tc>
          <w:tcPr>
            <w:tcW w:w="1500" w:type="dxa"/>
            <w:vAlign w:val="bottom"/>
            <w:tcBorders>
              <w:top w:val="single" w:sz="8" w:color="CCEEFF"/>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 I.</w:t>
            </w:r>
          </w:p>
        </w:tc>
        <w:tc>
          <w:tcPr>
            <w:tcW w:w="9220" w:type="dxa"/>
            <w:vAlign w:val="bottom"/>
            <w:tcBorders>
              <w:top w:val="single" w:sz="8" w:color="CCEEFF"/>
            </w:tcBorders>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Stockholders’ Deficit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 (UNAUDITED).</w:t>
      </w:r>
    </w:p>
    <w:p>
      <w:pPr>
        <w:spacing w:after="0" w:line="27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57"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6"/>
                <w:szCs w:val="16"/>
                <w:color w:val="auto"/>
              </w:rPr>
            </w:pPr>
          </w:p>
        </w:tc>
        <w:tc>
          <w:tcPr>
            <w:tcW w:w="2080" w:type="dxa"/>
            <w:vAlign w:val="bottom"/>
            <w:gridSpan w:val="4"/>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r>
      <w:tr>
        <w:trPr>
          <w:trHeight w:val="209"/>
        </w:trPr>
        <w:tc>
          <w:tcPr>
            <w:tcW w:w="56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1,194.2</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938.2</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819.3</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196"/>
        </w:trPr>
        <w:tc>
          <w:tcPr>
            <w:tcW w:w="56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Earnings</w:t>
            </w:r>
          </w:p>
        </w:tc>
        <w:tc>
          <w:tcPr>
            <w:tcW w:w="26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73.7</w:t>
            </w: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44.3</w:t>
            </w:r>
          </w:p>
        </w:tc>
        <w:tc>
          <w:tcPr>
            <w:tcW w:w="24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174.8</w:t>
            </w: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119.4</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7"/>
        </w:trPr>
        <w:tc>
          <w:tcPr>
            <w:tcW w:w="5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r>
      <w:tr>
        <w:trPr>
          <w:trHeight w:val="270"/>
        </w:trPr>
        <w:tc>
          <w:tcPr>
            <w:tcW w:w="56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r>
      <w:tr>
        <w:trPr>
          <w:trHeight w:val="234"/>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r>
    </w:tbl>
    <w:p>
      <w:pPr>
        <w:spacing w:after="0" w:line="28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7"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5480" w:type="dxa"/>
            <w:vAlign w:val="bottom"/>
          </w:tcPr>
          <w:p>
            <w:pPr>
              <w:spacing w:after="0"/>
              <w:rPr>
                <w:sz w:val="16"/>
                <w:szCs w:val="16"/>
                <w:color w:val="auto"/>
              </w:rPr>
            </w:pPr>
          </w:p>
        </w:tc>
        <w:tc>
          <w:tcPr>
            <w:tcW w:w="1960" w:type="dxa"/>
            <w:vAlign w:val="bottom"/>
            <w:gridSpan w:val="4"/>
          </w:tcPr>
          <w:p>
            <w:pPr>
              <w:jc w:val="center"/>
              <w:ind w:left="31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4"/>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4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center"/>
              <w:ind w:right="25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r>
      <w:tr>
        <w:trPr>
          <w:trHeight w:val="209"/>
        </w:trPr>
        <w:tc>
          <w:tcPr>
            <w:tcW w:w="54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72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44.3</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r>
      <w:tr>
        <w:trPr>
          <w:trHeight w:val="229"/>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Unrealized foreign currency translation adjustments</w:t>
            </w:r>
          </w:p>
        </w:tc>
        <w:tc>
          <w:tcPr>
            <w:tcW w:w="72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5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72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7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73.6</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44.3</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w:t>
            </w:r>
          </w:p>
        </w:tc>
      </w:tr>
      <w:tr>
        <w:trPr>
          <w:trHeight w:val="21"/>
        </w:trPr>
        <w:tc>
          <w:tcPr>
            <w:tcW w:w="54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21" w:right="7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6"/>
                <w:szCs w:val="16"/>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8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240" w:type="dxa"/>
            <w:vAlign w:val="bottom"/>
            <w:shd w:val="clear" w:color="auto" w:fill="CCEEFF"/>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r>
      <w:tr>
        <w:trPr>
          <w:trHeight w:val="229"/>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3"/>
        </w:trPr>
        <w:tc>
          <w:tcPr>
            <w:tcW w:w="8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net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48"/>
        </w:trPr>
        <w:tc>
          <w:tcPr>
            <w:tcW w:w="82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8240" w:type="dxa"/>
            <w:vAlign w:val="bottom"/>
            <w:shd w:val="clear" w:color="auto" w:fill="CCEEFF"/>
          </w:tcPr>
          <w:p>
            <w:pPr>
              <w:ind w:left="364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r>
      <w:tr>
        <w:trPr>
          <w:trHeight w:val="229"/>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23"/>
        </w:trPr>
        <w:tc>
          <w:tcPr>
            <w:tcW w:w="8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856.8</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8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r>
      <w:tr>
        <w:trPr>
          <w:trHeight w:val="223"/>
        </w:trPr>
        <w:tc>
          <w:tcPr>
            <w:tcW w:w="82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w:t>
            </w:r>
          </w:p>
        </w:tc>
      </w:tr>
      <w:tr>
        <w:trPr>
          <w:trHeight w:val="248"/>
        </w:trPr>
        <w:tc>
          <w:tcPr>
            <w:tcW w:w="82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75"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ind w:left="822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4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88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changes in operating assets and liabilities:</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decrease in receivables, net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 in inventories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Decrease (increase) in prepaid expenses and other current assets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 decrease in other assets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accounts payable and other current liabilities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23"/>
        </w:trPr>
        <w:tc>
          <w:tcPr>
            <w:tcW w:w="82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w:t>
            </w:r>
          </w:p>
        </w:tc>
      </w:tr>
      <w:tr>
        <w:trPr>
          <w:trHeight w:val="250"/>
        </w:trPr>
        <w:tc>
          <w:tcPr>
            <w:tcW w:w="8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82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50"/>
        </w:trPr>
        <w:tc>
          <w:tcPr>
            <w:tcW w:w="8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8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8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(134.6)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880" w:type="dxa"/>
            <w:vAlign w:val="bottom"/>
            <w:tcBorders>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 (Unaudited)</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(in millions</w:t>
      </w:r>
      <w:r>
        <w:rPr>
          <w:rFonts w:ascii="Times New Roman" w:cs="Times New Roman" w:eastAsia="Times New Roman" w:hAnsi="Times New Roman"/>
          <w:sz w:val="18"/>
          <w:szCs w:val="18"/>
          <w:color w:val="auto"/>
        </w:rPr>
        <w:t>)</w:t>
      </w:r>
    </w:p>
    <w:p>
      <w:pPr>
        <w:spacing w:after="0" w:line="257"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5"/>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As of and for the</w:t>
            </w:r>
          </w:p>
        </w:tc>
        <w:tc>
          <w:tcPr>
            <w:tcW w:w="260" w:type="dxa"/>
            <w:vAlign w:val="bottom"/>
          </w:tcPr>
          <w:p>
            <w:pPr>
              <w:spacing w:after="0"/>
              <w:rPr>
                <w:sz w:val="16"/>
                <w:szCs w:val="16"/>
                <w:color w:val="auto"/>
              </w:rPr>
            </w:pPr>
          </w:p>
        </w:tc>
        <w:tc>
          <w:tcPr>
            <w:tcW w:w="2080" w:type="dxa"/>
            <w:vAlign w:val="bottom"/>
            <w:gridSpan w:val="4"/>
          </w:tcPr>
          <w:p>
            <w:pPr>
              <w:jc w:val="center"/>
              <w:ind w:right="151"/>
              <w:spacing w:after="0"/>
              <w:rPr>
                <w:sz w:val="20"/>
                <w:szCs w:val="20"/>
                <w:color w:val="auto"/>
              </w:rPr>
            </w:pPr>
            <w:r>
              <w:rPr>
                <w:rFonts w:ascii="Times New Roman" w:cs="Times New Roman" w:eastAsia="Times New Roman" w:hAnsi="Times New Roman"/>
                <w:sz w:val="16"/>
                <w:szCs w:val="16"/>
                <w:b w:val="1"/>
                <w:bCs w:val="1"/>
                <w:color w:val="auto"/>
              </w:rPr>
              <w:t>As of and for the</w:t>
            </w:r>
          </w:p>
        </w:tc>
      </w:tr>
      <w:tr>
        <w:trPr>
          <w:trHeight w:val="162"/>
        </w:trPr>
        <w:tc>
          <w:tcPr>
            <w:tcW w:w="5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5"/>
          </w:tcPr>
          <w:p>
            <w:pPr>
              <w:jc w:val="center"/>
              <w:ind w:right="500"/>
              <w:spacing w:after="0" w:line="162"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4"/>
                <w:szCs w:val="14"/>
                <w:color w:val="auto"/>
              </w:rPr>
            </w:pPr>
          </w:p>
        </w:tc>
        <w:tc>
          <w:tcPr>
            <w:tcW w:w="2080" w:type="dxa"/>
            <w:vAlign w:val="bottom"/>
            <w:gridSpan w:val="4"/>
          </w:tcPr>
          <w:p>
            <w:pPr>
              <w:jc w:val="center"/>
              <w:ind w:right="171"/>
              <w:spacing w:after="0" w:line="162" w:lineRule="exact"/>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center"/>
              <w:ind w:left="47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ind w:left="45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r>
      <w:tr>
        <w:trPr>
          <w:trHeight w:val="210"/>
        </w:trPr>
        <w:tc>
          <w:tcPr>
            <w:tcW w:w="56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and end of period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Activity under stock and deferred compensation plans</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5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Deficit</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w:t>
            </w:r>
          </w:p>
        </w:tc>
      </w:tr>
      <w:tr>
        <w:trPr>
          <w:trHeight w:val="230"/>
        </w:trPr>
        <w:tc>
          <w:tcPr>
            <w:tcW w:w="5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30"/>
        </w:trPr>
        <w:tc>
          <w:tcPr>
            <w:tcW w:w="5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r>
      <w:tr>
        <w:trPr>
          <w:trHeight w:val="223"/>
        </w:trPr>
        <w:tc>
          <w:tcPr>
            <w:tcW w:w="5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w:t>
            </w:r>
          </w:p>
        </w:tc>
      </w:tr>
      <w:tr>
        <w:trPr>
          <w:trHeight w:val="20"/>
        </w:trPr>
        <w:tc>
          <w:tcPr>
            <w:tcW w:w="5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information and where indicated otherwise)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 AND BASIS OF PRESENTATION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BellRing Brands, Inc. is a consumer products holding company operating in the global convenient nutrition category and is a provider of ready-to-drink (“RTD”) protein shakes, other RTD beverages and powders. The Company has a single operating and reportable segment, with its principal products being protein-based consumer goods. The Company’s primary brands are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Unless otherwise stated or the context otherwise indicates, all references in these financial statements and notes to “BellRing,” the “Company,” “us,” “our” or “we” mean BellRing Brands, Inc. and its subsidiaries.</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in accordance with accounting principles generally accepted in the United States of America (“GAAP”), under the rules and regulations of the United States (the “U.S.”) Securities and Exchange Commission (the “SEC”), and on a basis substantially consistent with the audited consolidated financial statements of the Company as of and for the fiscal year ended September 30, 2023. These unaudited condensed consolidated financial statements should be read in conjunction with such audited consolidated financial statements, which are included in the Company’s Annual Report on Form 10-K for the fiscal year ended September 30, 2023, filed with the SEC on November 21, 2023.</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all adjustments (consisting of normal recurring adjustments and accruals) that management considers necessary for a fair statement of the Company’s results of operations, comprehensive income, financial position, cash flows and stockholders’ equity for the interim periods presented. Interim results are not necessarily indicative of the results for any other interim period or for the entire fiscal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RECENTLY ISSUED ACCOUNTING STANDARDS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considered all new accounting pronouncements and has concluded there are no new pronouncements (other than the ones described below) that had or will have a material impact on the Company’s results of operations, comprehensive income, financial position, cash flows, stockholders’ equity or related disclosures based on current information.</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“FASB”) issued Accounting Standards Update (“ASU”) 2023-09, “Income Taxes (Topic 740): Improvements to Income Tax Disclosures.” This ASU is effective for fiscal years beginning after December 15, 2024 (i.e., the Company’s annual financial statements for the year ended September 30, 2026), with early adoption permitted. This ASU should be adopted prospectively; however, retrospective adoption is permitted. The Company is currently evaluating the impact of this standard.</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This ASU is effective for fiscal years beginning after December 15, 2023 (i.e., the Company’s annual financial statements for the year ended September 30, 2025) and for interim periods within fiscal years beginning after December 15, 2024 (i.e., the Company’s interim financial statements for the three months ended December 31, 2025), with early adoption permitted. This ASU requires retrospective adoption. The Company is currently evaluating the impact of this standard.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net sales by product.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100" w:type="dxa"/>
            <w:vAlign w:val="bottom"/>
            <w:gridSpan w:val="4"/>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6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r>
      <w:tr>
        <w:trPr>
          <w:trHeight w:val="209"/>
        </w:trPr>
        <w:tc>
          <w:tcPr>
            <w:tcW w:w="6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Shakes and other beverages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946.2</w:t>
            </w: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Powders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23"/>
        </w:trPr>
        <w:tc>
          <w:tcPr>
            <w:tcW w:w="6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515.4</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1,440.4</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1,194.2</w:t>
            </w:r>
          </w:p>
        </w:tc>
      </w:tr>
      <w:tr>
        <w:trPr>
          <w:trHeight w:val="20"/>
        </w:trPr>
        <w:tc>
          <w:tcPr>
            <w:tcW w:w="6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RELATED PARTY TRANSACTIONS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Transactions between the Company and Post Holdings, Inc. (“Post”) are considered related party transactions as certain of the Company’s officers and/or directors serve as officers and/or directors of Post.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MSA Fees and Royalties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uses certain functions and services performed by Post under a master services agreement (the “MSA”). These functions and services include finance, internal audit, treasury, information technology support, insurance and tax matters, the use of office and/or data center space, payroll processing services and tax compliance services. MSA fees were $0.8 and $2.5 during the three and nine months ended June 30, 2024, respectively, and $0.8 and $3.1 during the three and nine months ended June 30, 2023, respectively</w:t>
      </w:r>
      <w:r>
        <w:rPr>
          <w:rFonts w:ascii="Times New Roman" w:cs="Times New Roman" w:eastAsia="Times New Roman" w:hAnsi="Times New Roman"/>
          <w:sz w:val="18"/>
          <w:szCs w:val="18"/>
          <w:color w:val="242424"/>
        </w:rPr>
        <w:t>.</w:t>
      </w:r>
      <w:r>
        <w:rPr>
          <w:rFonts w:ascii="Times New Roman" w:cs="Times New Roman" w:eastAsia="Times New Roman" w:hAnsi="Times New Roman"/>
          <w:sz w:val="18"/>
          <w:szCs w:val="18"/>
          <w:color w:val="auto"/>
        </w:rPr>
        <w:t xml:space="preserve"> MSA fees were reported in “Selling, general and administrative expenses” in the Condensed Consolidated Statements of Operations.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licenses certain intellectual property to and from Post and its subsidiaries based upon prices governed by agreements between the Company and Post and its subsidiaries, consistent with prices of similar arm's-length transactions. During both the three and nine months ended June 30, 2024 and 2023, royalties paid to and received from Post and its subsidiaries were immaterial.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Co-Packing Agreement</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September 30, 2022, Premier Nutrition Company, LLC (“Premier Nutrition”), a subsidiary of the Company, entered into a co-packing agreement with Comet Processing, Inc. (“Comet”), a wholly-owned subsidiary of Post (the “Co-Packing Agreement”). Under the Co-Packing Agreement, Premier Nutrition procures certain packaging materials for Comet that Comet utilizes in the production of RTD shakes for Premier Nutrition. In December 2023, in accordance with the terms of the Co-Packing Agreement, Comet began manufacturing RTD shakes for Premier Nutrition. During the three and nine months ended June 30, 2024, purchases of RTD shakes manufactured by Comet were $4.3 and $6.2, respectively. There were no purchases of RTD shakes manufactured by Comet during fiscal 2023.</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June 30, 2024 and September 30, 2023, the Company had current payables with Post of $1.0 and $2.5, respectively, related to RTD shake purchases, MSA fees and in the prior year, reimbursable start-up costs, which were included in “Accounts payable” on the Condensed Consolidated Balance Sheets. Current receivables with Post at both June 30, 2024 and September 30, 2023 were immaterial.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EARNINGS PER SHARE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Basic earnings per share is based on the average number of shares of common stock outstanding during each period. Diluted earnings per share is based on the average number of shares of common stock used for the basic earnings per share calculation, adjusted for the dilutive effect of stock options and restricted stock units using the “treasury stock” method.</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earnings per share.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100" w:type="dxa"/>
            <w:vAlign w:val="bottom"/>
            <w:gridSpan w:val="4"/>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6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r>
      <w:tr>
        <w:trPr>
          <w:trHeight w:val="209"/>
        </w:trPr>
        <w:tc>
          <w:tcPr>
            <w:tcW w:w="6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r>
      <w:tr>
        <w:trPr>
          <w:trHeight w:val="270"/>
        </w:trPr>
        <w:tc>
          <w:tcPr>
            <w:tcW w:w="6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for basic earnings per share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6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stock units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6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for diluted earnings per share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w:t>
            </w: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7"/>
        </w:trPr>
        <w:tc>
          <w:tcPr>
            <w:tcW w:w="6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securities that have been excluded from the calculation of weighted-average shares for diluted earnings per share as they were anti-dilutive.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2020" w:type="dxa"/>
            <w:vAlign w:val="bottom"/>
            <w:gridSpan w:val="4"/>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63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3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Borders>
              <w:bottom w:val="single" w:sz="8" w:color="auto"/>
            </w:tcBorders>
            <w:gridSpan w:val="3"/>
          </w:tcPr>
          <w:p>
            <w:pPr>
              <w:jc w:val="center"/>
              <w:ind w:left="717"/>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r>
      <w:tr>
        <w:trPr>
          <w:trHeight w:val="209"/>
        </w:trPr>
        <w:tc>
          <w:tcPr>
            <w:tcW w:w="6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7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INVENTORIES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80" w:type="dxa"/>
            <w:vAlign w:val="bottom"/>
          </w:tcPr>
          <w:p>
            <w:pPr>
              <w:spacing w:after="0"/>
              <w:rPr>
                <w:sz w:val="16"/>
                <w:szCs w:val="16"/>
                <w:color w:val="auto"/>
              </w:rPr>
            </w:pPr>
          </w:p>
        </w:tc>
        <w:tc>
          <w:tcPr>
            <w:tcW w:w="126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4"/>
        </w:trPr>
        <w:tc>
          <w:tcPr>
            <w:tcW w:w="8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23"/>
        </w:trPr>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 PROPERTY, NET</w:t>
            </w: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80" w:type="dxa"/>
            <w:vAlign w:val="bottom"/>
          </w:tcPr>
          <w:p>
            <w:pPr>
              <w:spacing w:after="0"/>
              <w:rPr>
                <w:sz w:val="16"/>
                <w:szCs w:val="16"/>
                <w:color w:val="auto"/>
              </w:rPr>
            </w:pPr>
          </w:p>
        </w:tc>
        <w:tc>
          <w:tcPr>
            <w:tcW w:w="126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4"/>
        </w:trPr>
        <w:tc>
          <w:tcPr>
            <w:tcW w:w="8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at cost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Property,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GOODWILL</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components of “Goodwill” on the Condensed Consolidated Balance Sheets at both June 30, 2024 and September 30, 2023 are presented in the following table.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gross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0" w:type="dxa"/>
            <w:vAlign w:val="bottom"/>
          </w:tcPr>
          <w:p>
            <w:pPr>
              <w:spacing w:after="0"/>
              <w:rPr>
                <w:sz w:val="1"/>
                <w:szCs w:val="1"/>
                <w:color w:val="auto"/>
              </w:rPr>
            </w:pPr>
          </w:p>
        </w:tc>
      </w:tr>
      <w:tr>
        <w:trPr>
          <w:trHeight w:val="230"/>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2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48"/>
        </w:trPr>
        <w:tc>
          <w:tcPr>
            <w:tcW w:w="2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 INTANGIBLE ASSETS, NET</w:t>
            </w: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404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60" w:type="dxa"/>
            <w:vAlign w:val="bottom"/>
          </w:tcPr>
          <w:p>
            <w:pPr>
              <w:spacing w:after="0"/>
              <w:rPr>
                <w:sz w:val="13"/>
                <w:szCs w:val="13"/>
                <w:color w:val="auto"/>
              </w:rPr>
            </w:pPr>
          </w:p>
        </w:tc>
        <w:tc>
          <w:tcPr>
            <w:tcW w:w="128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3"/>
                <w:szCs w:val="13"/>
                <w:color w:val="auto"/>
              </w:rPr>
            </w:pPr>
          </w:p>
        </w:tc>
        <w:tc>
          <w:tcPr>
            <w:tcW w:w="1060" w:type="dxa"/>
            <w:vAlign w:val="bottom"/>
          </w:tcPr>
          <w:p>
            <w:pPr>
              <w:jc w:val="center"/>
              <w:ind w:right="133"/>
              <w:spacing w:after="0" w:line="158"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253"/>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452"/>
              <w:spacing w:after="0" w:line="158" w:lineRule="exact"/>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4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8"/>
                <w:szCs w:val="18"/>
                <w:color w:val="auto"/>
              </w:rPr>
            </w:pPr>
          </w:p>
        </w:tc>
        <w:tc>
          <w:tcPr>
            <w:tcW w:w="110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25"/>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brands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August 2023, the Company approved a plan to discontinue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business in North America. In connection with the discontinuance, the Company updated the useful lives of the customer relationships and trademark associated with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business in North America to reflect the remaining period in which the Company expects to sell existing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product inventory in North America. Accelerated amortization of zero and $17.4 was recorded during the three and nine months ended June 30, 2024, respectively, resulting from the updated useful lives of the customer relationships and trademark associated with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business in North America, which were fully amortized and written off as of June 30,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FAIR VALUE MEASUREMENTS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financial assets and liabilities include cash and cash equivalents, receivables and accounts payable for which the carrying value approximates fair value due to their short maturities (less than 12 months). The Company does not record its long-term debt at fair value on the Condensed Consolidated Balance Sheets. The fair value of outstanding borrowings under the Revolving Credit Facility (as defined in Note 11) as of September 30, 2023 approximated its carrying value. Based on market rates, the fair value (Level 2) of the Company’s debt, excluding any borrowings under the Revolving Credit Facility, was $860.9 and $830.0 as of June 30, 2024 and September 30, 2023, respectively.</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assets and liabilities, including property, goodwill and other intangible assets, are measured at fair value on a non-recurring basis using Level 3 inputs.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LONG-TERM DEBT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components of “Long-term debt” on the Condensed Consolidated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6"/>
                <w:szCs w:val="16"/>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8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 senior notes maturing in March 2030</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3"/>
        </w:trPr>
        <w:tc>
          <w:tcPr>
            <w:tcW w:w="82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principal amount of debt</w:t>
            </w: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865.0</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Debt issuance costs, net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48"/>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10, 2022, the Company entered into a credit agreement (as amended, the “Credit Agreement”), which provides for a revolving credit facility in an aggregate principal amount of $250.0 (the “Revolving Credit Facility”), with commitments made available to the Company in U.S. Dollars, Euros and United Kingdom (“U.K.”) Pounds Sterling. Letters of credit are available under the Credit Agreement in an aggregate amount of up to $20.0. Any outstanding amounts under the Credit Agreement must be repaid on or before March 10, 2027.</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an annual rate equal to: (i) in the case of loans denominated in U.S. Dollars, at the Company’s option, the base rate (as defined in the Credit Agreement) plus a margin which ranges from 2.00% to 2.75% depending on the Company’s secured net leverage ratio (as defined in the Credit Agreement), or the adjusted term SOFR rate (as defined in the Credit Agreement) for the applicable interest period plus a margin which ranges from 3.00% to 3.75% depending on the Company’s secured net leverage ratio; (ii) in the case of loans denominated in Euros, the adjusted Eurodollar rate (as defined in the Credit Agreement) for the applicable interest period plus a margin which ranges from 3.00% to 3.75% depending on the Company’s secured net leverage ratio; and (iii) in the case of loans denominated in U.K. Pounds Sterling, the adjusted daily simple RFR (as defined in the Credit Agreement) plus a margin which ranges from 3.00% to 3.75% depending on the Company’s secured net leverage ratio. Facility fees on the daily unused amount of commitments under the Revolving Credit Facility will accrue at rates ranging from 0.25% to 0.375% per annum, depending on the Company’s secured net leverage ratio.</w:t>
      </w:r>
    </w:p>
    <w:p>
      <w:pPr>
        <w:spacing w:after="0" w:line="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nine months ended June 30, 2024 and 2023, the Company borrowed zero and $115.0 under the Revolving Credit Facility, respectively, and repaid $25.0 and $135.0 under the Revolving Credit Facility, respectively. The interest rate on the utilized portion of the Revolving Credit Facility was 8.42% as of September 30, 2023, and there were no amounts outstanding under the Revolving Credit Facility as of June 30, 2024. The available borrowing capacity under the Revolving Credit Facility was $250.0 and $225.0 as of June 30, 2024 and September 30, 2023, respectively, and there were no outstanding letters of credit as of June 30, 2024 or September 30, 2023.</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Credit Agreement, the Company is required to maintain a total net leverage ratio (as defined in the Credit Agreement) not to exceed 6.00:1.00, measured as of the last day of each fiscal quarter. The total net leverage ratio of the Company did not exceed this threshold as of June 30, 2024.</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Credit Agreement provides for potential incremental revolving and term facilities at the Company’s request and at the discretion of the lenders or other persons providing such incremental facilities, in each case on terms to be determined, and also permits the Company to incur other secured or unsecured debt, in all cases subject to conditions and limitations as specified in the Credit Agreement.</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the Credit Agreement provides for customary events of default. Upon the occurrence and during the continuance of an event of default, the maturity of the loans under the Credit Agreement may accelerate and the administrative agent and lenders under the Credit Agreement may exercise other rights and remedies available at law or under the loan documents, including with respect to the collateral securing, and guarantees of, the Company’s obligations under the Credit Agreement.</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obligations under the Credit Agreement are unconditionally guaranteed by its existing and subsequently acquired or organized direct and indirect subsidiaries (other than immaterial subsidiaries, certain excluded subsidiaries and subsidiaries the Company designates as unrestricted subsidiaries) and are secured by security interests in substantially all of the Company’s assets and the assets of its subsidiary guarantors, but excluding, in each case, real property.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Juice Litigation</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March 2013, a complaint was filed on behalf of a putative, nationwide class of consumers against Premier Nutrition in the U.S. District Court for the Northern District of California seeking monetary damages and injunctive relief. The case asserted that some of Premier Nutrition’s advertising claims regarding its </w:t>
      </w:r>
      <w:r>
        <w:rPr>
          <w:rFonts w:ascii="Times New Roman" w:cs="Times New Roman" w:eastAsia="Times New Roman" w:hAnsi="Times New Roman"/>
          <w:sz w:val="18"/>
          <w:szCs w:val="18"/>
          <w:i w:val="1"/>
          <w:iCs w:val="1"/>
          <w:color w:val="auto"/>
        </w:rPr>
        <w:t>Joint Juice</w:t>
      </w:r>
      <w:r>
        <w:rPr>
          <w:rFonts w:ascii="Times New Roman" w:cs="Times New Roman" w:eastAsia="Times New Roman" w:hAnsi="Times New Roman"/>
          <w:sz w:val="18"/>
          <w:szCs w:val="18"/>
          <w:color w:val="auto"/>
        </w:rPr>
        <w:t xml:space="preserve"> line of glucosamine and chondroitin dietary supplement beverages, which it discontinued in the first quarter of fiscal 2023, were false and misleading. In April 2016, the district court certified a California-only class of consumers in this lawsuit (this lawsuit is hereinafter referred to as the “California Federal Class Lawsuit”).</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2016 and 2017, the lead plaintiff’s counsel in the California Federal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 “Related Federal Actions”). These complaints contain factual allegations similar to the California Federal Class Lawsuit, also seeking monetary damages and injunctive relief. The action on behalf of New Jersey consumers was voluntarily dismissed. Trial in the action on behalf of New York consumers was held beginning in May 2022, and the jury delivered its verdict in favor of plaintiff in June 2022. In August 2022, the Court entered a judgment in that case in favor of plaintiff in the amount of $12.9, which includes statutory damages and prejudgment interest. In October 2022, each plaintiff and Premier Nutrition filed Notices of Appeal to the Ninth Circuit, which appeals are pending. The other eight Related Federal Actions remain pending, and the court has certified individual state classes in each of those cases (except New Mexico).</w:t>
      </w:r>
    </w:p>
    <w:p>
      <w:pPr>
        <w:spacing w:after="0" w:line="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April 2018, the district court dismissed the California Federal Class Lawsuit with prejudice. This dismissal was upheld on appeal by the U.S. Court of Appeals for the Ninth Circuit in 2020, and plaintiff’s petition for an en banc rehearing by the Ninth Circuit was denied.</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September 2020, the same lead counsel re-filed the California Federal Class Lawsuit against Premier Nutrition in California Superior Court for the County of Alameda, alleging identical claims and seeking restitution and injunctive relief on behalf of the same putative class of California consumers as the California Federal Class Lawsuit. In March 2023, the Alameda Superior Court granted in part and denied in part Premier Nutrition’s motion for judgment based on res judicata and in May 2023, the Court reaffirmed its ruling. In July 2023, Premier Nutrition filed a petition for writ of mandamus in the California Court of Appeal, which writ was denied in March 2024. In November 2023, the Court certified the case as a class action. Trial is anticipated in fiscal year 2024.</w:t>
      </w:r>
    </w:p>
    <w:p>
      <w:pPr>
        <w:spacing w:after="0" w:line="14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January 2019, the same lead counsel filed an additional class action complaint against Premier Nutrition in California Superior Court for the County of Alameda, alleging claims similar to the above actions and seeking monetary damages and injunctive relief on behalf of a putative class of California consumers, beginning after the California Federal Class Lawsuit class period. In July 2020, the court issued an order certifying a statewide class. Premier Nutrition moved for summary judgment on July 7, 2023, which motion remains pending. Trial is anticipated in fiscal year 2024.</w:t>
      </w:r>
    </w:p>
    <w:p>
      <w:pPr>
        <w:spacing w:after="0" w:line="15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continues to vigorously defend these cases and intends to appeal any adverse judgements and awards of damages. The Company does not believe that the ultimate resolution of these cases will have a material adverse effect on its consolidated financial condition, results of operations or cash flows.</w:t>
      </w:r>
    </w:p>
    <w:p>
      <w:pPr>
        <w:spacing w:after="0" w:line="6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Other than legal fees, no expense related to this litigation was incurred during the three or nine months ended June 30, 2024 or 2023. At both June 30, 2024 and September 30, 2023, the Company had an estimated liability of $21.0 related to these matters that was included in “Other current liabilities” on the Condensed Consolidated Balance Sheets.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Protein Products Class Litigation</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June 2023, a complaint was filed on behalf of a putative, nationwide class of consumers against the Company and Premier Nutrition in the U.S. District Court for the Northern District of California. The complaint alleges that Premier Nutrition engages in fraud and false advertising (via alleged affirmative representations and omissions) regarding its RTD protein shakes and protein powders by marketing the products as good sources of nutrition and protein when the products contain (or have a material risk of containing) high levels of undisclosed lead (this lawsuit is hereinafter referred to as the “Protein Products Class Lawsuit”). Plaintiffs seek monetary remedies for economic injury (products are allegedly worth less than what was paid for them), as well as injunctive relief. The Protein Products Class Lawsuit alleges that high levels of lead pose serious safety risks, but does not allege that any plaintiff or putative class member suffered personal injuries and does not seek any remedies for personal injuries.</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and Premier Nutrition filed a motion to dismiss this case in August 2023, which motion was granted in part and denied in part. Plaintiffs filed an amended complaint in July 2024. The Company intends to vigorously defend the case,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including appealing any adverse judgement or award. The Company does not believe that the ultimate resolution of the Protein Products Class Lawsuit will have a material adverse effect on its consolidated financial condition, results of operations or cash flows.</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Other than legal fees, no expense related to the Protein Products Class Lawsuit was incurred during the three or nine months ended June 30, 2024 or 2023.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 Proposition 65 Notice re Lead in Protein Products</w:t>
      </w:r>
    </w:p>
    <w:p>
      <w:pPr>
        <w:spacing w:after="0" w:line="10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June 7, 2023, the Fitzgerald Joseph LLP law firm (the same firm that filed the Protein Products Class Lawsuit) issued a 60-Day Notice of Intent to Sue under California’s Safe Water and Toxic Enforcement Act (Proposition 65) for alleged violation of Proposition 65 with respect to lead levels in Premier Nutrition’s RTD protein shakes and protein powders (this matter is hereinafter referred to as the “Protein Products Prop 65 Notice”).</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Premier Nutrition intends to vigorously defend against the Protein Products Prop 65 Notice. The Company does not believe that the ultimate resolution of the Protein Products Prop 65 Notice will have a material adverse effect on its consolidated financial condition, results of operations or cash flows.</w:t>
      </w:r>
    </w:p>
    <w:p>
      <w:pPr>
        <w:spacing w:after="0" w:line="4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legal fees, no expense related to the Protein Products Prop 65 Notice was incurred during the three or nine months ended June 30, 2024 or 2023.</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consolidated financial condition,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consolidated financial condition, results of operations or cash flows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STOCKHOLDERS’ DEFICIT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repurchases of its common stock.</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000" w:type="dxa"/>
            <w:vAlign w:val="bottom"/>
            <w:gridSpan w:val="4"/>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6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Borders>
              <w:bottom w:val="single" w:sz="8" w:color="auto"/>
            </w:tcBorders>
          </w:tcPr>
          <w:p>
            <w:pPr>
              <w:spacing w:after="0"/>
              <w:rPr>
                <w:sz w:val="18"/>
                <w:szCs w:val="18"/>
                <w:color w:val="auto"/>
              </w:rPr>
            </w:pPr>
          </w:p>
        </w:tc>
      </w:tr>
      <w:tr>
        <w:trPr>
          <w:trHeight w:val="210"/>
        </w:trPr>
        <w:tc>
          <w:tcPr>
            <w:tcW w:w="66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share (a)</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w:t>
            </w: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 repurchase cost (b)</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r>
    </w:tbl>
    <w:p>
      <w:pPr>
        <w:spacing w:after="0" w:line="189"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price per share excludes accrued excise tax and broker’s commissions, which are included in “Total share repurchase cost” within this table.</w:t>
      </w:r>
    </w:p>
    <w:p>
      <w:pPr>
        <w:spacing w:after="0" w:line="113" w:lineRule="exact"/>
        <w:rPr>
          <w:rFonts w:ascii="Times New Roman" w:cs="Times New Roman" w:eastAsia="Times New Roman" w:hAnsi="Times New Roman"/>
          <w:sz w:val="16"/>
          <w:szCs w:val="16"/>
          <w:color w:val="auto"/>
        </w:rPr>
      </w:pPr>
    </w:p>
    <w:p>
      <w:pPr>
        <w:ind w:left="340" w:hanging="332"/>
        <w:spacing w:after="0" w:line="298" w:lineRule="auto"/>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“Purchases of treasury stock” in the Condensed Consolidated Statements of Cash Flows for the nine months ended June 30, 2024 and 2023 excluded $1.0 and $0.7, respectively, of accrued excise tax that had not been paid as of June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r>
        <w:rPr>
          <w:rFonts w:ascii="Times New Roman" w:cs="Times New Roman" w:eastAsia="Times New Roman" w:hAnsi="Times New Roman"/>
          <w:sz w:val="20"/>
          <w:szCs w:val="20"/>
          <w:color w:val="auto"/>
        </w:rPr>
        <w:t>.</w:t>
      </w:r>
    </w:p>
    <w:p>
      <w:pPr>
        <w:spacing w:after="0" w:line="2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discussion summarizes the significant factors affecting the consolidated operating results, financial condition, liquidity and capital resources of BellRing Brands, Inc. and its consolidated subsidiaries. This discussion should be read in conjunction with our unaudited condensed consolidated financial statements and notes thereto included herein, our audited consolidated financial statements and notes thereto in our Annual Report on Form 10-K for the fiscal year ended September 30, 2023 and the “Cautionary Statement on Forward-Looking Statements” section included below. The terms “our,” “we,” “us,” “Company” and “BellRing” refer to BellRing Brands, Inc. and its consolidated subsidiaries.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are a consumer products holding company operating in the global convenient nutrition category and are a provider of ready-to-drink (“RTD”) protein shakes, other RTD beverages and powders. We have a single operating and reportable segment, with our principal products being protein-based consumer goods. Our primary brands are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Trends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fiscal 2023, input cost inflation, including raw material, packaging and manufacturing costs, impacted our supply chain and put downward pressure on profit margins. As a result, we took pricing actions on certain products in the prior fiscal year. During fiscal 2024, inflationary pressures on protein costs eased while other costs, such as packaging and manufacturing, continued to face inflationary pressures. We expect inflationary pressures on most input costs to increase during the remainder of fiscal 2024, and inflation could have a materially adverse impact on our business in the future if inflation rates were to significantly exceed our ability to achieve price increases or cost savings or if such price increases impact demand for our products.</w:t>
      </w:r>
    </w:p>
    <w:p>
      <w:pPr>
        <w:spacing w:after="0" w:line="7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For additional discussion, refer to “Liquidity and Capital Resources” and “Cautionary Statement on Forward-Looking Statements” within this section.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2520" w:type="dxa"/>
            <w:vAlign w:val="bottom"/>
          </w:tcPr>
          <w:p>
            <w:pPr>
              <w:spacing w:after="0"/>
              <w:rPr>
                <w:sz w:val="16"/>
                <w:szCs w:val="16"/>
                <w:color w:val="auto"/>
              </w:rPr>
            </w:pPr>
          </w:p>
        </w:tc>
        <w:tc>
          <w:tcPr>
            <w:tcW w:w="2080" w:type="dxa"/>
            <w:vAlign w:val="bottom"/>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June</w:t>
            </w:r>
          </w:p>
        </w:tc>
        <w:tc>
          <w:tcPr>
            <w:tcW w:w="260" w:type="dxa"/>
            <w:vAlign w:val="bottom"/>
          </w:tcPr>
          <w:p>
            <w:pPr>
              <w:spacing w:after="0"/>
              <w:rPr>
                <w:sz w:val="16"/>
                <w:szCs w:val="16"/>
                <w:color w:val="auto"/>
              </w:rPr>
            </w:pPr>
          </w:p>
        </w:tc>
        <w:tc>
          <w:tcPr>
            <w:tcW w:w="1160" w:type="dxa"/>
            <w:vAlign w:val="bottom"/>
            <w:gridSpan w:val="3"/>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June</w:t>
            </w:r>
          </w:p>
        </w:tc>
        <w:tc>
          <w:tcPr>
            <w:tcW w:w="240" w:type="dxa"/>
            <w:vAlign w:val="bottom"/>
          </w:tcPr>
          <w:p>
            <w:pPr>
              <w:spacing w:after="0"/>
              <w:rPr>
                <w:sz w:val="16"/>
                <w:szCs w:val="16"/>
                <w:color w:val="auto"/>
              </w:rPr>
            </w:pPr>
          </w:p>
        </w:tc>
        <w:tc>
          <w:tcPr>
            <w:tcW w:w="1200" w:type="dxa"/>
            <w:vAlign w:val="bottom"/>
            <w:gridSpan w:val="3"/>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vMerge w:val="continue"/>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vMerge w:val="continue"/>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2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56"/>
        </w:trPr>
        <w:tc>
          <w:tcPr>
            <w:tcW w:w="2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3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3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30"/>
        </w:trPr>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23"/>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Net sales increased $69.5 million, or 16%, during the three months ended June 30, 2024 compared to the prior year period. Sales of </w:t>
      </w:r>
      <w:r>
        <w:rPr>
          <w:rFonts w:ascii="Times New Roman" w:cs="Times New Roman" w:eastAsia="Times New Roman" w:hAnsi="Times New Roman"/>
          <w:sz w:val="18"/>
          <w:szCs w:val="18"/>
          <w:i w:val="1"/>
          <w:iCs w:val="1"/>
          <w:color w:val="auto"/>
        </w:rPr>
        <w:t>Premier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Protein </w:t>
      </w:r>
      <w:r>
        <w:rPr>
          <w:rFonts w:ascii="Times New Roman" w:cs="Times New Roman" w:eastAsia="Times New Roman" w:hAnsi="Times New Roman"/>
          <w:sz w:val="18"/>
          <w:szCs w:val="18"/>
          <w:color w:val="auto"/>
        </w:rPr>
        <w:t>products were up $72.3 million, or 20%, driven by 19% higher volumes primarily due to higher RTD shake production and distribution gains.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products were down $1.7 million, or 3%, driven by a decrease in average net selling prices primarily due to increased promotional spending and unfavorable mix. This decrease was partially offset by 4% higher volumes primarily due to increases in international channel volumes. Sales of all other products were down $1.1 million.</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Net sales increased $246.2 million, or 21%, during the nine months ended June 30, 2024 compared to the prior year period. Sales of </w:t>
      </w:r>
      <w:r>
        <w:rPr>
          <w:rFonts w:ascii="Times New Roman" w:cs="Times New Roman" w:eastAsia="Times New Roman" w:hAnsi="Times New Roman"/>
          <w:sz w:val="18"/>
          <w:szCs w:val="18"/>
          <w:i w:val="1"/>
          <w:iCs w:val="1"/>
          <w:color w:val="auto"/>
        </w:rPr>
        <w:t>Premier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Protein </w:t>
      </w:r>
      <w:r>
        <w:rPr>
          <w:rFonts w:ascii="Times New Roman" w:cs="Times New Roman" w:eastAsia="Times New Roman" w:hAnsi="Times New Roman"/>
          <w:sz w:val="18"/>
          <w:szCs w:val="18"/>
          <w:color w:val="auto"/>
        </w:rPr>
        <w:t>products were up $236.5 million, or 24%, driven by 27% higher volumes primarily due to increased promotional activity, which resulted in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average net selling prices, higher RTD shake production and distribution gains. Sales of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products were up $10.7 million, or 6%, on 11% higher volumes. </w:t>
      </w:r>
      <w:r>
        <w:rPr>
          <w:rFonts w:ascii="Times New Roman" w:cs="Times New Roman" w:eastAsia="Times New Roman" w:hAnsi="Times New Roman"/>
          <w:sz w:val="18"/>
          <w:szCs w:val="18"/>
          <w:i w:val="1"/>
          <w:iCs w:val="1"/>
          <w:color w:val="auto"/>
        </w:rPr>
        <w:t>Dymatize v</w:t>
      </w:r>
      <w:r>
        <w:rPr>
          <w:rFonts w:ascii="Times New Roman" w:cs="Times New Roman" w:eastAsia="Times New Roman" w:hAnsi="Times New Roman"/>
          <w:sz w:val="18"/>
          <w:szCs w:val="18"/>
          <w:color w:val="auto"/>
        </w:rPr>
        <w:t>olumes increased primarily due to the timing of quarterly shipments. This increase was partially offset by decreased average net selling prices in the nine months ended June 30, 2024 primarily due to increased promotional spending. Sales of all other products were down $1.0 million.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Profit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Operating profit increased $35.6 million, or 47%, during the three months ended June 30, 2024 compared to the prior year period. This increase was driven by higher net sales, as previously discussed, and lower net product costs of $36.2 million (primarily due to lower raw material costs, partially offset by higher manufacturing costs). These positive impacts were partially offset by higher employee-related expenses of $8.8 million and higher advertising expense of $3.3 million.</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Operating profit increased $66.4 million, or 32%, during the nine months ended June 30, 2024 compared to the prior year period. This increase was primarily driven by higher net sales (net of increased promotional activity), as previously discussed, and lower net product costs of $78.2 million (driven by lower raw material costs, partially offset by higher manufacturing costs). These positive impacts were partially offset by higher accelerated amortization of $17.4 million related to the discontinuance of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business in North America, higher employee-related expenses of $22.0 million and higher advertising expense of $7.6 million.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expense, net decreased $2.9 million during the three months ended June 30, 2024 compared to the prior year period primarily due to lower borrowings outstanding under our Revolving Credit Facility (as defined in “Liquidity and Capital Resources” within this section). As a result, the weighted-average interest rate on our total outstanding debt decreased to 7.0% for the three months ended June 30, 2024 from 7.2% for the three months ended June 30, 2023.</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net decreased $7.0 million during the nine months ended June 30, 2024 compared to the prior year period primarily due to lower borrowings outstanding under our Revolving Credit Facility. As a result, the weighted-average interest rate on our total outstanding debt decreased to 7.0% for the nine months ended June 30, 2024 from 7.2% for the nine months ended June 30, 2023.</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11 within “Notes to Condensed Consolidated Financial Statements” for additional information on our debt.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effective income tax rate was 24.2% and 24.5% for the three months ended June 30, 2024 and 2023, respectively, and 24.6% for both the nine months ended June 30, 2024 and 2023.</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nine months ended June 30, 2024, we repaid $25.0 million under our revolving credit facility, which is provided under our credit agreement entered into on March 10, 2022 (as amended, the “Credit Agreement”) in an aggregate principal amount of $250.0 million (the “Revolving Credit Facility”). As of June 30, 2024, there were no outstanding borrowings or letters of credit under the Revolving Credit Facility, providing us available borrowing capacity of $250.0 million. Letters of credit are available under the Revolving Credit Facility in an aggregate amount of up to $20.0 million. Our Credit Agreement provides for potential incremental revolving and term facilities at the Company’s request and at the discretion of the lenders or other persons providing such incremental facilities, in each case on terms to be determined, and also permits the Company to incur other secured or unsecured debt, in all cases subject to conditions and limitations as specified in the Credit Agreement.</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June 30, 2024, we repurchased 1.9 million shares of our common stock at an average share price of $56.18 per share and at a total cost, including accrued excise tax and broker’s commissions, of $107.1 million.</w:t>
      </w:r>
    </w:p>
    <w:p>
      <w:pPr>
        <w:spacing w:after="0" w:line="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expect to generate positive cash flows from operations and believe our cash on hand, cash flows from operations and possible future credit facilities will be sufficient to satisfy our future working capital requirements, purchase commitments, research and development activities, debt repayments (including interest payments), share repurchases and other financing requirements for the foreseeable future. We are currently not aware of any trends or demands, commitments, events or uncertainties that will result in, or that are reasonably likely to result in, our liquidity increasing or decreasing in any material way that will impact meeting our capital needs during or beyond the next twelve months. Our ability to generate positive cash flows from operations is dependent on general economic conditions, competitive pressures and other business risk factors. We believe that we have sufficient liquidity and cash on hand to satisfy our cash needs. If we are unable to generate sufficient cash flows from operations, or otherwise to comply with the terms of our credit facilities, we may be required to seek additional financing alternatives.</w:t>
      </w:r>
    </w:p>
    <w:p>
      <w:pPr>
        <w:spacing w:after="0" w:line="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Short-term financing needs primarily consist of working capital requirements and interest payments on our 7.00% senior notes maturing in March 2030 (the “7.00% Senior Notes”). Long-term financing needs include the repayment of our 7.00% Senior Notes. Additional long-term financing needs will depend largely on potential growth opportunities, including acquisition activity and other strategic transactions. Our asset-light business model requires modest capital expenditures, with annual capital expenditures over the last three fiscal years averaging less than 1% of net sales. No significant capital expenditures are planned during the next 12 months. Additionally, we may seek to repurchase shares of our common stock. Such repurchases, if</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any, will depend on prevailing market conditions, our liquidity requirements, contractual restrictions and other factors. The amounts involved may be material.</w:t>
      </w:r>
    </w:p>
    <w:p>
      <w:pPr>
        <w:sectPr>
          <w:pgSz w:w="11900" w:h="16838" w:orient="portrait"/>
          <w:cols w:equalWidth="0" w:num="1">
            <w:col w:w="11240"/>
          </w:cols>
          <w:pgMar w:left="320" w:top="121" w:right="339" w:bottom="1440" w:gutter="0" w:footer="0" w:header="0"/>
        </w:sectPr>
      </w:pP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presents select cash flow data, which is discussed below.</w:t>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p>
      <w:pPr>
        <w:spacing w:after="0" w:line="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436"/>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r>
      <w:tr>
        <w:trPr>
          <w:trHeight w:val="229"/>
        </w:trPr>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r>
      <w:tr>
        <w:trPr>
          <w:trHeight w:val="234"/>
        </w:trPr>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508" w:lineRule="exact"/>
        <w:rPr>
          <w:sz w:val="20"/>
          <w:szCs w:val="20"/>
          <w:color w:val="auto"/>
        </w:rPr>
      </w:pPr>
    </w:p>
    <w:p>
      <w:pPr>
        <w:sectPr>
          <w:pgSz w:w="11900" w:h="16838" w:orient="portrait"/>
          <w:cols w:equalWidth="0" w:num="2">
            <w:col w:w="8180" w:space="720"/>
            <w:col w:w="2340"/>
          </w:cols>
          <w:pgMar w:left="320" w:top="121" w:right="339" w:bottom="1440" w:gutter="0" w:footer="0" w:header="0"/>
          <w:type w:val="continuous"/>
        </w:sect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for the nine months ended June 30, 2024 increased $28.8 million compared to the prior year period. This increase was primarily due to fluctuations in the timing of payments of trade payables and decreased interest payments of $5.7 million due to lower borrowings outstanding under our Revolving Credit Facility. These positive impacts were partially offset by increased trade receivable levels in the current year period, driven by higher net sales, and increased tax payments (net of refunds) of $16.4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nine months ended June 30, 2024 decreased $0.4 million compared to the prior year period resulting from a decrease in capital expenditures.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June 30, 2024</w:t>
      </w:r>
    </w:p>
    <w:p>
      <w:pPr>
        <w:spacing w:after="0" w:line="1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for the nine months ended June 30, 2024 was $134.6 million. We paid $106.1 million, including broker’s commissions, for the repurchase of shares of our common stock and repaid $25.0 million under the Revolving Credit Facility.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June 30, 2023</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for the nine months ended June 30, 2023 was $139.8 million. We paid $117.6 million, including broker’s commissions, for the repurchase of shares of our common stock and repaid $135.0 million under the Revolving Credit Facility. Additionally, we borrowed $115.0 million under the Revolving Credit Facility.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Credit Agreement contains affirmative and negative covenants applicable to us and our restricted subsidiaries customary for agreements of this type, including delivery of financial and other information; compliance with laws; maintenance of property, existence, insurance and books and records; providing inspection rights; obligation to provide collateral and guarantees by certain new subsidiaries; delivery of environmental reports; participation in an annual meeting with the agent and the lenders; further assurances; and limitations with respect to indebtedness, liens, fundamental changes, restrictive agreements, use of proceeds, amendments of organization documents, prepayments and amendments of certain indebtedness, dispositions of assets, acquisitions and other investments, sale leaseback transactions, changes in the nature of business, transactions with affiliates and dividends and redemptions or repurchases of stock. Under the terms of the Credit Agreement, we are also required to comply with a financial covenant requiring us to maintain a total net leverage ratio (as defined in the Credit Agreement) not to exceed 6.00:1.00, measured as of the last day of each fiscal quarter. We were in compliance with the financial covenant as of June 30, 2024, and we do not believe non-compliance is reasonably likely in the foreseeable future.</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Credit Agreement provides for potential incremental revolving and term facilities at our request and at the discretion of the lenders or other persons providing such incremental facilities, in each case on terms to be determined, and also permits us to incur other secured or unsecured debt, in all cases subject to conditions and limitations as specified in the Credit Agreement.</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the indenture governing the 7.00% Senior Notes contains negative covenants customary for this type of agreement that limit our ability and the ability of our restricted subsidiaries to, among other things: borrow money or guarantee debt; create liens; pay dividends on, or redeem or repurchase, stock; make specified types of investments and acquisitions; enter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into or permit to exist contractual limits on the ability of our subsidiaries to pay dividends to us; enter into transactions with affiliates; and sell assets or merge with other companies. Certain of these covenants are subject to suspension when and if the 7.00% Senior Notes receive investment grade ratings.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critical accounting estimates are more fully described in our Annual Report on Form 10-K for the year ended September 30, 2023, as filed with the Securities and Exchange Commission (the “SEC”) on November 21, 2023. There have been no significant changes to our critical accounting estimates since September 30, 2023.</w:t>
      </w:r>
    </w:p>
    <w:p>
      <w:pPr>
        <w:spacing w:after="0" w:line="17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2 within “Notes to Condensed Consolidated Financial Statements” for a discussion regarding recently issued accounting standards.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ON FORWARD-LOOKING STATEMENTS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Forward-looking statements, within the meaning of Section 27A of the Securities Act of 1933, as amended, and Section 21E of the Exchange Act, are made throughout this report, including statements regarding unanticipated developments that negatively impact our common stock .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elsewhere in this report. Our financial condition, results of operations and cash flows may differ materially from those in the forward-looking statements. Such statements are based on management’s current views and assumptions and involve risks and uncertainties that could affect expected results. Those risks and uncertainties include, but are not limited to, the following:</w:t>
      </w:r>
    </w:p>
    <w:p>
      <w:pPr>
        <w:spacing w:after="0" w:line="8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sales from our RTD protein shakes;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compete in our product categories and our ability to retain our market position and favorable perceptions of our brands;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inefficiencies in our supply chain, including as a result of our reliance on third-party suppliers or manufacturers for the manufacturing of many of our products, pandemics and other outbreaks of contagious diseases, labor shortages, fires and evacuations related thereto, changes in weather conditions, natural disasters, agricultural diseases and pests and other events beyond our control;</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third-party contract manufacturers for the manufacturing of most of our products, including one manufacturer for the majority of our RTD protein shakes;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third-party contract manufacturers to produce an amount of our products that enables us to meet customer and consumer demand for the products;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third-party suppliers to provide certain ingredients and packaging;</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cost or availability of inputs to our business (including freight, raw materials, packaging, energy, labor and other supplies);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respond to changes in consumer and customer preferences and behaviors and introduce new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our distribution channels;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existing market penetration and enter into new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 significant reduction of purchases by or the bankruptcy of a major customer;</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factors, such as compliance with existing laws and regulations, as well as new laws and regulations and changes to existing laws and regulations and interpretations thereof, affecting our business, including current and future laws and regulations regarding food safety, advertising, labeling, tax matters and environmental matters;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business due to changes in our promotional activities and seasonality;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net selling prices of our products and manage promotional activities with respect to our products;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(including both secured and unsecured debt) and our ability to service our outstanding debt (including covenants that restrict the operation of our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market data and attributes and related information;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critical accounting estimates;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or unfavorable economic conditions that limit customer and consumer demand for our products or increase our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ongoing relationship with Post following the Spin-off, including our obligations under various agreements with Post;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conflicting interests or the appearance of conflicting interests resulting from certain of our directors also serving as officers or directors of Post;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previously completed Spin-off;</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impact litigation or other regulatory matters may have on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international business;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other assets and to continue to use third-party intellectual property subject to intellectual property licenses;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business disruptions and reputational damage associated with technology failures, cybersecurity incidents and corruption of our data privacy protections;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in the carrying value of goodwill or other intangible assets;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complete and integrate or otherwise effectively execute acquisitions or other strategic transactions and effectively manage our growth;</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talented personnel, employee absenteeism, labor strikes, work stoppages or unionization efforts;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the requirements of Section 404 of the Sarbanes-Oxley Act of 2002;</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differences in our actual operating results from any guidance we may give regarding our performance;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included under “Risk Factors” in this report and in our Annual Report on Form 10-K for the fiscal year ended September 30, 2023, filed with the SEC on November 21, 2023.</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we undertake no obligation to update publicly any forward-looking statements for any reason after the date of this report to conform these statements to actual results or to changes in our expectations.</w:t>
      </w:r>
    </w:p>
    <w:p>
      <w:pPr>
        <w:spacing w:after="0" w:line="176" w:lineRule="exact"/>
        <w:rPr>
          <w:sz w:val="20"/>
          <w:szCs w:val="20"/>
          <w:color w:val="auto"/>
        </w:rPr>
      </w:pPr>
    </w:p>
    <w:p>
      <w:pPr>
        <w:ind w:right="3940"/>
        <w:spacing w:after="0" w:line="378" w:lineRule="auto"/>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Commodity Price Risk</w:t>
      </w: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is exposed to commodity price risks relating to the purchases of raw materials. The Company manages the impact of cost increases, wherever possible, on commercially reasonable terms, by locking in prices on the quantities through purchase commitments required to meet production requirements. In addition, the Company may attempt to offset the effect of increased costs by raising prices to customers. However, for competitive reasons, the Company may not be able to pass along the full effect of increases in raw materials and other input costs as they are incurred.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Related to Active Nutrition International GmbH, whose functional currency is the Euro, the Company is exposed to risks of fluctuations in future cash flows and earnings due to changes in exchange rates.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both June 30, 2024 and September 30, 2023, the Company had outstanding principal value indebtedness of $840.0 million related to its 7.00% Senior Notes. Additionally, the Company had an aggregate principal amount of $25.0 million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outstanding under its Revolving Credit Facility as of September 30, 2023. The Company had no amounts outstanding under its Revolving Credit Facility as of June 30, 2024. Borrowings under the Revolving Credit Facility bear interest at variable rates.</w:t>
      </w:r>
    </w:p>
    <w:p>
      <w:pPr>
        <w:spacing w:after="0" w:line="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June 30, 2024 and September 30, 2023, the fair value of the Company’s debt, excluding any borrowings under its Revolving Credit Facility, was $860.9 million and $830.0 million, respectively. Changes in interest rates impact fixed and variable rate debt differently. For fixed rate debt, a change in interest rates will only impact the fair value of the debt, whereas a change in interest rates on variable rate debt will impact interest expense and cash flows. A hypothetical 10% decrease in interest rates would have increased the fair value of the fixed rate debt by approximately $15 million and $19 million as of June 30, 2024 and September 30, 2023, respectively. A hypothetical 10% increase in interest rates would have had an immaterial impact on both interest expense and interest paid during the three and nine months ended June 30, 2024 and 2023. For additional information regarding the Company’s debt, see Note 11 within “Notes to Condensed Consolidated Financial Statements.”</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with the Chief Executive Officer (“CEO”) and Chief Financial Officer (“CFO”) of the Company, has evaluated the effectiveness of its disclosure controls and procedures (as defined in Rules 13a-15(e) and 15d-15(e) under the Exchange Act) as of the end of the period covered by this report. Based on that evaluation, the CEO and CFO concluded that, as of the end of the period covered by this report, the Company’s disclosure controls and procedures were effective to provide reasonable assurance of achieving the desired control objectives.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significant changes in the Company’s internal control over financial reporting during the quarter ended June 30,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information required under this Item 1 is set forth in Note 12 within “Notes to Condensed Consolidated Financial Statements” included in Part I, Item 1 of this report, which is incorporated herein by reference. For disclosure of environmental proceedings with a governmental entity as a party pursuant to Item 103(c)(3)(iii) of Regulation S-K, the Company has elected to disclose matters where the Company reasonably believes such proceeding would result in monetary sanctions, exclusive of interest and costs, of $1.0 million or more. Applying this threshold, there are no such environmental proceedings to disclose for the three months ended June 30, 2024.</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the information set forth elsewhere in this Quarterly Report on Form 10-Q (the “Quarterly Report”), you should carefully consider the risk factors we previously disclosed in our Annual Report on Form 10-K, filed with the SEC on November 21, 2023, as of and for the year ended September 30, 2023 (the “Annual Report”). As of the date of this Quarterly Report, there have been no material changes to the risk factors previously disclosed in the Annual Report. These risks could materially and adversely affect our business, financial condition, results of operations and cash flows. Additional risks and uncertainties not presently known to us or that we currently deem immaterial also may impair our business, financial condition, results of operations and cash flows.</w:t>
      </w:r>
    </w:p>
    <w:p>
      <w:pPr>
        <w:spacing w:after="0" w:line="18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repurchases of shares of our common stock during the three months ended June 30, 2024 and our common stock repurchase authorization.</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tcPr>
          <w:p>
            <w:pPr>
              <w:spacing w:after="0"/>
              <w:rPr>
                <w:sz w:val="17"/>
                <w:szCs w:val="17"/>
                <w:color w:val="auto"/>
              </w:rPr>
            </w:pPr>
          </w:p>
        </w:tc>
        <w:tc>
          <w:tcPr>
            <w:tcW w:w="2020" w:type="dxa"/>
            <w:vAlign w:val="bottom"/>
            <w:vMerge w:val="restart"/>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 of</w:t>
            </w:r>
          </w:p>
        </w:tc>
        <w:tc>
          <w:tcPr>
            <w:tcW w:w="0" w:type="dxa"/>
            <w:vAlign w:val="bottom"/>
          </w:tcPr>
          <w:p>
            <w:pPr>
              <w:spacing w:after="0"/>
              <w:rPr>
                <w:sz w:val="1"/>
                <w:szCs w:val="1"/>
                <w:color w:val="auto"/>
              </w:rPr>
            </w:pPr>
          </w:p>
        </w:tc>
      </w:tr>
      <w:tr>
        <w:trPr>
          <w:trHeight w:val="175"/>
        </w:trPr>
        <w:tc>
          <w:tcPr>
            <w:tcW w:w="3000" w:type="dxa"/>
            <w:vAlign w:val="bottom"/>
          </w:tcPr>
          <w:p>
            <w:pPr>
              <w:spacing w:after="0"/>
              <w:rPr>
                <w:sz w:val="15"/>
                <w:szCs w:val="15"/>
                <w:color w:val="auto"/>
              </w:rPr>
            </w:pPr>
          </w:p>
        </w:tc>
        <w:tc>
          <w:tcPr>
            <w:tcW w:w="2020" w:type="dxa"/>
            <w:vAlign w:val="bottom"/>
            <w:vMerge w:val="continue"/>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Price Paid</w:t>
            </w:r>
          </w:p>
        </w:tc>
        <w:tc>
          <w:tcPr>
            <w:tcW w:w="2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 of Publicly</w:t>
            </w:r>
          </w:p>
        </w:tc>
        <w:tc>
          <w:tcPr>
            <w:tcW w:w="2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00" w:type="dxa"/>
            <w:vAlign w:val="bottom"/>
            <w:vMerge w:val="restart"/>
          </w:tcPr>
          <w:p>
            <w:pPr>
              <w:ind w:left="16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020" w:type="dxa"/>
            <w:vAlign w:val="bottom"/>
          </w:tcPr>
          <w:p>
            <w:pPr>
              <w:jc w:val="center"/>
              <w:ind w:left="570"/>
              <w:spacing w:after="0" w:line="189"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10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7"/>
              </w:rPr>
              <w:t>per Share</w:t>
            </w:r>
          </w:p>
        </w:tc>
        <w:tc>
          <w:tcPr>
            <w:tcW w:w="2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 Plans or Programs</w:t>
            </w:r>
          </w:p>
        </w:tc>
        <w:tc>
          <w:tcPr>
            <w:tcW w:w="2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Shares that May Yet be Purchased</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auto"/>
            </w:tcBorders>
            <w:vMerge w:val="continue"/>
          </w:tcPr>
          <w:p>
            <w:pPr>
              <w:spacing w:after="0"/>
              <w:rPr>
                <w:sz w:val="19"/>
                <w:szCs w:val="19"/>
                <w:color w:val="auto"/>
              </w:rPr>
            </w:pPr>
          </w:p>
        </w:tc>
        <w:tc>
          <w:tcPr>
            <w:tcW w:w="202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Under the Plans or Programs (b)</w:t>
            </w: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2024 - April 30, 2024</w:t>
            </w:r>
          </w:p>
        </w:tc>
        <w:tc>
          <w:tcPr>
            <w:tcW w:w="2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341,389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341,389</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$270,000,526</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2024 - May 31, 2024</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929,168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$58.57</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929,168</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$215,576,519</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2024 - June 30, 2024</w:t>
            </w:r>
          </w:p>
        </w:tc>
        <w:tc>
          <w:tcPr>
            <w:tcW w:w="2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$215,576,519</w:t>
            </w:r>
          </w:p>
        </w:tc>
        <w:tc>
          <w:tcPr>
            <w:tcW w:w="0" w:type="dxa"/>
            <w:vAlign w:val="bottom"/>
          </w:tcPr>
          <w:p>
            <w:pPr>
              <w:spacing w:after="0"/>
              <w:rPr>
                <w:sz w:val="1"/>
                <w:szCs w:val="1"/>
                <w:color w:val="auto"/>
              </w:rPr>
            </w:pPr>
          </w:p>
        </w:tc>
      </w:tr>
      <w:tr>
        <w:trPr>
          <w:trHeight w:val="223"/>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1,270,557</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$58.08</w:t>
            </w: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1,270,557</w:t>
            </w:r>
          </w:p>
        </w:tc>
        <w:tc>
          <w:tcPr>
            <w:tcW w:w="2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$215,576,519</w:t>
            </w:r>
          </w:p>
        </w:tc>
        <w:tc>
          <w:tcPr>
            <w:tcW w:w="0" w:type="dxa"/>
            <w:vAlign w:val="bottom"/>
          </w:tcPr>
          <w:p>
            <w:pPr>
              <w:spacing w:after="0"/>
              <w:rPr>
                <w:sz w:val="1"/>
                <w:szCs w:val="1"/>
                <w:color w:val="auto"/>
              </w:rPr>
            </w:pPr>
          </w:p>
        </w:tc>
      </w:tr>
      <w:tr>
        <w:trPr>
          <w:trHeight w:val="20"/>
        </w:trPr>
        <w:tc>
          <w:tcPr>
            <w:tcW w:w="30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broker’s commissions or accrued excise tax.</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29, 2024, the Company’s Board of Directors approved a $300,000,000 repurchase authorization with respect to shares of the Company’s common stock (the “Authorization”). The Authorization was effective on March 11, 2024 and has an expiration date of March 11, 2026. Repurchases may be made from time to time in the open market, private purchases, through forward, derivative, accelerated repurchase or automatic purchase transactions, or otherwise.</w:t>
      </w:r>
    </w:p>
    <w:p>
      <w:pPr>
        <w:spacing w:after="0" w:line="17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and Non-Rule 10b5-1 Trading Arrangements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no director or “officer,” as defined in Rule 16a-1(f) under the Securities Exchange Act of 1934, as amended, of the Company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either provided with this Form 10-Q or are incorporated herein by reference.</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040" w:type="dxa"/>
            <w:vAlign w:val="bottom"/>
            <w:gridSpan w:val="20"/>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95"/>
        </w:trPr>
        <w:tc>
          <w:tcPr>
            <w:tcW w:w="1300" w:type="dxa"/>
            <w:vAlign w:val="bottom"/>
          </w:tcPr>
          <w:p>
            <w:pPr>
              <w:jc w:val="center"/>
              <w:ind w:right="131"/>
              <w:spacing w:after="0" w:line="195" w:lineRule="exact"/>
              <w:rPr>
                <w:sz w:val="20"/>
                <w:szCs w:val="20"/>
                <w:color w:val="auto"/>
              </w:rPr>
            </w:pPr>
            <w:r>
              <w:rPr>
                <w:rFonts w:ascii="Times New Roman" w:cs="Times New Roman" w:eastAsia="Times New Roman" w:hAnsi="Times New Roman"/>
                <w:sz w:val="18"/>
                <w:szCs w:val="18"/>
                <w:color w:val="auto"/>
              </w:rPr>
              <w:t>*2.1</w:t>
            </w:r>
          </w:p>
        </w:tc>
        <w:tc>
          <w:tcPr>
            <w:tcW w:w="9040" w:type="dxa"/>
            <w:vAlign w:val="bottom"/>
            <w:gridSpan w:val="20"/>
          </w:tcPr>
          <w:p>
            <w:pPr>
              <w:spacing w:after="0" w:line="195" w:lineRule="exact"/>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Transaction Agreement and Plan of Merger, dated as of October 26, 2021, by and among Post Holdings, Inc., BellRing</w:t>
              </w:r>
            </w:hyperlink>
          </w:p>
        </w:tc>
      </w:tr>
      <w:tr>
        <w:trPr>
          <w:trHeight w:val="156"/>
        </w:trPr>
        <w:tc>
          <w:tcPr>
            <w:tcW w:w="1300" w:type="dxa"/>
            <w:vAlign w:val="bottom"/>
          </w:tcPr>
          <w:p>
            <w:pPr>
              <w:spacing w:after="0"/>
              <w:rPr>
                <w:sz w:val="13"/>
                <w:szCs w:val="13"/>
                <w:color w:val="auto"/>
              </w:rPr>
            </w:pPr>
          </w:p>
        </w:tc>
        <w:tc>
          <w:tcPr>
            <w:tcW w:w="896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Brands, Inc., BellRing Distribution, LLC and BellRing Merger Sub Corporation (Incorporated by reference to Exhibit 2.1</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9000" w:type="dxa"/>
            <w:vAlign w:val="bottom"/>
            <w:gridSpan w:val="18"/>
          </w:tcPr>
          <w:p>
            <w:pPr>
              <w:spacing w:after="0" w:line="169" w:lineRule="exact"/>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to the Company’s Form 8-K filed on October 27,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2.2</w:t>
            </w:r>
          </w:p>
        </w:tc>
        <w:tc>
          <w:tcPr>
            <w:tcW w:w="9040" w:type="dxa"/>
            <w:vAlign w:val="bottom"/>
            <w:gridSpan w:val="20"/>
          </w:tcPr>
          <w:p>
            <w:pPr>
              <w:spacing w:after="0"/>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Amendment No. 1 to Transaction Agreement and Plan of Merger, dated as of February 28, 2022, by and among Post</w:t>
              </w:r>
            </w:hyperlink>
          </w:p>
        </w:tc>
      </w:tr>
      <w:tr>
        <w:trPr>
          <w:trHeight w:val="156"/>
        </w:trPr>
        <w:tc>
          <w:tcPr>
            <w:tcW w:w="1300" w:type="dxa"/>
            <w:vAlign w:val="bottom"/>
          </w:tcPr>
          <w:p>
            <w:pPr>
              <w:spacing w:after="0"/>
              <w:rPr>
                <w:sz w:val="13"/>
                <w:szCs w:val="13"/>
                <w:color w:val="auto"/>
              </w:rPr>
            </w:pPr>
          </w:p>
        </w:tc>
        <w:tc>
          <w:tcPr>
            <w:tcW w:w="89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Holdings, Inc., BellRing Brands, Inc., BellRing Distribution, LLC and BellRing Merger Sub Corporation (Incorporated by</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894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reference to Exhibit 2.1 to the Company’s Form 8-K filed on February 28, 2022)</w:t>
              </w:r>
            </w:hyperlink>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3.1</w:t>
            </w:r>
          </w:p>
        </w:tc>
        <w:tc>
          <w:tcPr>
            <w:tcW w:w="9040" w:type="dxa"/>
            <w:vAlign w:val="bottom"/>
            <w:gridSpan w:val="20"/>
          </w:tcPr>
          <w:p>
            <w:pPr>
              <w:spacing w:after="0"/>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BellRing Brands, Inc. Certificate of Incorporation (Incorporated by reference to Exhibit 3.1 to the Company’s Second Form</w:t>
              </w:r>
            </w:hyperlink>
          </w:p>
        </w:tc>
      </w:tr>
      <w:tr>
        <w:trPr>
          <w:trHeight w:val="155"/>
        </w:trPr>
        <w:tc>
          <w:tcPr>
            <w:tcW w:w="1300" w:type="dxa"/>
            <w:vAlign w:val="bottom"/>
          </w:tcPr>
          <w:p>
            <w:pPr>
              <w:spacing w:after="0"/>
              <w:rPr>
                <w:sz w:val="13"/>
                <w:szCs w:val="13"/>
                <w:color w:val="auto"/>
              </w:rPr>
            </w:pPr>
          </w:p>
        </w:tc>
        <w:tc>
          <w:tcPr>
            <w:tcW w:w="21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38">
              <w:r>
                <w:rPr>
                  <w:rFonts w:ascii="Times New Roman" w:cs="Times New Roman" w:eastAsia="Times New Roman" w:hAnsi="Times New Roman"/>
                  <w:sz w:val="18"/>
                  <w:szCs w:val="18"/>
                  <w:color w:val="0000FF"/>
                  <w:w w:val="99"/>
                </w:rPr>
                <w:t>8-K filed on March 10, 2022)</w:t>
              </w:r>
            </w:hyperlink>
          </w:p>
        </w:tc>
        <w:tc>
          <w:tcPr>
            <w:tcW w:w="6780" w:type="dxa"/>
            <w:vAlign w:val="bottom"/>
            <w:tcBorders>
              <w:top w:val="single" w:sz="8" w:color="0000FF"/>
            </w:tcBorders>
            <w:gridSpan w:val="11"/>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3.2</w:t>
            </w:r>
          </w:p>
        </w:tc>
        <w:tc>
          <w:tcPr>
            <w:tcW w:w="9040" w:type="dxa"/>
            <w:vAlign w:val="bottom"/>
            <w:gridSpan w:val="20"/>
          </w:tcPr>
          <w:p>
            <w:pPr>
              <w:spacing w:after="0"/>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BellRing Brands, Inc. Bylaws (Incorporated by reference to Exhibit 3.2 to the Company’s Second Form 8-K filed on March</w:t>
              </w:r>
            </w:hyperlink>
          </w:p>
        </w:tc>
      </w:tr>
      <w:tr>
        <w:trPr>
          <w:trHeight w:val="156"/>
        </w:trPr>
        <w:tc>
          <w:tcPr>
            <w:tcW w:w="1300" w:type="dxa"/>
            <w:vAlign w:val="bottom"/>
          </w:tcPr>
          <w:p>
            <w:pPr>
              <w:spacing w:after="0"/>
              <w:rPr>
                <w:sz w:val="13"/>
                <w:szCs w:val="13"/>
                <w:color w:val="auto"/>
              </w:rPr>
            </w:pPr>
          </w:p>
        </w:tc>
        <w:tc>
          <w:tcPr>
            <w:tcW w:w="7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39">
              <w:r>
                <w:rPr>
                  <w:rFonts w:ascii="Times New Roman" w:cs="Times New Roman" w:eastAsia="Times New Roman" w:hAnsi="Times New Roman"/>
                  <w:sz w:val="18"/>
                  <w:szCs w:val="18"/>
                  <w:color w:val="0000FF"/>
                  <w:w w:val="98"/>
                </w:rPr>
                <w:t>10, 2022)</w:t>
              </w:r>
            </w:hyperlink>
          </w:p>
        </w:tc>
        <w:tc>
          <w:tcPr>
            <w:tcW w:w="13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1640" w:type="dxa"/>
            <w:vAlign w:val="bottom"/>
            <w:tcBorders>
              <w:top w:val="single" w:sz="8" w:color="0000FF"/>
            </w:tcBorders>
          </w:tcPr>
          <w:p>
            <w:pPr>
              <w:spacing w:after="0"/>
              <w:rPr>
                <w:sz w:val="13"/>
                <w:szCs w:val="13"/>
                <w:color w:val="auto"/>
              </w:rPr>
            </w:pPr>
          </w:p>
        </w:tc>
        <w:tc>
          <w:tcPr>
            <w:tcW w:w="13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*4.1</w:t>
            </w:r>
          </w:p>
        </w:tc>
        <w:tc>
          <w:tcPr>
            <w:tcW w:w="9040" w:type="dxa"/>
            <w:vAlign w:val="bottom"/>
            <w:gridSpan w:val="20"/>
          </w:tcPr>
          <w:p>
            <w:pPr>
              <w:spacing w:after="0"/>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Indenture, dated March 10, 2022, by and among BellRing Brands, Inc. and Computershare Trust Company, N.A., as trustee</w:t>
              </w:r>
            </w:hyperlink>
          </w:p>
        </w:tc>
      </w:tr>
      <w:tr>
        <w:trPr>
          <w:trHeight w:val="156"/>
        </w:trPr>
        <w:tc>
          <w:tcPr>
            <w:tcW w:w="1300" w:type="dxa"/>
            <w:vAlign w:val="bottom"/>
          </w:tcPr>
          <w:p>
            <w:pPr>
              <w:spacing w:after="0"/>
              <w:rPr>
                <w:sz w:val="13"/>
                <w:szCs w:val="13"/>
                <w:color w:val="auto"/>
              </w:rPr>
            </w:pPr>
          </w:p>
        </w:tc>
        <w:tc>
          <w:tcPr>
            <w:tcW w:w="89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(Incorporated by reference to Exhibit 4.1 to the Company’s Second Form 8-K filed on March 10, 2022)</w:t>
              </w:r>
            </w:hyperlink>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980" w:type="dxa"/>
            <w:vAlign w:val="bottom"/>
            <w:gridSpan w:val="2"/>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4.2</w:t>
            </w:r>
          </w:p>
        </w:tc>
        <w:tc>
          <w:tcPr>
            <w:tcW w:w="9040" w:type="dxa"/>
            <w:vAlign w:val="bottom"/>
            <w:gridSpan w:val="20"/>
          </w:tcPr>
          <w:p>
            <w:pPr>
              <w:spacing w:after="0"/>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Form of Note (Incorporated by reference to Exhibit 4.2 to the Company’s Second Form 8-K filed on March 10, 2022, which</w:t>
              </w:r>
            </w:hyperlink>
          </w:p>
        </w:tc>
      </w:tr>
      <w:tr>
        <w:trPr>
          <w:trHeight w:val="156"/>
        </w:trPr>
        <w:tc>
          <w:tcPr>
            <w:tcW w:w="130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40">
              <w:r>
                <w:rPr>
                  <w:rFonts w:ascii="Times New Roman" w:cs="Times New Roman" w:eastAsia="Times New Roman" w:hAnsi="Times New Roman"/>
                  <w:sz w:val="18"/>
                  <w:szCs w:val="18"/>
                  <w:color w:val="0000FF"/>
                  <w:w w:val="99"/>
                </w:rPr>
                <w:t>Exhibit 4.2 is referenced in Exhibit 4.1 to such filing)</w:t>
              </w:r>
            </w:hyperlink>
          </w:p>
        </w:tc>
        <w:tc>
          <w:tcPr>
            <w:tcW w:w="516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31.1</w:t>
            </w: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Darcy H. Davenport pursuant to Rule 13a-14(a), as adopted pursuant to Section 302 of the Sarbanes-Oxley</w:t>
            </w:r>
          </w:p>
        </w:tc>
      </w:tr>
      <w:tr>
        <w:trPr>
          <w:trHeight w:val="156"/>
        </w:trPr>
        <w:tc>
          <w:tcPr>
            <w:tcW w:w="1300" w:type="dxa"/>
            <w:vAlign w:val="bottom"/>
          </w:tcPr>
          <w:p>
            <w:pPr>
              <w:spacing w:after="0"/>
              <w:rPr>
                <w:sz w:val="13"/>
                <w:szCs w:val="13"/>
                <w:color w:val="auto"/>
              </w:rPr>
            </w:pPr>
          </w:p>
        </w:tc>
        <w:tc>
          <w:tcPr>
            <w:tcW w:w="250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Act of 2002, dated August 6, 2024</w:t>
            </w:r>
          </w:p>
        </w:tc>
        <w:tc>
          <w:tcPr>
            <w:tcW w:w="636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31.2</w:t>
            </w: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Paul A. Rode pursuant to Rule 13a-14(a), as adopted pursuant to Section 302 of the Sarbanes-Oxley Act of</w:t>
            </w:r>
          </w:p>
        </w:tc>
      </w:tr>
      <w:tr>
        <w:trPr>
          <w:trHeight w:val="155"/>
        </w:trPr>
        <w:tc>
          <w:tcPr>
            <w:tcW w:w="1300" w:type="dxa"/>
            <w:vAlign w:val="bottom"/>
          </w:tcPr>
          <w:p>
            <w:pPr>
              <w:spacing w:after="0"/>
              <w:rPr>
                <w:sz w:val="13"/>
                <w:szCs w:val="13"/>
                <w:color w:val="auto"/>
              </w:rPr>
            </w:pPr>
          </w:p>
        </w:tc>
        <w:tc>
          <w:tcPr>
            <w:tcW w:w="200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2002, dated August 6, 2024</w:t>
            </w:r>
          </w:p>
        </w:tc>
        <w:tc>
          <w:tcPr>
            <w:tcW w:w="6880" w:type="dxa"/>
            <w:vAlign w:val="bottom"/>
            <w:tcBorders>
              <w:top w:val="single" w:sz="8" w:color="0000FF"/>
            </w:tcBorders>
            <w:gridSpan w:val="10"/>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32.1</w:t>
            </w: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Darcy H. Davenport and Paul A. Rode, pursuant to 18 U.S.C. Section 1350 as adopted pursuant to Section</w:t>
            </w:r>
          </w:p>
        </w:tc>
      </w:tr>
      <w:tr>
        <w:trPr>
          <w:trHeight w:val="156"/>
        </w:trPr>
        <w:tc>
          <w:tcPr>
            <w:tcW w:w="1300" w:type="dxa"/>
            <w:vAlign w:val="bottom"/>
          </w:tcPr>
          <w:p>
            <w:pPr>
              <w:spacing w:after="0"/>
              <w:rPr>
                <w:sz w:val="13"/>
                <w:szCs w:val="13"/>
                <w:color w:val="auto"/>
              </w:rPr>
            </w:pPr>
          </w:p>
        </w:tc>
        <w:tc>
          <w:tcPr>
            <w:tcW w:w="446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9"/>
              </w:rPr>
              <w:t>906 of the Sarbanes-Oxley Act of 2002, dated August 6, 2024</w:t>
            </w:r>
          </w:p>
        </w:tc>
        <w:tc>
          <w:tcPr>
            <w:tcW w:w="4360" w:type="dxa"/>
            <w:vAlign w:val="bottom"/>
            <w:tcBorders>
              <w:top w:val="single" w:sz="8" w:color="0000FF"/>
            </w:tcBorders>
            <w:gridSpan w:val="3"/>
          </w:tcPr>
          <w:p>
            <w:pPr>
              <w:spacing w:after="0"/>
              <w:rPr>
                <w:sz w:val="13"/>
                <w:szCs w:val="13"/>
                <w:color w:val="auto"/>
              </w:rPr>
            </w:pPr>
          </w:p>
        </w:tc>
        <w:tc>
          <w:tcPr>
            <w:tcW w:w="220" w:type="dxa"/>
            <w:vAlign w:val="bottom"/>
            <w:gridSpan w:val="10"/>
          </w:tcPr>
          <w:p>
            <w:pPr>
              <w:spacing w:after="0"/>
              <w:rPr>
                <w:sz w:val="13"/>
                <w:szCs w:val="13"/>
                <w:color w:val="auto"/>
              </w:rPr>
            </w:pPr>
          </w:p>
        </w:tc>
      </w:tr>
    </w:tbl>
    <w:p>
      <w:pPr>
        <w:spacing w:after="0" w:line="36" w:lineRule="exact"/>
        <w:rPr>
          <w:sz w:val="20"/>
          <w:szCs w:val="20"/>
          <w:color w:val="auto"/>
        </w:rPr>
      </w:pPr>
    </w:p>
    <w:p>
      <w:pPr>
        <w:ind w:left="1320" w:right="1120" w:hanging="900"/>
        <w:spacing w:after="0" w:line="231" w:lineRule="auto"/>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 (Form 10-Q for the quarterly period ended June 30, 2024 filed in iXBRL (Inline eXtensible Business Reporting Language)). The financial information contained in the iXBRL-related documents is “unaudited” and “unreviewed.”</w:t>
      </w:r>
    </w:p>
    <w:p>
      <w:pPr>
        <w:spacing w:after="0" w:line="1" w:lineRule="exact"/>
        <w:rPr>
          <w:sz w:val="20"/>
          <w:szCs w:val="20"/>
          <w:color w:val="auto"/>
        </w:rPr>
      </w:pPr>
    </w:p>
    <w:p>
      <w:pPr>
        <w:ind w:left="1320" w:right="1120" w:hanging="900"/>
        <w:spacing w:after="0" w:line="234" w:lineRule="auto"/>
        <w:tabs>
          <w:tab w:leader="none" w:pos="13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Form 10-Q for the quarterly period ended June 30, 2024, formatted in iXBRL (Inline eXtensible Business Reporting Language) and contained in Exhibit 101</w:t>
      </w:r>
    </w:p>
    <w:p>
      <w:pPr>
        <w:spacing w:after="0" w:line="239" w:lineRule="exact"/>
        <w:rPr>
          <w:rFonts w:ascii="Times New Roman" w:cs="Times New Roman" w:eastAsia="Times New Roman" w:hAnsi="Times New Roman"/>
          <w:sz w:val="18"/>
          <w:szCs w:val="18"/>
          <w:color w:val="auto"/>
        </w:rPr>
      </w:pPr>
    </w:p>
    <w:p>
      <w:pPr>
        <w:ind w:left="1060" w:right="1200" w:hanging="1039"/>
        <w:spacing w:after="0" w:line="22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and schedules have been omitted pursuant to Item 601(a)(5) of Regulation S-K. The Company agrees to furnish supplementally to the Securities and Exchange Commission (the “SEC”) a copy of any omitted exhibit or schedule upon request by the SEC.</w:t>
      </w:r>
    </w:p>
    <w:p>
      <w:pPr>
        <w:spacing w:after="0" w:line="9" w:lineRule="exact"/>
        <w:rPr>
          <w:sz w:val="20"/>
          <w:szCs w:val="20"/>
          <w:color w:val="auto"/>
        </w:rPr>
      </w:pPr>
    </w:p>
    <w:p>
      <w:pPr>
        <w:ind w:left="1060" w:right="1200" w:hanging="1034"/>
        <w:spacing w:after="0" w:line="237"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document that constitute confidential information have been redacted in accordance with Regulation S-K, Item 601(b)(10).</w:t>
      </w:r>
    </w:p>
    <w:p>
      <w:pPr>
        <w:spacing w:after="0" w:line="1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agreements and other documents filed as exhibits to this Quarterly Report on Form 10-Q contain representations and warranties that the parties thereto made to each other. These representations and warranties have been made solely for the benefit of the other parties to such agreements and may have been qualified by certain information that has been disclosed to the other parties to such agreements and other documents and that may not be reflected in such agreements and other documents. In addition, these representations and warranties may be intended as a way of allocating risks among parties if the statements contained therein prove to be incorrect, rather than as actual statements of fact. Accordingly, there can be no reliance on any such representations and warranties as characterizations of the actual state of facts. Moreover, information concerning the subject matter of any such representations and warranties may have changed since the date of such agreements and other documents.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BellRing Brands, Inc. has duly caused this report to be signed on its behalf by the undersigned thereunto duly authorized.</w:t>
      </w:r>
    </w:p>
    <w:p>
      <w:pPr>
        <w:spacing w:after="0" w:line="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BELLRING BRANDS, INC.</w:t>
      </w:r>
    </w:p>
    <w:p>
      <w:pPr>
        <w:spacing w:after="0" w:line="27" w:lineRule="exact"/>
        <w:rPr>
          <w:sz w:val="20"/>
          <w:szCs w:val="20"/>
          <w:color w:val="auto"/>
        </w:rPr>
      </w:pPr>
    </w:p>
    <w:p>
      <w:pPr>
        <w:ind w:left="720" w:right="2040" w:hanging="7437"/>
        <w:spacing w:after="0" w:line="273" w:lineRule="auto"/>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6, 2024 By: /s/ Darcy H. Davenport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-3175</wp:posOffset>
            </wp:positionV>
            <wp:extent cx="24085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1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80"/>
          </w:cols>
          <w:pgMar w:left="320" w:top="121" w:right="39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Darcy H. Davenport, certify that:</w:t>
      </w:r>
    </w:p>
    <w:p>
      <w:pPr>
        <w:spacing w:after="0" w:line="252"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BellRing Brands, Inc.;</w:t>
      </w:r>
    </w:p>
    <w:p>
      <w:pPr>
        <w:spacing w:after="0" w:line="157" w:lineRule="exact"/>
        <w:rPr>
          <w:rFonts w:ascii="Times New Roman" w:cs="Times New Roman" w:eastAsia="Times New Roman" w:hAnsi="Times New Roman"/>
          <w:sz w:val="18"/>
          <w:szCs w:val="18"/>
          <w:color w:val="auto"/>
        </w:rPr>
      </w:pPr>
    </w:p>
    <w:p>
      <w:pPr>
        <w:ind w:left="340" w:right="90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340" w:right="1200" w:hanging="332"/>
        <w:spacing w:after="0" w:line="312" w:lineRule="auto"/>
        <w:tabs>
          <w:tab w:leader="none" w:pos="3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Times New Roman" w:cs="Times New Roman" w:eastAsia="Times New Roman" w:hAnsi="Times New Roman"/>
          <w:sz w:val="17"/>
          <w:szCs w:val="17"/>
          <w:color w:val="auto"/>
        </w:rPr>
      </w:pPr>
    </w:p>
    <w:p>
      <w:pPr>
        <w:ind w:left="340" w:right="1080" w:hanging="332"/>
        <w:spacing w:after="0" w:line="276" w:lineRule="auto"/>
        <w:tabs>
          <w:tab w:leader="none" w:pos="3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39" w:lineRule="exact"/>
        <w:rPr>
          <w:rFonts w:ascii="Times New Roman" w:cs="Times New Roman" w:eastAsia="Times New Roman" w:hAnsi="Times New Roman"/>
          <w:sz w:val="17"/>
          <w:szCs w:val="17"/>
          <w:color w:val="auto"/>
        </w:rPr>
      </w:pPr>
    </w:p>
    <w:p>
      <w:pPr>
        <w:ind w:left="980" w:right="880" w:hanging="324"/>
        <w:spacing w:after="0" w:line="266" w:lineRule="auto"/>
        <w:tabs>
          <w:tab w:leader="none" w:pos="97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1180" w:hanging="324"/>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980" w:right="840" w:hanging="324"/>
        <w:spacing w:after="0" w:line="266" w:lineRule="auto"/>
        <w:tabs>
          <w:tab w:leader="none" w:pos="97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980" w:right="920" w:hanging="324"/>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340" w:right="112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1060" w:hanging="324"/>
        <w:spacing w:after="0" w:line="282"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6, 2024</w:t>
            </w:r>
          </w:p>
        </w:tc>
        <w:tc>
          <w:tcPr>
            <w:tcW w:w="502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By:  /s/ Darcy H. Davenport</w:t>
            </w:r>
          </w:p>
        </w:tc>
      </w:tr>
      <w:tr>
        <w:trPr>
          <w:trHeight w:val="218"/>
        </w:trPr>
        <w:tc>
          <w:tcPr>
            <w:tcW w:w="5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Darcy H. Davenport</w:t>
            </w:r>
          </w:p>
        </w:tc>
      </w:tr>
      <w:tr>
        <w:trPr>
          <w:trHeight w:val="234"/>
        </w:trPr>
        <w:tc>
          <w:tcPr>
            <w:tcW w:w="5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A. Rode, certify that:</w:t>
      </w:r>
    </w:p>
    <w:p>
      <w:pPr>
        <w:spacing w:after="0" w:line="252"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BellRing Brands, Inc.;</w:t>
      </w:r>
    </w:p>
    <w:p>
      <w:pPr>
        <w:spacing w:after="0" w:line="157" w:lineRule="exact"/>
        <w:rPr>
          <w:rFonts w:ascii="Times New Roman" w:cs="Times New Roman" w:eastAsia="Times New Roman" w:hAnsi="Times New Roman"/>
          <w:sz w:val="18"/>
          <w:szCs w:val="18"/>
          <w:color w:val="auto"/>
        </w:rPr>
      </w:pPr>
    </w:p>
    <w:p>
      <w:pPr>
        <w:ind w:left="340" w:right="90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340" w:right="1200" w:hanging="332"/>
        <w:spacing w:after="0" w:line="312" w:lineRule="auto"/>
        <w:tabs>
          <w:tab w:leader="none" w:pos="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Times New Roman" w:cs="Times New Roman" w:eastAsia="Times New Roman" w:hAnsi="Times New Roman"/>
          <w:sz w:val="17"/>
          <w:szCs w:val="17"/>
          <w:color w:val="auto"/>
        </w:rPr>
      </w:pPr>
    </w:p>
    <w:p>
      <w:pPr>
        <w:ind w:left="340" w:right="1080" w:hanging="332"/>
        <w:spacing w:after="0" w:line="276" w:lineRule="auto"/>
        <w:tabs>
          <w:tab w:leader="none" w:pos="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39" w:lineRule="exact"/>
        <w:rPr>
          <w:rFonts w:ascii="Times New Roman" w:cs="Times New Roman" w:eastAsia="Times New Roman" w:hAnsi="Times New Roman"/>
          <w:sz w:val="17"/>
          <w:szCs w:val="17"/>
          <w:color w:val="auto"/>
        </w:rPr>
      </w:pPr>
    </w:p>
    <w:p>
      <w:pPr>
        <w:ind w:left="980" w:right="880" w:hanging="324"/>
        <w:spacing w:after="0" w:line="266" w:lineRule="auto"/>
        <w:tabs>
          <w:tab w:leader="none" w:pos="97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118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980" w:right="840" w:hanging="324"/>
        <w:spacing w:after="0" w:line="266" w:lineRule="auto"/>
        <w:tabs>
          <w:tab w:leader="none" w:pos="97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980" w:right="92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340" w:right="112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106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6, 2024</w:t>
            </w:r>
          </w:p>
        </w:tc>
        <w:tc>
          <w:tcPr>
            <w:tcW w:w="502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By:  /s/ Paul A. Rode</w:t>
            </w:r>
          </w:p>
        </w:tc>
      </w:tr>
      <w:tr>
        <w:trPr>
          <w:trHeight w:val="218"/>
        </w:trPr>
        <w:tc>
          <w:tcPr>
            <w:tcW w:w="5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Paul A. Rode</w:t>
            </w:r>
          </w:p>
        </w:tc>
      </w:tr>
      <w:tr>
        <w:trPr>
          <w:trHeight w:val="234"/>
        </w:trPr>
        <w:tc>
          <w:tcPr>
            <w:tcW w:w="5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887"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The undersigned, the President and Chief Executive Officer of BellRing Brands, Inc. (the “Company”), hereby certifies that, to her knowledge on the date hereof:</w:t>
      </w:r>
    </w:p>
    <w:p>
      <w:pPr>
        <w:spacing w:after="0" w:line="189" w:lineRule="exact"/>
        <w:rPr>
          <w:sz w:val="20"/>
          <w:szCs w:val="20"/>
          <w:color w:val="auto"/>
        </w:rPr>
      </w:pPr>
    </w:p>
    <w:p>
      <w:pPr>
        <w:ind w:left="660" w:right="920" w:hanging="652"/>
        <w:spacing w:after="0" w:line="266" w:lineRule="auto"/>
        <w:tabs>
          <w:tab w:leader="none" w:pos="3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June 30, 2024, filed on the date hereof with the Securities and Exchange Commission (the “Report”), fully complies with the requirements of Section 13(a) or 15(d) of the Securities Exchange Act of 1934, as amended; and</w:t>
      </w:r>
    </w:p>
    <w:p>
      <w:pPr>
        <w:spacing w:after="0" w:line="202" w:lineRule="exact"/>
        <w:rPr>
          <w:rFonts w:ascii="Times New Roman" w:cs="Times New Roman" w:eastAsia="Times New Roman" w:hAnsi="Times New Roman"/>
          <w:sz w:val="18"/>
          <w:szCs w:val="18"/>
          <w:color w:val="auto"/>
        </w:rPr>
      </w:pPr>
    </w:p>
    <w:p>
      <w:pPr>
        <w:ind w:left="660" w:right="1500" w:hanging="652"/>
        <w:spacing w:after="0" w:line="282" w:lineRule="auto"/>
        <w:tabs>
          <w:tab w:leader="none" w:pos="40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6, 2024</w:t>
            </w:r>
          </w:p>
        </w:tc>
        <w:tc>
          <w:tcPr>
            <w:tcW w:w="50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By:  /s/ Darcy H. Davenport</w:t>
            </w:r>
          </w:p>
        </w:tc>
      </w:tr>
      <w:tr>
        <w:trPr>
          <w:trHeight w:val="218"/>
        </w:trPr>
        <w:tc>
          <w:tcPr>
            <w:tcW w:w="5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Darcy H. Davenport</w:t>
            </w:r>
          </w:p>
        </w:tc>
      </w:tr>
      <w:tr>
        <w:trPr>
          <w:trHeight w:val="234"/>
        </w:trPr>
        <w:tc>
          <w:tcPr>
            <w:tcW w:w="5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31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25" w:name="page26"/>
    <w:bookmarkEnd w:id="25"/>
    <w:p>
      <w:pPr>
        <w:spacing w:after="0" w:line="180"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undersigned, the Chief Financial Officer of BellRing Brands, Inc. (the “Company”), hereby certifies that, to his knowledge on the date hereof:</w:t>
      </w:r>
    </w:p>
    <w:p>
      <w:pPr>
        <w:spacing w:after="0" w:line="189" w:lineRule="exact"/>
        <w:rPr>
          <w:sz w:val="20"/>
          <w:szCs w:val="20"/>
          <w:color w:val="auto"/>
        </w:rPr>
      </w:pPr>
    </w:p>
    <w:p>
      <w:pPr>
        <w:ind w:left="660" w:right="140" w:hanging="652"/>
        <w:spacing w:after="0" w:line="266" w:lineRule="auto"/>
        <w:tabs>
          <w:tab w:leader="none" w:pos="3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June 30, 2024, filed on the date hereof with the Securities and Exchange Commission (the “Report”), fully complies with the requirements of Section 13(a) or 15(d) of the Securities Exchange Act of 1934, as amended; and</w:t>
      </w:r>
    </w:p>
    <w:p>
      <w:pPr>
        <w:spacing w:after="0" w:line="202" w:lineRule="exact"/>
        <w:rPr>
          <w:rFonts w:ascii="Times New Roman" w:cs="Times New Roman" w:eastAsia="Times New Roman" w:hAnsi="Times New Roman"/>
          <w:sz w:val="18"/>
          <w:szCs w:val="18"/>
          <w:color w:val="auto"/>
        </w:rPr>
      </w:pPr>
    </w:p>
    <w:p>
      <w:pPr>
        <w:ind w:left="660" w:right="720" w:hanging="652"/>
        <w:spacing w:after="0" w:line="282" w:lineRule="auto"/>
        <w:tabs>
          <w:tab w:leader="none" w:pos="40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6, 2024</w:t>
            </w:r>
          </w:p>
        </w:tc>
        <w:tc>
          <w:tcPr>
            <w:tcW w:w="50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By:  /s/ Paul A. Rode</w:t>
            </w:r>
          </w:p>
        </w:tc>
      </w:tr>
      <w:tr>
        <w:trPr>
          <w:trHeight w:val="218"/>
        </w:trPr>
        <w:tc>
          <w:tcPr>
            <w:tcW w:w="5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Paul A. Rode</w:t>
            </w:r>
          </w:p>
        </w:tc>
      </w:tr>
      <w:tr>
        <w:trPr>
          <w:trHeight w:val="234"/>
        </w:trPr>
        <w:tc>
          <w:tcPr>
            <w:tcW w:w="5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sectPr>
      <w:pgSz w:w="11900" w:h="16838" w:orient="portrait"/>
      <w:cols w:equalWidth="0" w:num="1">
        <w:col w:w="10460"/>
      </w:cols>
      <w:pgMar w:left="320" w:top="1440"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decimal"/>
      <w:start w:val="101"/>
    </w:lvl>
  </w:abstractNum>
  <w:abstractNum w:abstractNumId="7">
    <w:nsid w:val="216231B"/>
    <w:multiLevelType w:val="hybridMultilevel"/>
    <w:lvl w:ilvl="0">
      <w:lvlJc w:val="left"/>
      <w:lvlText w:val="*"/>
      <w:numFmt w:val="bullet"/>
      <w:start w:val="1"/>
    </w:lvl>
    <w:lvl w:ilvl="1">
      <w:lvlJc w:val="left"/>
      <w:lvlText w:val="%2"/>
      <w:numFmt w:val="decimal"/>
      <w:start w:val="104"/>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36" Type="http://schemas.openxmlformats.org/officeDocument/2006/relationships/hyperlink" Target="https://www.sec.gov/Archives/edgar/data/1772016/000119312521308736/d232418dex21.htm" TargetMode="External"/><Relationship Id="rId37" Type="http://schemas.openxmlformats.org/officeDocument/2006/relationships/hyperlink" Target="https://www.sec.gov/Archives/edgar/data/1772016/000119312522055719/d405795dex21.htm" TargetMode="External"/><Relationship Id="rId38" Type="http://schemas.openxmlformats.org/officeDocument/2006/relationships/hyperlink" Target="https://www.sec.gov/Archives/edgar/data/1772016/000119312522072132/d319129dex31.htm" TargetMode="External"/><Relationship Id="rId39" Type="http://schemas.openxmlformats.org/officeDocument/2006/relationships/hyperlink" Target="https://www.sec.gov/Archives/edgar/data/1772016/000119312522072132/d319129dex32.htm" TargetMode="External"/><Relationship Id="rId40" Type="http://schemas.openxmlformats.org/officeDocument/2006/relationships/hyperlink" Target="https://www.sec.gov/Archives/edgar/data/1772016/000119312522072132/d319129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2024-08-06T10:57:05Z</dcterms:created>
  <dcterms:modified xsi:type="dcterms:W3CDTF">2024-08-06T10:57:05Z</dcterms:modified>
</cp:coreProperties>
</file>