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32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BellRing Brands, Inc.</w:t>
      </w:r>
    </w:p>
    <w:p>
      <w:pPr>
        <w:spacing w:after="0" w:line="164"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6840" w:type="dxa"/>
            <w:vAlign w:val="bottom"/>
            <w:gridSpan w:val="3"/>
          </w:tcPr>
          <w:p>
            <w:pPr>
              <w:jc w:val="center"/>
              <w:ind w:left="2826"/>
              <w:spacing w:after="0"/>
              <w:rPr>
                <w:sz w:val="20"/>
                <w:szCs w:val="20"/>
                <w:color w:val="auto"/>
              </w:rPr>
            </w:pPr>
            <w:r>
              <w:rPr>
                <w:rFonts w:ascii="Arial" w:cs="Arial" w:eastAsia="Arial" w:hAnsi="Arial"/>
                <w:sz w:val="18"/>
                <w:szCs w:val="18"/>
                <w:color w:val="auto"/>
                <w:w w:val="90"/>
              </w:rPr>
              <w:t>(Exact name of registrant as specified in its charter)</w:t>
            </w:r>
          </w:p>
        </w:tc>
        <w:tc>
          <w:tcPr>
            <w:tcW w:w="2580" w:type="dxa"/>
            <w:vAlign w:val="bottom"/>
          </w:tcPr>
          <w:p>
            <w:pPr>
              <w:spacing w:after="0"/>
              <w:rPr>
                <w:sz w:val="20"/>
                <w:szCs w:val="20"/>
                <w:color w:val="auto"/>
              </w:rPr>
            </w:pPr>
          </w:p>
        </w:tc>
      </w:tr>
      <w:tr>
        <w:trPr>
          <w:trHeight w:val="269"/>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91"/>
              </w:rPr>
              <w:t>Delaware</w:t>
            </w:r>
          </w:p>
        </w:tc>
        <w:tc>
          <w:tcPr>
            <w:tcW w:w="1880" w:type="dxa"/>
            <w:vAlign w:val="bottom"/>
          </w:tcPr>
          <w:p>
            <w:pPr>
              <w:jc w:val="center"/>
              <w:ind w:left="844"/>
              <w:spacing w:after="0"/>
              <w:rPr>
                <w:sz w:val="20"/>
                <w:szCs w:val="20"/>
                <w:color w:val="auto"/>
              </w:rPr>
            </w:pPr>
            <w:r>
              <w:rPr>
                <w:rFonts w:ascii="Arial" w:cs="Arial" w:eastAsia="Arial" w:hAnsi="Arial"/>
                <w:sz w:val="20"/>
                <w:szCs w:val="20"/>
                <w:b w:val="1"/>
                <w:bCs w:val="1"/>
                <w:color w:val="auto"/>
                <w:w w:val="89"/>
              </w:rPr>
              <w:t>001-39093</w:t>
            </w:r>
          </w:p>
        </w:tc>
        <w:tc>
          <w:tcPr>
            <w:tcW w:w="1500" w:type="dxa"/>
            <w:vAlign w:val="bottom"/>
          </w:tcPr>
          <w:p>
            <w:pPr>
              <w:spacing w:after="0"/>
              <w:rPr>
                <w:sz w:val="23"/>
                <w:szCs w:val="23"/>
                <w:color w:val="auto"/>
              </w:rPr>
            </w:pPr>
          </w:p>
        </w:tc>
        <w:tc>
          <w:tcPr>
            <w:tcW w:w="2580" w:type="dxa"/>
            <w:vAlign w:val="bottom"/>
          </w:tcPr>
          <w:p>
            <w:pPr>
              <w:jc w:val="right"/>
              <w:ind w:right="686"/>
              <w:spacing w:after="0"/>
              <w:rPr>
                <w:sz w:val="20"/>
                <w:szCs w:val="20"/>
                <w:color w:val="auto"/>
              </w:rPr>
            </w:pPr>
            <w:r>
              <w:rPr>
                <w:rFonts w:ascii="Arial" w:cs="Arial" w:eastAsia="Arial" w:hAnsi="Arial"/>
                <w:sz w:val="20"/>
                <w:szCs w:val="20"/>
                <w:b w:val="1"/>
                <w:bCs w:val="1"/>
                <w:color w:val="auto"/>
              </w:rPr>
              <w:t>83-4096323</w:t>
            </w:r>
          </w:p>
        </w:tc>
      </w:tr>
      <w:tr>
        <w:trPr>
          <w:trHeight w:val="230"/>
        </w:trPr>
        <w:tc>
          <w:tcPr>
            <w:tcW w:w="3460" w:type="dxa"/>
            <w:vAlign w:val="bottom"/>
          </w:tcPr>
          <w:p>
            <w:pPr>
              <w:jc w:val="center"/>
              <w:ind w:right="206"/>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2"/>
          </w:tcPr>
          <w:p>
            <w:pPr>
              <w:jc w:val="center"/>
              <w:ind w:right="461"/>
              <w:spacing w:after="0"/>
              <w:rPr>
                <w:sz w:val="20"/>
                <w:szCs w:val="20"/>
                <w:color w:val="auto"/>
              </w:rPr>
            </w:pPr>
            <w:r>
              <w:rPr>
                <w:rFonts w:ascii="Arial" w:cs="Arial" w:eastAsia="Arial" w:hAnsi="Arial"/>
                <w:sz w:val="18"/>
                <w:szCs w:val="18"/>
                <w:color w:val="auto"/>
                <w:w w:val="92"/>
              </w:rPr>
              <w:t>(Commission File Number)</w:t>
            </w:r>
          </w:p>
        </w:tc>
        <w:tc>
          <w:tcPr>
            <w:tcW w:w="2580" w:type="dxa"/>
            <w:vAlign w:val="bottom"/>
          </w:tcPr>
          <w:p>
            <w:pPr>
              <w:jc w:val="center"/>
              <w:ind w:left="6"/>
              <w:spacing w:after="0"/>
              <w:rPr>
                <w:sz w:val="20"/>
                <w:szCs w:val="20"/>
                <w:color w:val="auto"/>
              </w:rPr>
            </w:pPr>
            <w:r>
              <w:rPr>
                <w:rFonts w:ascii="Arial" w:cs="Arial" w:eastAsia="Arial" w:hAnsi="Arial"/>
                <w:sz w:val="18"/>
                <w:szCs w:val="18"/>
                <w:color w:val="auto"/>
                <w:w w:val="94"/>
              </w:rPr>
              <w:t>(IRS Employer Identification No.)</w:t>
            </w:r>
          </w:p>
        </w:tc>
      </w:tr>
      <w:tr>
        <w:trPr>
          <w:trHeight w:val="580"/>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89"/>
              </w:rPr>
              <w:t>2503 S. Hanley Road</w:t>
            </w:r>
          </w:p>
        </w:tc>
        <w:tc>
          <w:tcPr>
            <w:tcW w:w="1880" w:type="dxa"/>
            <w:vAlign w:val="bottom"/>
          </w:tcPr>
          <w:p>
            <w:pPr>
              <w:ind w:left="280"/>
              <w:spacing w:after="0"/>
              <w:rPr>
                <w:sz w:val="20"/>
                <w:szCs w:val="20"/>
                <w:color w:val="auto"/>
              </w:rPr>
            </w:pPr>
            <w:r>
              <w:rPr>
                <w:rFonts w:ascii="Arial" w:cs="Arial" w:eastAsia="Arial" w:hAnsi="Arial"/>
                <w:sz w:val="20"/>
                <w:szCs w:val="20"/>
                <w:b w:val="1"/>
                <w:bCs w:val="1"/>
                <w:color w:val="auto"/>
              </w:rPr>
              <w:t>St. Louis</w:t>
            </w:r>
          </w:p>
        </w:tc>
        <w:tc>
          <w:tcPr>
            <w:tcW w:w="1500" w:type="dxa"/>
            <w:vAlign w:val="bottom"/>
          </w:tcPr>
          <w:p>
            <w:pPr>
              <w:ind w:left="60"/>
              <w:spacing w:after="0"/>
              <w:rPr>
                <w:sz w:val="20"/>
                <w:szCs w:val="20"/>
                <w:color w:val="auto"/>
              </w:rPr>
            </w:pPr>
            <w:r>
              <w:rPr>
                <w:rFonts w:ascii="Arial" w:cs="Arial" w:eastAsia="Arial" w:hAnsi="Arial"/>
                <w:sz w:val="20"/>
                <w:szCs w:val="20"/>
                <w:b w:val="1"/>
                <w:bCs w:val="1"/>
                <w:color w:val="auto"/>
              </w:rPr>
              <w:t>Missouri</w:t>
            </w:r>
          </w:p>
        </w:tc>
        <w:tc>
          <w:tcPr>
            <w:tcW w:w="2580" w:type="dxa"/>
            <w:vAlign w:val="bottom"/>
          </w:tcPr>
          <w:p>
            <w:pPr>
              <w:jc w:val="right"/>
              <w:ind w:right="906"/>
              <w:spacing w:after="0"/>
              <w:rPr>
                <w:sz w:val="20"/>
                <w:szCs w:val="20"/>
                <w:color w:val="auto"/>
              </w:rPr>
            </w:pPr>
            <w:r>
              <w:rPr>
                <w:rFonts w:ascii="Arial" w:cs="Arial" w:eastAsia="Arial" w:hAnsi="Arial"/>
                <w:sz w:val="20"/>
                <w:szCs w:val="20"/>
                <w:b w:val="1"/>
                <w:bCs w:val="1"/>
                <w:color w:val="auto"/>
              </w:rPr>
              <w:t>63144</w:t>
            </w:r>
          </w:p>
        </w:tc>
      </w:tr>
      <w:tr>
        <w:trPr>
          <w:trHeight w:val="230"/>
        </w:trPr>
        <w:tc>
          <w:tcPr>
            <w:tcW w:w="5340" w:type="dxa"/>
            <w:vAlign w:val="bottom"/>
            <w:gridSpan w:val="2"/>
          </w:tcPr>
          <w:p>
            <w:pPr>
              <w:ind w:left="1760"/>
              <w:spacing w:after="0"/>
              <w:rPr>
                <w:sz w:val="20"/>
                <w:szCs w:val="20"/>
                <w:color w:val="auto"/>
              </w:rPr>
            </w:pPr>
            <w:r>
              <w:rPr>
                <w:rFonts w:ascii="Arial" w:cs="Arial" w:eastAsia="Arial" w:hAnsi="Arial"/>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372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17"/>
                <w:szCs w:val="17"/>
                <w:color w:val="auto"/>
              </w:rPr>
            </w:pPr>
          </w:p>
        </w:tc>
        <w:tc>
          <w:tcPr>
            <w:tcW w:w="178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8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219075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BellRing Brands, Inc. (the “Company”) held its annual meeting of stockholders (the “Annual Meeting”) at the offices of Post Holdings, Inc., 2600 S. Hanley Rd., St. Louis, Missouri 63144 on Friday, February 11, 2022. At the Annual Meeting, 36,378,375 votes for the holders of 38,965,178 shares of the Class A common stock of the Company and 79,111,119 votes for the holder of 1 share of the Class B common stock of the Company, totaling 115,489,494</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votes of the common stock of the Company, were represented, constituting a 97.81% quorum. The final result for each of the matters submitted to a vote of the stockholders at the Annual Meeting are as follows:</w:t>
      </w:r>
    </w:p>
    <w:p>
      <w:pPr>
        <w:spacing w:after="0" w:line="211" w:lineRule="exact"/>
        <w:rPr>
          <w:sz w:val="20"/>
          <w:szCs w:val="20"/>
          <w:color w:val="auto"/>
        </w:rPr>
      </w:pPr>
    </w:p>
    <w:p>
      <w:pPr>
        <w:ind w:left="1040" w:right="14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Both of the nominees for director were elected to serve until the Company’s annual meeting of stockholders to be held in 2025 or until their respective successors are elected and qualified, by the votes set forth in the table below:</w:t>
      </w:r>
    </w:p>
    <w:tbl>
      <w:tblPr>
        <w:tblLayout w:type="fixed"/>
        <w:tblInd w:w="20" w:type="dxa"/>
        <w:tblCellMar>
          <w:top w:w="0" w:type="dxa"/>
          <w:left w:w="0" w:type="dxa"/>
          <w:bottom w:w="0" w:type="dxa"/>
          <w:right w:w="0" w:type="dxa"/>
        </w:tblCellMar>
      </w:tblPr>
      <w:tr>
        <w:trPr>
          <w:trHeight w:val="178"/>
        </w:trPr>
        <w:tc>
          <w:tcPr>
            <w:tcW w:w="2420" w:type="dxa"/>
            <w:vAlign w:val="bottom"/>
            <w:gridSpan w:val="2"/>
            <w:vMerge w:val="restart"/>
          </w:tcPr>
          <w:p>
            <w:pPr>
              <w:ind w:left="1240"/>
              <w:spacing w:after="0"/>
              <w:rPr>
                <w:sz w:val="20"/>
                <w:szCs w:val="20"/>
                <w:color w:val="auto"/>
              </w:rPr>
            </w:pPr>
            <w:r>
              <w:rPr>
                <w:rFonts w:ascii="Arial" w:cs="Arial" w:eastAsia="Arial" w:hAnsi="Arial"/>
                <w:sz w:val="18"/>
                <w:szCs w:val="18"/>
                <w:color w:val="auto"/>
              </w:rPr>
              <w:t>Nominee</w:t>
            </w:r>
          </w:p>
        </w:tc>
        <w:tc>
          <w:tcPr>
            <w:tcW w:w="720" w:type="dxa"/>
            <w:vAlign w:val="bottom"/>
          </w:tcPr>
          <w:p>
            <w:pPr>
              <w:spacing w:after="0"/>
              <w:rPr>
                <w:sz w:val="15"/>
                <w:szCs w:val="15"/>
                <w:color w:val="auto"/>
              </w:rPr>
            </w:pPr>
          </w:p>
        </w:tc>
        <w:tc>
          <w:tcPr>
            <w:tcW w:w="1100" w:type="dxa"/>
            <w:vAlign w:val="bottom"/>
            <w:gridSpan w:val="2"/>
            <w:vMerge w:val="restart"/>
          </w:tcPr>
          <w:p>
            <w:pPr>
              <w:jc w:val="center"/>
              <w:ind w:right="620"/>
              <w:spacing w:after="0"/>
              <w:rPr>
                <w:sz w:val="20"/>
                <w:szCs w:val="20"/>
                <w:color w:val="auto"/>
              </w:rPr>
            </w:pPr>
            <w:r>
              <w:rPr>
                <w:rFonts w:ascii="Arial" w:cs="Arial" w:eastAsia="Arial" w:hAnsi="Arial"/>
                <w:sz w:val="18"/>
                <w:szCs w:val="18"/>
                <w:color w:val="auto"/>
                <w:w w:val="88"/>
              </w:rPr>
              <w:t>For</w:t>
            </w:r>
          </w:p>
        </w:tc>
        <w:tc>
          <w:tcPr>
            <w:tcW w:w="1580" w:type="dxa"/>
            <w:vAlign w:val="bottom"/>
            <w:gridSpan w:val="3"/>
            <w:vMerge w:val="restart"/>
          </w:tcPr>
          <w:p>
            <w:pPr>
              <w:ind w:left="420"/>
              <w:spacing w:after="0"/>
              <w:rPr>
                <w:sz w:val="20"/>
                <w:szCs w:val="20"/>
                <w:color w:val="auto"/>
              </w:rPr>
            </w:pPr>
            <w:r>
              <w:rPr>
                <w:rFonts w:ascii="Arial" w:cs="Arial" w:eastAsia="Arial" w:hAnsi="Arial"/>
                <w:sz w:val="18"/>
                <w:szCs w:val="18"/>
                <w:color w:val="auto"/>
              </w:rPr>
              <w:t>Withhold</w:t>
            </w:r>
          </w:p>
        </w:tc>
        <w:tc>
          <w:tcPr>
            <w:tcW w:w="560" w:type="dxa"/>
            <w:vAlign w:val="bottom"/>
          </w:tcPr>
          <w:p>
            <w:pPr>
              <w:spacing w:after="0"/>
              <w:rPr>
                <w:sz w:val="15"/>
                <w:szCs w:val="15"/>
                <w:color w:val="auto"/>
              </w:rPr>
            </w:pPr>
          </w:p>
        </w:tc>
        <w:tc>
          <w:tcPr>
            <w:tcW w:w="1340" w:type="dxa"/>
            <w:vAlign w:val="bottom"/>
            <w:gridSpan w:val="2"/>
          </w:tcPr>
          <w:p>
            <w:pPr>
              <w:jc w:val="center"/>
              <w:ind w:right="750"/>
              <w:spacing w:after="0" w:line="178" w:lineRule="exact"/>
              <w:rPr>
                <w:sz w:val="20"/>
                <w:szCs w:val="20"/>
                <w:color w:val="auto"/>
              </w:rPr>
            </w:pPr>
            <w:r>
              <w:rPr>
                <w:rFonts w:ascii="Arial" w:cs="Arial" w:eastAsia="Arial" w:hAnsi="Arial"/>
                <w:sz w:val="18"/>
                <w:szCs w:val="18"/>
                <w:color w:val="auto"/>
                <w:w w:val="94"/>
              </w:rPr>
              <w:t>Broker</w:t>
            </w:r>
          </w:p>
        </w:tc>
        <w:tc>
          <w:tcPr>
            <w:tcW w:w="1940" w:type="dxa"/>
            <w:vAlign w:val="bottom"/>
            <w:gridSpan w:val="3"/>
          </w:tcPr>
          <w:p>
            <w:pPr>
              <w:jc w:val="right"/>
              <w:ind w:right="790"/>
              <w:spacing w:after="0" w:line="178" w:lineRule="exact"/>
              <w:rPr>
                <w:sz w:val="20"/>
                <w:szCs w:val="20"/>
                <w:color w:val="auto"/>
              </w:rPr>
            </w:pPr>
            <w:r>
              <w:rPr>
                <w:rFonts w:ascii="Arial" w:cs="Arial" w:eastAsia="Arial" w:hAnsi="Arial"/>
                <w:sz w:val="18"/>
                <w:szCs w:val="18"/>
                <w:color w:val="auto"/>
                <w:w w:val="92"/>
              </w:rPr>
              <w:t>Percentage of</w:t>
            </w:r>
          </w:p>
        </w:tc>
        <w:tc>
          <w:tcPr>
            <w:tcW w:w="0" w:type="dxa"/>
            <w:vAlign w:val="bottom"/>
          </w:tcPr>
          <w:p>
            <w:pPr>
              <w:spacing w:after="0"/>
              <w:rPr>
                <w:sz w:val="1"/>
                <w:szCs w:val="1"/>
                <w:color w:val="auto"/>
              </w:rPr>
            </w:pPr>
          </w:p>
        </w:tc>
      </w:tr>
      <w:tr>
        <w:trPr>
          <w:trHeight w:val="230"/>
        </w:trPr>
        <w:tc>
          <w:tcPr>
            <w:tcW w:w="24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w w:val="94"/>
              </w:rPr>
              <w:t>Non-Votes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Votes Cast For</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8"/>
                <w:szCs w:val="18"/>
                <w:color w:val="auto"/>
                <w:w w:val="85"/>
              </w:rPr>
              <w:t>Chonda J. Nwamu</w:t>
            </w: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1"/>
              </w:rPr>
              <w:t>99.</w:t>
            </w: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vMerge w:val="continue"/>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7"/>
              </w:rPr>
              <w:t>111,332,640</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675,529</w:t>
            </w:r>
          </w:p>
        </w:tc>
        <w:tc>
          <w:tcPr>
            <w:tcW w:w="190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9"/>
              </w:rPr>
              <w:t>3,481,325</w:t>
            </w:r>
          </w:p>
        </w:tc>
        <w:tc>
          <w:tcPr>
            <w:tcW w:w="3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6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w w:val="99"/>
              </w:rPr>
              <w:t>Robert V. Vitale</w:t>
            </w:r>
          </w:p>
        </w:tc>
        <w:tc>
          <w:tcPr>
            <w:tcW w:w="1140" w:type="dxa"/>
            <w:vAlign w:val="bottom"/>
          </w:tcPr>
          <w:p>
            <w:pPr>
              <w:spacing w:after="0"/>
              <w:rPr>
                <w:sz w:val="20"/>
                <w:szCs w:val="20"/>
                <w:color w:val="auto"/>
              </w:rPr>
            </w:pPr>
          </w:p>
        </w:tc>
        <w:tc>
          <w:tcPr>
            <w:tcW w:w="182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103,383,379</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8,624,790</w:t>
            </w:r>
          </w:p>
        </w:tc>
        <w:tc>
          <w:tcPr>
            <w:tcW w:w="190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3,481,325</w:t>
            </w:r>
          </w:p>
        </w:tc>
        <w:tc>
          <w:tcPr>
            <w:tcW w:w="1940" w:type="dxa"/>
            <w:vAlign w:val="bottom"/>
            <w:gridSpan w:val="3"/>
          </w:tcPr>
          <w:p>
            <w:pPr>
              <w:jc w:val="right"/>
              <w:ind w:right="1010"/>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40" w:right="10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8"/>
          <w:szCs w:val="18"/>
          <w:color w:val="auto"/>
        </w:rPr>
        <w:t>The appointment of PricewaterhouseCoopers LLP as the Company’s independent registered public accounting firm for fiscal year 2021 was ratified by the stockholders, by the votes set forth in the table below:</w:t>
      </w:r>
    </w:p>
    <w:tbl>
      <w:tblPr>
        <w:tblLayout w:type="fixed"/>
        <w:tblInd w:w="1300" w:type="dxa"/>
        <w:tblCellMar>
          <w:top w:w="0" w:type="dxa"/>
          <w:left w:w="0" w:type="dxa"/>
          <w:bottom w:w="0" w:type="dxa"/>
          <w:right w:w="0" w:type="dxa"/>
        </w:tblCellMar>
      </w:tblPr>
      <w:tr>
        <w:trPr>
          <w:trHeight w:val="178"/>
        </w:trPr>
        <w:tc>
          <w:tcPr>
            <w:tcW w:w="20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8"/>
              </w:rPr>
              <w:t>For</w:t>
            </w: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Against</w:t>
            </w: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Abstain</w:t>
            </w:r>
          </w:p>
        </w:tc>
        <w:tc>
          <w:tcPr>
            <w:tcW w:w="1460" w:type="dxa"/>
            <w:vAlign w:val="bottom"/>
          </w:tcPr>
          <w:p>
            <w:pPr>
              <w:jc w:val="center"/>
              <w:spacing w:after="0" w:line="178" w:lineRule="exact"/>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29"/>
        </w:trPr>
        <w:tc>
          <w:tcPr>
            <w:tcW w:w="202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Votes Cast For</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115,485,225</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3,306</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963</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040" w:hanging="1214"/>
        <w:spacing w:after="0" w:line="274" w:lineRule="auto"/>
        <w:tabs>
          <w:tab w:leader="none" w:pos="1020" w:val="left"/>
        </w:tabs>
        <w:rPr>
          <w:sz w:val="20"/>
          <w:szCs w:val="20"/>
          <w:color w:val="auto"/>
        </w:rPr>
      </w:pPr>
      <w:r>
        <w:rPr>
          <w:rFonts w:ascii="Arial" w:cs="Arial" w:eastAsia="Arial" w:hAnsi="Arial"/>
          <w:sz w:val="18"/>
          <w:szCs w:val="18"/>
          <w:i w:val="1"/>
          <w:iCs w:val="1"/>
          <w:color w:val="auto"/>
        </w:rPr>
        <w:t>Proposal 3:</w:t>
      </w:r>
      <w:r>
        <w:rPr>
          <w:sz w:val="20"/>
          <w:szCs w:val="20"/>
          <w:color w:val="auto"/>
        </w:rPr>
        <w:tab/>
      </w:r>
      <w:r>
        <w:rPr>
          <w:rFonts w:ascii="Arial" w:cs="Arial" w:eastAsia="Arial" w:hAnsi="Arial"/>
          <w:sz w:val="16"/>
          <w:szCs w:val="16"/>
          <w:color w:val="auto"/>
        </w:rPr>
        <w:t>The Company's executive compensation as described in the Company's Definitive Proxy Statement on Schedule 14A filed with the Securities and Exchange Commission on December XX, 2021, was approved by the non-binding advisory votes of the stockholders set forth in the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gridSpan w:val="3"/>
          </w:tcPr>
          <w:p>
            <w:pPr>
              <w:ind w:left="160"/>
              <w:spacing w:after="0"/>
              <w:rPr>
                <w:sz w:val="20"/>
                <w:szCs w:val="20"/>
                <w:color w:val="auto"/>
              </w:rPr>
            </w:pPr>
            <w:r>
              <w:rPr>
                <w:rFonts w:ascii="Arial" w:cs="Arial" w:eastAsia="Arial" w:hAnsi="Arial"/>
                <w:sz w:val="18"/>
                <w:szCs w:val="18"/>
                <w:color w:val="auto"/>
              </w:rPr>
              <w:t>table below:</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vMerge w:val="restart"/>
          </w:tcPr>
          <w:p>
            <w:pPr>
              <w:jc w:val="right"/>
              <w:ind w:right="393"/>
              <w:spacing w:after="0"/>
              <w:rPr>
                <w:sz w:val="20"/>
                <w:szCs w:val="20"/>
                <w:color w:val="auto"/>
              </w:rPr>
            </w:pPr>
            <w:r>
              <w:rPr>
                <w:rFonts w:ascii="Arial" w:cs="Arial" w:eastAsia="Arial" w:hAnsi="Arial"/>
                <w:sz w:val="18"/>
                <w:szCs w:val="18"/>
                <w:color w:val="auto"/>
              </w:rPr>
              <w:t>For</w:t>
            </w:r>
          </w:p>
        </w:tc>
        <w:tc>
          <w:tcPr>
            <w:tcW w:w="2040" w:type="dxa"/>
            <w:vAlign w:val="bottom"/>
            <w:gridSpan w:val="3"/>
            <w:vMerge w:val="restart"/>
          </w:tcPr>
          <w:p>
            <w:pPr>
              <w:ind w:left="940"/>
              <w:spacing w:after="0"/>
              <w:rPr>
                <w:sz w:val="20"/>
                <w:szCs w:val="20"/>
                <w:color w:val="auto"/>
              </w:rPr>
            </w:pPr>
            <w:r>
              <w:rPr>
                <w:rFonts w:ascii="Arial" w:cs="Arial" w:eastAsia="Arial" w:hAnsi="Arial"/>
                <w:sz w:val="18"/>
                <w:szCs w:val="18"/>
                <w:color w:val="auto"/>
              </w:rPr>
              <w:t>Against</w:t>
            </w:r>
          </w:p>
        </w:tc>
        <w:tc>
          <w:tcPr>
            <w:tcW w:w="1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Abstain</w:t>
            </w:r>
          </w:p>
        </w:tc>
        <w:tc>
          <w:tcPr>
            <w:tcW w:w="600" w:type="dxa"/>
            <w:vAlign w:val="bottom"/>
          </w:tcPr>
          <w:p>
            <w:pPr>
              <w:spacing w:after="0"/>
              <w:rPr>
                <w:sz w:val="15"/>
                <w:szCs w:val="15"/>
                <w:color w:val="auto"/>
              </w:rPr>
            </w:pPr>
          </w:p>
        </w:tc>
        <w:tc>
          <w:tcPr>
            <w:tcW w:w="1360" w:type="dxa"/>
            <w:vAlign w:val="bottom"/>
            <w:gridSpan w:val="2"/>
          </w:tcPr>
          <w:p>
            <w:pPr>
              <w:jc w:val="center"/>
              <w:ind w:right="730"/>
              <w:spacing w:after="0" w:line="176" w:lineRule="exact"/>
              <w:rPr>
                <w:sz w:val="20"/>
                <w:szCs w:val="20"/>
                <w:color w:val="auto"/>
              </w:rPr>
            </w:pPr>
            <w:r>
              <w:rPr>
                <w:rFonts w:ascii="Arial" w:cs="Arial" w:eastAsia="Arial" w:hAnsi="Arial"/>
                <w:sz w:val="18"/>
                <w:szCs w:val="18"/>
                <w:color w:val="auto"/>
                <w:w w:val="94"/>
              </w:rPr>
              <w:t>Broker</w:t>
            </w:r>
          </w:p>
        </w:tc>
        <w:tc>
          <w:tcPr>
            <w:tcW w:w="1920" w:type="dxa"/>
            <w:vAlign w:val="bottom"/>
            <w:gridSpan w:val="3"/>
          </w:tcPr>
          <w:p>
            <w:pPr>
              <w:jc w:val="right"/>
              <w:ind w:right="790"/>
              <w:spacing w:after="0" w:line="176" w:lineRule="exact"/>
              <w:rPr>
                <w:sz w:val="20"/>
                <w:szCs w:val="20"/>
                <w:color w:val="auto"/>
              </w:rPr>
            </w:pPr>
            <w:r>
              <w:rPr>
                <w:rFonts w:ascii="Arial" w:cs="Arial" w:eastAsia="Arial" w:hAnsi="Arial"/>
                <w:sz w:val="18"/>
                <w:szCs w:val="18"/>
                <w:color w:val="auto"/>
                <w:w w:val="90"/>
              </w:rPr>
              <w:t>Percentage of</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40" w:type="dxa"/>
            <w:vAlign w:val="bottom"/>
            <w:gridSpan w:val="3"/>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96"/>
              </w:rPr>
              <w:t>Non-Votes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Votes Cast For</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1"/>
              </w:rPr>
              <w:t>99.</w:t>
            </w: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74"/>
              </w:rPr>
              <w:t>111,146,734</w:t>
            </w:r>
          </w:p>
        </w:tc>
        <w:tc>
          <w:tcPr>
            <w:tcW w:w="20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785,899</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75,536</w:t>
            </w:r>
          </w:p>
        </w:tc>
        <w:tc>
          <w:tcPr>
            <w:tcW w:w="19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3,481,325</w:t>
            </w:r>
          </w:p>
        </w:tc>
        <w:tc>
          <w:tcPr>
            <w:tcW w:w="2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6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040" w:right="260" w:hanging="1214"/>
        <w:spacing w:after="0" w:line="258" w:lineRule="auto"/>
        <w:tabs>
          <w:tab w:leader="none" w:pos="1020" w:val="left"/>
        </w:tabs>
        <w:rPr>
          <w:sz w:val="20"/>
          <w:szCs w:val="20"/>
          <w:color w:val="auto"/>
        </w:rPr>
      </w:pPr>
      <w:r>
        <w:rPr>
          <w:rFonts w:ascii="Arial" w:cs="Arial" w:eastAsia="Arial" w:hAnsi="Arial"/>
          <w:sz w:val="18"/>
          <w:szCs w:val="18"/>
          <w:i w:val="1"/>
          <w:iCs w:val="1"/>
          <w:color w:val="auto"/>
        </w:rPr>
        <w:t>Proposal 4:</w:t>
      </w:r>
      <w:r>
        <w:rPr>
          <w:sz w:val="20"/>
          <w:szCs w:val="20"/>
          <w:color w:val="auto"/>
        </w:rPr>
        <w:tab/>
      </w:r>
      <w:r>
        <w:rPr>
          <w:rFonts w:ascii="Arial" w:cs="Arial" w:eastAsia="Arial" w:hAnsi="Arial"/>
          <w:sz w:val="18"/>
          <w:szCs w:val="18"/>
          <w:color w:val="auto"/>
        </w:rPr>
        <w:t>The determination of the frequency of advisory votes on executive compensation (every one, two or three years) received the non-binding advisory votes of the stockholders set forth in the table below:</w:t>
      </w:r>
    </w:p>
    <w:tbl>
      <w:tblPr>
        <w:tblLayout w:type="fixed"/>
        <w:tblInd w:w="0" w:type="dxa"/>
        <w:tblCellMar>
          <w:top w:w="0" w:type="dxa"/>
          <w:left w:w="0" w:type="dxa"/>
          <w:bottom w:w="0" w:type="dxa"/>
          <w:right w:w="0" w:type="dxa"/>
        </w:tblCellMar>
      </w:tblPr>
      <w:tr>
        <w:trPr>
          <w:trHeight w:val="177"/>
        </w:trPr>
        <w:tc>
          <w:tcPr>
            <w:tcW w:w="1400" w:type="dxa"/>
            <w:vAlign w:val="bottom"/>
            <w:gridSpan w:val="2"/>
            <w:vMerge w:val="restart"/>
          </w:tcPr>
          <w:p>
            <w:pPr>
              <w:jc w:val="right"/>
              <w:ind w:right="516"/>
              <w:spacing w:after="0"/>
              <w:rPr>
                <w:sz w:val="20"/>
                <w:szCs w:val="20"/>
                <w:color w:val="auto"/>
              </w:rPr>
            </w:pPr>
            <w:r>
              <w:rPr>
                <w:rFonts w:ascii="Arial" w:cs="Arial" w:eastAsia="Arial" w:hAnsi="Arial"/>
                <w:sz w:val="18"/>
                <w:szCs w:val="18"/>
                <w:color w:val="auto"/>
              </w:rPr>
              <w:t>One Year</w:t>
            </w:r>
          </w:p>
        </w:tc>
        <w:tc>
          <w:tcPr>
            <w:tcW w:w="1680" w:type="dxa"/>
            <w:vAlign w:val="bottom"/>
            <w:gridSpan w:val="3"/>
            <w:vMerge w:val="restart"/>
          </w:tcPr>
          <w:p>
            <w:pPr>
              <w:ind w:left="500"/>
              <w:spacing w:after="0"/>
              <w:rPr>
                <w:sz w:val="20"/>
                <w:szCs w:val="20"/>
                <w:color w:val="auto"/>
              </w:rPr>
            </w:pPr>
            <w:r>
              <w:rPr>
                <w:rFonts w:ascii="Arial" w:cs="Arial" w:eastAsia="Arial" w:hAnsi="Arial"/>
                <w:sz w:val="18"/>
                <w:szCs w:val="18"/>
                <w:color w:val="auto"/>
              </w:rPr>
              <w:t>Two Years</w:t>
            </w:r>
          </w:p>
        </w:tc>
        <w:tc>
          <w:tcPr>
            <w:tcW w:w="172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86"/>
              </w:rPr>
              <w:t>Three Years</w:t>
            </w:r>
          </w:p>
        </w:tc>
        <w:tc>
          <w:tcPr>
            <w:tcW w:w="152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3"/>
              </w:rPr>
              <w:t>Abstain</w:t>
            </w:r>
          </w:p>
        </w:tc>
        <w:tc>
          <w:tcPr>
            <w:tcW w:w="600" w:type="dxa"/>
            <w:vAlign w:val="bottom"/>
          </w:tcPr>
          <w:p>
            <w:pPr>
              <w:spacing w:after="0"/>
              <w:rPr>
                <w:sz w:val="15"/>
                <w:szCs w:val="15"/>
                <w:color w:val="auto"/>
              </w:rPr>
            </w:pPr>
          </w:p>
        </w:tc>
        <w:tc>
          <w:tcPr>
            <w:tcW w:w="1640" w:type="dxa"/>
            <w:vAlign w:val="bottom"/>
            <w:gridSpan w:val="2"/>
          </w:tcPr>
          <w:p>
            <w:pPr>
              <w:jc w:val="center"/>
              <w:ind w:right="1010"/>
              <w:spacing w:after="0" w:line="177" w:lineRule="exact"/>
              <w:rPr>
                <w:sz w:val="20"/>
                <w:szCs w:val="20"/>
                <w:color w:val="auto"/>
              </w:rPr>
            </w:pPr>
            <w:r>
              <w:rPr>
                <w:rFonts w:ascii="Arial" w:cs="Arial" w:eastAsia="Arial" w:hAnsi="Arial"/>
                <w:sz w:val="18"/>
                <w:szCs w:val="18"/>
                <w:color w:val="auto"/>
                <w:w w:val="94"/>
              </w:rPr>
              <w:t>Broker</w:t>
            </w:r>
          </w:p>
        </w:tc>
        <w:tc>
          <w:tcPr>
            <w:tcW w:w="0" w:type="dxa"/>
            <w:vAlign w:val="bottom"/>
          </w:tcPr>
          <w:p>
            <w:pPr>
              <w:spacing w:after="0"/>
              <w:rPr>
                <w:sz w:val="1"/>
                <w:szCs w:val="1"/>
                <w:color w:val="auto"/>
              </w:rPr>
            </w:pPr>
          </w:p>
        </w:tc>
      </w:tr>
      <w:tr>
        <w:trPr>
          <w:trHeight w:val="230"/>
        </w:trPr>
        <w:tc>
          <w:tcPr>
            <w:tcW w:w="1400" w:type="dxa"/>
            <w:vAlign w:val="bottom"/>
            <w:gridSpan w:val="2"/>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ind w:left="360"/>
              <w:spacing w:after="0"/>
              <w:rPr>
                <w:sz w:val="20"/>
                <w:szCs w:val="20"/>
                <w:color w:val="auto"/>
              </w:rPr>
            </w:pPr>
            <w:r>
              <w:rPr>
                <w:rFonts w:ascii="Arial" w:cs="Arial" w:eastAsia="Arial" w:hAnsi="Arial"/>
                <w:sz w:val="18"/>
                <w:szCs w:val="18"/>
                <w:color w:val="auto"/>
              </w:rPr>
              <w:t>Non-Votes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w w:val="74"/>
              </w:rPr>
              <w:t>106,712,176</w:t>
            </w:r>
          </w:p>
        </w:tc>
        <w:tc>
          <w:tcPr>
            <w:tcW w:w="1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5,172,798</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101,055</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22,140</w:t>
            </w:r>
          </w:p>
        </w:tc>
        <w:tc>
          <w:tcPr>
            <w:tcW w:w="2240" w:type="dxa"/>
            <w:vAlign w:val="bottom"/>
            <w:gridSpan w:val="3"/>
            <w:shd w:val="clear" w:color="auto" w:fill="CCEEFF"/>
          </w:tcPr>
          <w:p>
            <w:pPr>
              <w:jc w:val="right"/>
              <w:ind w:right="930"/>
              <w:spacing w:after="0"/>
              <w:rPr>
                <w:sz w:val="20"/>
                <w:szCs w:val="20"/>
                <w:color w:val="auto"/>
              </w:rPr>
            </w:pPr>
            <w:r>
              <w:rPr>
                <w:rFonts w:ascii="Arial" w:cs="Arial" w:eastAsia="Arial" w:hAnsi="Arial"/>
                <w:sz w:val="18"/>
                <w:szCs w:val="18"/>
                <w:color w:val="auto"/>
              </w:rPr>
              <w:t>3,481,325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1300" w:right="40"/>
        <w:spacing w:after="0" w:line="259" w:lineRule="auto"/>
        <w:rPr>
          <w:sz w:val="20"/>
          <w:szCs w:val="20"/>
          <w:color w:val="auto"/>
        </w:rPr>
      </w:pPr>
      <w:r>
        <w:rPr>
          <w:rFonts w:ascii="Arial" w:cs="Arial" w:eastAsia="Arial" w:hAnsi="Arial"/>
          <w:sz w:val="18"/>
          <w:szCs w:val="18"/>
          <w:color w:val="auto"/>
        </w:rPr>
        <w:t>Based on these results and other factors considered by the Board, the Board has determined that the Company will hold the advisory vote on executive compensation on an annual basis until the next required vote on the frequency of stockholder votes on the compensation of executives or the Board otherwise determines that a different frequency for such advisory votes is in the best interests of the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February 14, 2022</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r>
        <w:trPr>
          <w:trHeight w:val="317"/>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SVP, General Counsel and 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2022-02-14T16:30:09Z</dcterms:created>
  <dcterms:modified xsi:type="dcterms:W3CDTF">2022-02-14T16:30:09Z</dcterms:modified>
</cp:coreProperties>
</file>