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21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(Amendment No. 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Common Stock, par value $0.01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07831C103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21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233"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233"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33"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07831C103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Asset Management, L.P.</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2,144,220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2,144,220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2,144,220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1.6%</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PN</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897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07831C103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Capital Advisors, Inc.</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2,144,220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2,144,220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2,144,220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1.6%</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CO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07831C103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Cubist Systematic Strategies, LLC</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82,563</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82,563</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82,563</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&lt;0.1%</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OO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07831C103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jc w:val="right"/>
              <w:ind w:right="4972"/>
              <w:spacing w:after="0" w:line="250" w:lineRule="exact"/>
              <w:rPr>
                <w:sz w:val="20"/>
                <w:szCs w:val="20"/>
                <w:color w:val="auto"/>
              </w:rPr>
            </w:pPr>
            <w:r>
              <w:rPr>
                <w:rFonts w:ascii="Arial" w:cs="Arial" w:eastAsia="Arial" w:hAnsi="Arial"/>
                <w:sz w:val="22"/>
                <w:szCs w:val="22"/>
                <w:color w:val="auto"/>
                <w:w w:val="96"/>
              </w:rPr>
              <w:t>Point72 Hong Kong Limited</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jc w:val="right"/>
              <w:ind w:right="5712"/>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Hong Kong</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OO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7"/>
        </w:trPr>
        <w:tc>
          <w:tcPr>
            <w:tcW w:w="32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tcPr>
          <w:p>
            <w:pPr>
              <w:spacing w:after="0"/>
              <w:rPr>
                <w:sz w:val="24"/>
                <w:szCs w:val="24"/>
                <w:color w:val="auto"/>
              </w:rPr>
            </w:pPr>
          </w:p>
        </w:tc>
        <w:tc>
          <w:tcPr>
            <w:tcW w:w="8420" w:type="dxa"/>
            <w:vAlign w:val="bottom"/>
            <w:tcBorders>
              <w:top w:val="single" w:sz="8" w:color="auto"/>
              <w:bottom w:val="single" w:sz="8" w:color="auto"/>
            </w:tcBorders>
          </w:tcPr>
          <w:p>
            <w:pPr>
              <w:ind w:left="1780"/>
              <w:spacing w:after="0"/>
              <w:rPr>
                <w:sz w:val="20"/>
                <w:szCs w:val="20"/>
                <w:color w:val="auto"/>
              </w:rPr>
            </w:pPr>
            <w:r>
              <w:rPr>
                <w:rFonts w:ascii="Arial" w:cs="Arial" w:eastAsia="Arial" w:hAnsi="Arial"/>
                <w:sz w:val="22"/>
                <w:szCs w:val="22"/>
                <w:color w:val="auto"/>
              </w:rPr>
              <w:t>CUSIP No. 07831C103</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(1)</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w w:val="90"/>
              </w:rPr>
              <w:t>Names of reporting persons</w:t>
            </w:r>
          </w:p>
        </w:tc>
        <w:tc>
          <w:tcPr>
            <w:tcW w:w="842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22"/>
                <w:szCs w:val="22"/>
                <w:color w:val="auto"/>
              </w:rPr>
              <w:t>Point72 Middle East FZE</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9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842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842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9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United Arab Emirates</w:t>
            </w:r>
          </w:p>
        </w:tc>
      </w:tr>
      <w:tr>
        <w:trPr>
          <w:trHeight w:val="250"/>
        </w:trPr>
        <w:tc>
          <w:tcPr>
            <w:tcW w:w="11240" w:type="dxa"/>
            <w:vAlign w:val="bottom"/>
            <w:tcBorders>
              <w:bottom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84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84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1,287</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84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84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1,287</w:t>
            </w: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920" w:type="dxa"/>
            <w:vAlign w:val="bottom"/>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r>
      <w:tr>
        <w:trPr>
          <w:trHeight w:val="274"/>
        </w:trPr>
        <w:tc>
          <w:tcPr>
            <w:tcW w:w="32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1,287</w:t>
            </w:r>
          </w:p>
        </w:tc>
        <w:tc>
          <w:tcPr>
            <w:tcW w:w="8420" w:type="dxa"/>
            <w:vAlign w:val="bottom"/>
          </w:tcPr>
          <w:p>
            <w:pPr>
              <w:spacing w:after="0"/>
              <w:rPr>
                <w:sz w:val="23"/>
                <w:szCs w:val="23"/>
                <w:color w:val="auto"/>
              </w:rPr>
            </w:pPr>
          </w:p>
        </w:tc>
      </w:tr>
    </w:tbl>
    <w:p>
      <w:pPr>
        <w:ind w:left="40" w:right="5100"/>
        <w:spacing w:after="0" w:line="243" w:lineRule="auto"/>
        <w:rPr>
          <w:sz w:val="20"/>
          <w:szCs w:val="20"/>
          <w:color w:val="auto"/>
        </w:rPr>
      </w:pPr>
      <w:r>
        <w:rPr>
          <w:rFonts w:ascii="Arial" w:cs="Arial" w:eastAsia="Arial" w:hAnsi="Arial"/>
          <w:sz w:val="22"/>
          <w:szCs w:val="22"/>
          <w:color w:val="auto"/>
        </w:rPr>
        <w:t>(10) Check if the aggregate amount in Row (9) excludes certain shares (see instructions)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(11) Percent of class represented by amount in Row (9) &lt;0.1%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22"/>
          <w:szCs w:val="22"/>
          <w:color w:val="auto"/>
        </w:rPr>
        <w:t>(12) 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897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07831C103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Steven A. Cohen</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United States</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2,228,070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2,228,070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2,228,070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1.6%</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IN</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Item 1(a) Name of issuer: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2503 S. Hanley Road, St. Louis, Missouri 63144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statement is filed by: (i) Point72 Asset Management, L.P. (“Point72 Asset</w:t>
      </w:r>
    </w:p>
    <w:p>
      <w:pPr>
        <w:spacing w:after="0" w:line="238" w:lineRule="auto"/>
        <w:rPr>
          <w:sz w:val="20"/>
          <w:szCs w:val="20"/>
          <w:color w:val="auto"/>
        </w:rPr>
      </w:pPr>
      <w:r>
        <w:rPr>
          <w:rFonts w:ascii="Arial" w:cs="Arial" w:eastAsia="Arial" w:hAnsi="Arial"/>
          <w:sz w:val="22"/>
          <w:szCs w:val="22"/>
          <w:color w:val="auto"/>
        </w:rPr>
        <w:t>Management”) with respect to shares of common stock, par value $0.01 per share</w:t>
      </w:r>
    </w:p>
    <w:p>
      <w:pPr>
        <w:spacing w:after="0"/>
        <w:rPr>
          <w:sz w:val="20"/>
          <w:szCs w:val="20"/>
          <w:color w:val="auto"/>
        </w:rPr>
      </w:pPr>
      <w:r>
        <w:rPr>
          <w:rFonts w:ascii="Arial" w:cs="Arial" w:eastAsia="Arial" w:hAnsi="Arial"/>
          <w:sz w:val="21"/>
          <w:szCs w:val="21"/>
          <w:color w:val="auto"/>
        </w:rPr>
        <w:t>(“Shares”), of the Issuer held by an investment fund it manages; (ii) Point72 Capital Advisors,</w:t>
      </w:r>
    </w:p>
    <w:p>
      <w:pPr>
        <w:spacing w:after="0" w:line="231" w:lineRule="auto"/>
        <w:rPr>
          <w:sz w:val="20"/>
          <w:szCs w:val="20"/>
          <w:color w:val="auto"/>
        </w:rPr>
      </w:pPr>
      <w:r>
        <w:rPr>
          <w:rFonts w:ascii="Arial" w:cs="Arial" w:eastAsia="Arial" w:hAnsi="Arial"/>
          <w:sz w:val="22"/>
          <w:szCs w:val="22"/>
          <w:color w:val="auto"/>
        </w:rPr>
        <w:t>Inc. (“Point72 Capital Advisors Inc.”) with respect to Shares held by an investment fund</w:t>
      </w:r>
    </w:p>
    <w:p>
      <w:pPr>
        <w:spacing w:after="0" w:line="231" w:lineRule="auto"/>
        <w:rPr>
          <w:sz w:val="20"/>
          <w:szCs w:val="20"/>
          <w:color w:val="auto"/>
        </w:rPr>
      </w:pPr>
      <w:r>
        <w:rPr>
          <w:rFonts w:ascii="Arial" w:cs="Arial" w:eastAsia="Arial" w:hAnsi="Arial"/>
          <w:sz w:val="22"/>
          <w:szCs w:val="22"/>
          <w:color w:val="auto"/>
        </w:rPr>
        <w:t>managed by Point72 Asset Management; (iii) Cubist Systematic Strategies, LLC (“Cubist</w:t>
      </w:r>
    </w:p>
    <w:p>
      <w:pPr>
        <w:spacing w:after="0" w:line="231" w:lineRule="auto"/>
        <w:rPr>
          <w:sz w:val="20"/>
          <w:szCs w:val="20"/>
          <w:color w:val="auto"/>
        </w:rPr>
      </w:pPr>
      <w:r>
        <w:rPr>
          <w:rFonts w:ascii="Arial" w:cs="Arial" w:eastAsia="Arial" w:hAnsi="Arial"/>
          <w:sz w:val="22"/>
          <w:szCs w:val="22"/>
          <w:color w:val="auto"/>
        </w:rPr>
        <w:t>Systematic Strategies”) with respect to Shares held by an investment fund it manages; (iv)</w:t>
      </w:r>
    </w:p>
    <w:p>
      <w:pPr>
        <w:spacing w:after="0" w:line="230" w:lineRule="auto"/>
        <w:rPr>
          <w:sz w:val="20"/>
          <w:szCs w:val="20"/>
          <w:color w:val="auto"/>
        </w:rPr>
      </w:pPr>
      <w:r>
        <w:rPr>
          <w:rFonts w:ascii="Arial" w:cs="Arial" w:eastAsia="Arial" w:hAnsi="Arial"/>
          <w:sz w:val="22"/>
          <w:szCs w:val="22"/>
          <w:color w:val="auto"/>
        </w:rPr>
        <w:t>Point72 Hong Kong Limited (“Point72 Hong Kong”) with respect to Shares held by an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investment fund it manages; (v) Point72 Middle East FZE (“Point72 Middle East”) with respect</w:t>
      </w:r>
    </w:p>
    <w:p>
      <w:pPr>
        <w:spacing w:after="0" w:line="231" w:lineRule="auto"/>
        <w:rPr>
          <w:sz w:val="20"/>
          <w:szCs w:val="20"/>
          <w:color w:val="auto"/>
        </w:rPr>
      </w:pPr>
      <w:r>
        <w:rPr>
          <w:rFonts w:ascii="Arial" w:cs="Arial" w:eastAsia="Arial" w:hAnsi="Arial"/>
          <w:sz w:val="22"/>
          <w:szCs w:val="22"/>
          <w:color w:val="auto"/>
        </w:rPr>
        <w:t>to Shares held by an investment fund it manages and (vi) Steven A. Cohen</w:t>
      </w:r>
    </w:p>
    <w:p>
      <w:pPr>
        <w:spacing w:after="0" w:line="1" w:lineRule="exact"/>
        <w:rPr>
          <w:sz w:val="20"/>
          <w:szCs w:val="20"/>
          <w:color w:val="auto"/>
        </w:rPr>
      </w:pPr>
    </w:p>
    <w:p>
      <w:pPr>
        <w:ind w:right="1719"/>
        <w:spacing w:after="0" w:line="234" w:lineRule="auto"/>
        <w:rPr>
          <w:sz w:val="20"/>
          <w:szCs w:val="20"/>
          <w:color w:val="auto"/>
        </w:rPr>
      </w:pPr>
      <w:r>
        <w:rPr>
          <w:rFonts w:ascii="Arial" w:cs="Arial" w:eastAsia="Arial" w:hAnsi="Arial"/>
          <w:sz w:val="22"/>
          <w:szCs w:val="22"/>
          <w:color w:val="auto"/>
        </w:rPr>
        <w:t>(“Mr. Cohen”) with respect to Shares beneficially owned by Point72 Asset Management, Point72 Capital Advisors Inc., Cubist Systematic Strategies, Point72 Hong Kong, and Point72 Middle East.</w:t>
      </w:r>
    </w:p>
    <w:p>
      <w:pPr>
        <w:spacing w:after="0" w:line="214" w:lineRule="exact"/>
        <w:rPr>
          <w:sz w:val="20"/>
          <w:szCs w:val="20"/>
          <w:color w:val="auto"/>
        </w:rPr>
      </w:pPr>
    </w:p>
    <w:p>
      <w:pPr>
        <w:ind w:right="1699"/>
        <w:spacing w:after="0" w:line="236" w:lineRule="auto"/>
        <w:rPr>
          <w:sz w:val="20"/>
          <w:szCs w:val="20"/>
          <w:color w:val="auto"/>
        </w:rPr>
      </w:pPr>
      <w:r>
        <w:rPr>
          <w:rFonts w:ascii="Arial" w:cs="Arial" w:eastAsia="Arial" w:hAnsi="Arial"/>
          <w:sz w:val="22"/>
          <w:szCs w:val="22"/>
          <w:color w:val="auto"/>
        </w:rPr>
        <w:t>Point72 Asset Management, Point72 Capital Advisors Inc., Cubist Systematic Strategies, Point72 Hong Kong, Point72 Middle East,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33" w:lineRule="exact"/>
        <w:rPr>
          <w:sz w:val="20"/>
          <w:szCs w:val="20"/>
          <w:color w:val="auto"/>
        </w:rPr>
      </w:pPr>
    </w:p>
    <w:p>
      <w:pPr>
        <w:ind w:right="1979"/>
        <w:spacing w:after="0" w:line="273" w:lineRule="auto"/>
        <w:rPr>
          <w:sz w:val="20"/>
          <w:szCs w:val="20"/>
          <w:color w:val="auto"/>
        </w:rPr>
      </w:pPr>
      <w:r>
        <w:rPr>
          <w:rFonts w:ascii="Arial" w:cs="Arial" w:eastAsia="Arial" w:hAnsi="Arial"/>
          <w:sz w:val="19"/>
          <w:szCs w:val="19"/>
          <w:color w:val="auto"/>
        </w:rPr>
        <w:t>The address of the principal business office of (i) Point72 Asset Management, Point72 Capital Advisors Inc., and Mr. Cohen is 72 Cummings Point Road, Stamford, CT 06902; (ii) Cubist Systematic Strategies is 55 Hudson Yards, New York, NY 10001; (iii) Point72 Hong Kong is</w:t>
      </w:r>
    </w:p>
    <w:p>
      <w:pPr>
        <w:spacing w:after="0" w:line="1" w:lineRule="exact"/>
        <w:rPr>
          <w:sz w:val="20"/>
          <w:szCs w:val="20"/>
          <w:color w:val="auto"/>
        </w:rPr>
      </w:pPr>
    </w:p>
    <w:p>
      <w:pPr>
        <w:ind w:right="1279"/>
        <w:spacing w:after="0" w:line="234" w:lineRule="auto"/>
        <w:rPr>
          <w:sz w:val="20"/>
          <w:szCs w:val="20"/>
          <w:color w:val="auto"/>
        </w:rPr>
      </w:pPr>
      <w:r>
        <w:rPr>
          <w:rFonts w:ascii="Arial" w:cs="Arial" w:eastAsia="Arial" w:hAnsi="Arial"/>
          <w:sz w:val="22"/>
          <w:szCs w:val="22"/>
          <w:color w:val="auto"/>
        </w:rPr>
        <w:t>Suites 1102 – 1110, 11th Floor and 12th Floor, Chater House, 8 Connaught Road Central, Hong Kong; and (iv) Point72 Middle East is EO3, 04, Sheikh Rashid Tower, Dubai World Trade Centre, Dubai, United Arab Emirates.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33" w:lineRule="exact"/>
        <w:rPr>
          <w:sz w:val="20"/>
          <w:szCs w:val="20"/>
          <w:color w:val="auto"/>
        </w:rPr>
      </w:pPr>
    </w:p>
    <w:p>
      <w:pPr>
        <w:ind w:right="1799"/>
        <w:spacing w:after="0" w:line="252" w:lineRule="auto"/>
        <w:rPr>
          <w:sz w:val="20"/>
          <w:szCs w:val="20"/>
          <w:color w:val="auto"/>
        </w:rPr>
      </w:pPr>
      <w:r>
        <w:rPr>
          <w:rFonts w:ascii="Arial" w:cs="Arial" w:eastAsia="Arial" w:hAnsi="Arial"/>
          <w:sz w:val="21"/>
          <w:szCs w:val="21"/>
          <w:color w:val="auto"/>
        </w:rPr>
        <w:t>Point72 Asset Management is a Delaware limited partnership. Point72 Capital Advisors Inc. is a Delaware corporation. Cubist Systematic Strategies is a Delaware limited liability company. Point72 Hong Kong is a Hong Kong limited liability company. Point72 Middle East is a limited liability free zone establishment. Mr. Cohen is a United States citizen.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$0.01 per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07831C103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4" w:lineRule="exact"/>
        <w:rPr>
          <w:sz w:val="20"/>
          <w:szCs w:val="20"/>
          <w:color w:val="auto"/>
        </w:rPr>
      </w:pPr>
    </w:p>
    <w:p>
      <w:pPr>
        <w:jc w:val="both"/>
        <w:ind w:right="1779"/>
        <w:spacing w:after="0" w:line="257" w:lineRule="auto"/>
        <w:rPr>
          <w:sz w:val="20"/>
          <w:szCs w:val="20"/>
          <w:color w:val="auto"/>
        </w:rPr>
      </w:pPr>
      <w:r>
        <w:rPr>
          <w:rFonts w:ascii="Arial" w:cs="Arial" w:eastAsia="Arial" w:hAnsi="Arial"/>
          <w:sz w:val="21"/>
          <w:szCs w:val="21"/>
          <w:color w:val="auto"/>
        </w:rPr>
        <w:t>The information required by Items 4(a) – (c) is set forth in Rows (5) – (11) of the cover page for each Reporting Person hereto and is incorporated herein by reference for each Reporting Person. Such information is as of the close of business on December 31, 2022.</w:t>
      </w:r>
    </w:p>
    <w:p>
      <w:pPr>
        <w:spacing w:after="0" w:line="196" w:lineRule="exact"/>
        <w:rPr>
          <w:sz w:val="20"/>
          <w:szCs w:val="20"/>
          <w:color w:val="auto"/>
        </w:rPr>
      </w:pPr>
    </w:p>
    <w:p>
      <w:pPr>
        <w:ind w:right="1699"/>
        <w:spacing w:after="0" w:line="271"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Point72 Middle East,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Pursuant to an investment management agreement, Cubist Systematic Strategies maintains investment and voting power with respect to the securities held by an investment fund it manages. Pursuant to an investment management agreement, Point72 Hong Kong maintains investment and voting power with respect to the securities held by an investment fund it manages. Pursuant to an investment management agreement, Point72 Middle East maintains investment and voting power with respect to the securities held by an investment fund it manages. Mr. Cohen controls each of Point72 Asset Management, Point72 Capital Advisors Inc., Cubist Systematic Strategies, Point72 Hong Kong, and Point72 Middle East. The filing of this statement should not be construed as an admission that any of the foregoing persons or any reporting person is, for the purposes of Section 13 of the Act, the beneficial owner of the Shares reported herein.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[X].</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See Item 2(a)</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ind w:right="2779"/>
        <w:spacing w:after="0" w:line="249"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 w:name="page10"/>
    <w:bookmarkEnd w:id="9"/>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MIDDLE EAST FZE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Rafael Lopez Espinosa</w:t>
      </w:r>
    </w:p>
    <w:p>
      <w:pPr>
        <w:spacing w:after="0" w:line="238" w:lineRule="auto"/>
        <w:rPr>
          <w:sz w:val="20"/>
          <w:szCs w:val="20"/>
          <w:color w:val="auto"/>
        </w:rPr>
      </w:pPr>
      <w:r>
        <w:rPr>
          <w:rFonts w:ascii="Arial" w:cs="Arial" w:eastAsia="Arial" w:hAnsi="Arial"/>
          <w:sz w:val="22"/>
          <w:szCs w:val="22"/>
          <w:color w:val="auto"/>
        </w:rPr>
        <w:t>Name: Rafael Lopez Espinosa</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MIDDLE EAST FZE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Rafael Lopez Espinosa</w:t>
      </w:r>
    </w:p>
    <w:p>
      <w:pPr>
        <w:spacing w:after="0" w:line="238" w:lineRule="auto"/>
        <w:rPr>
          <w:sz w:val="20"/>
          <w:szCs w:val="20"/>
          <w:color w:val="auto"/>
        </w:rPr>
      </w:pPr>
      <w:r>
        <w:rPr>
          <w:rFonts w:ascii="Arial" w:cs="Arial" w:eastAsia="Arial" w:hAnsi="Arial"/>
          <w:sz w:val="22"/>
          <w:szCs w:val="22"/>
          <w:color w:val="auto"/>
        </w:rPr>
        <w:t>Name: Rafael Lopez Espinosa</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2023-02-14T15:37:01Z</dcterms:created>
  <dcterms:modified xsi:type="dcterms:W3CDTF">2023-02-14T15:37:01Z</dcterms:modified>
</cp:coreProperties>
</file>