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October 16, 2019.</w:t>
      </w:r>
    </w:p>
    <w:p>
      <w:pPr>
        <w:spacing w:after="0" w:line="27" w:lineRule="exact"/>
        <w:rPr>
          <w:sz w:val="24"/>
          <w:szCs w:val="24"/>
          <w:color w:val="auto"/>
        </w:rPr>
      </w:pPr>
    </w:p>
    <w:p>
      <w:pPr>
        <w:ind w:left="8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83185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107315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125095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0"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282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62"/>
              <w:spacing w:after="0"/>
              <w:rPr>
                <w:sz w:val="20"/>
                <w:szCs w:val="20"/>
                <w:color w:val="auto"/>
              </w:rPr>
            </w:pPr>
            <w:r>
              <w:rPr>
                <w:rFonts w:ascii="Arial" w:cs="Arial" w:eastAsia="Arial" w:hAnsi="Arial"/>
                <w:sz w:val="18"/>
                <w:szCs w:val="18"/>
                <w:b w:val="1"/>
                <w:bCs w:val="1"/>
                <w:color w:val="auto"/>
                <w:w w:val="89"/>
              </w:rPr>
              <w:t>2000</w:t>
            </w:r>
          </w:p>
        </w:tc>
        <w:tc>
          <w:tcPr>
            <w:tcW w:w="2200" w:type="dxa"/>
            <w:vAlign w:val="bottom"/>
          </w:tcPr>
          <w:p>
            <w:pPr>
              <w:jc w:val="center"/>
              <w:ind w:left="1002"/>
              <w:spacing w:after="0"/>
              <w:rPr>
                <w:sz w:val="20"/>
                <w:szCs w:val="20"/>
                <w:color w:val="auto"/>
              </w:rPr>
            </w:pPr>
            <w:r>
              <w:rPr>
                <w:rFonts w:ascii="Arial" w:cs="Arial" w:eastAsia="Arial" w:hAnsi="Arial"/>
                <w:sz w:val="18"/>
                <w:szCs w:val="18"/>
                <w:b w:val="1"/>
                <w:bCs w:val="1"/>
                <w:color w:val="auto"/>
                <w:w w:val="91"/>
              </w:rPr>
              <w:t>83-4096323</w:t>
            </w:r>
          </w:p>
        </w:tc>
      </w:tr>
      <w:tr>
        <w:trPr>
          <w:trHeight w:val="149"/>
        </w:trPr>
        <w:tc>
          <w:tcPr>
            <w:tcW w:w="2820" w:type="dxa"/>
            <w:vAlign w:val="bottom"/>
          </w:tcPr>
          <w:p>
            <w:pPr>
              <w:jc w:val="center"/>
              <w:ind w:right="8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20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200" w:type="dxa"/>
            <w:vAlign w:val="bottom"/>
          </w:tcPr>
          <w:p>
            <w:pPr>
              <w:jc w:val="center"/>
              <w:ind w:left="100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119380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2503 S. Hanley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 Louis, Missouri 63144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(314) 644-7600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Darcy Horn Davenport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BellRing Brands,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2503 S. Hanley Road</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 Louis, Missouri 63144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Telephone: (314) 644-7600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107950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57" w:lineRule="exact"/>
        <w:rPr>
          <w:sz w:val="24"/>
          <w:szCs w:val="24"/>
          <w:color w:val="auto"/>
        </w:rPr>
      </w:pPr>
    </w:p>
    <w:tbl>
      <w:tblPr>
        <w:tblLayout w:type="fixed"/>
        <w:tblInd w:w="50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380" w:type="dxa"/>
            <w:vAlign w:val="bottom"/>
          </w:tcPr>
          <w:p>
            <w:pPr>
              <w:ind w:left="1200"/>
              <w:spacing w:after="0"/>
              <w:rPr>
                <w:sz w:val="20"/>
                <w:szCs w:val="20"/>
                <w:color w:val="auto"/>
              </w:rPr>
            </w:pPr>
            <w:r>
              <w:rPr>
                <w:rFonts w:ascii="Arial" w:cs="Arial" w:eastAsia="Arial" w:hAnsi="Arial"/>
                <w:sz w:val="18"/>
                <w:szCs w:val="18"/>
                <w:b w:val="1"/>
                <w:bCs w:val="1"/>
                <w:i w:val="1"/>
                <w:iCs w:val="1"/>
                <w:color w:val="auto"/>
              </w:rPr>
              <w:t>Copies to:</w:t>
            </w:r>
          </w:p>
        </w:tc>
        <w:tc>
          <w:tcPr>
            <w:tcW w:w="3200" w:type="dxa"/>
            <w:vAlign w:val="bottom"/>
          </w:tcPr>
          <w:p>
            <w:pPr>
              <w:spacing w:after="0"/>
              <w:rPr>
                <w:sz w:val="20"/>
                <w:szCs w:val="20"/>
                <w:color w:val="auto"/>
              </w:rPr>
            </w:pPr>
          </w:p>
        </w:tc>
      </w:tr>
      <w:tr>
        <w:trPr>
          <w:trHeight w:val="265"/>
        </w:trPr>
        <w:tc>
          <w:tcPr>
            <w:tcW w:w="344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Tom W. Zook</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3"/>
              </w:rPr>
              <w:t>Diedre J. Gray</w:t>
            </w:r>
          </w:p>
        </w:tc>
        <w:tc>
          <w:tcPr>
            <w:tcW w:w="32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Ian D. Schuman</w:t>
            </w:r>
          </w:p>
        </w:tc>
      </w:tr>
      <w:tr>
        <w:trPr>
          <w:trHeight w:val="216"/>
        </w:trPr>
        <w:tc>
          <w:tcPr>
            <w:tcW w:w="344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Lewis Rice LLC</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Post Holdings, Inc.</w:t>
            </w:r>
          </w:p>
        </w:tc>
        <w:tc>
          <w:tcPr>
            <w:tcW w:w="3200" w:type="dxa"/>
            <w:vAlign w:val="bottom"/>
          </w:tcPr>
          <w:p>
            <w:pPr>
              <w:jc w:val="center"/>
              <w:ind w:left="590"/>
              <w:spacing w:after="0"/>
              <w:rPr>
                <w:sz w:val="20"/>
                <w:szCs w:val="20"/>
                <w:color w:val="auto"/>
              </w:rPr>
            </w:pPr>
            <w:r>
              <w:rPr>
                <w:rFonts w:ascii="Arial" w:cs="Arial" w:eastAsia="Arial" w:hAnsi="Arial"/>
                <w:sz w:val="18"/>
                <w:szCs w:val="18"/>
                <w:b w:val="1"/>
                <w:bCs w:val="1"/>
                <w:color w:val="auto"/>
                <w:w w:val="92"/>
              </w:rPr>
              <w:t>Benjamin D. Stern</w:t>
            </w:r>
          </w:p>
        </w:tc>
      </w:tr>
      <w:tr>
        <w:trPr>
          <w:trHeight w:val="216"/>
        </w:trPr>
        <w:tc>
          <w:tcPr>
            <w:tcW w:w="3440" w:type="dxa"/>
            <w:vAlign w:val="bottom"/>
          </w:tcPr>
          <w:p>
            <w:pPr>
              <w:jc w:val="center"/>
              <w:ind w:right="610"/>
              <w:spacing w:after="0"/>
              <w:rPr>
                <w:sz w:val="20"/>
                <w:szCs w:val="20"/>
                <w:color w:val="auto"/>
              </w:rPr>
            </w:pPr>
            <w:r>
              <w:rPr>
                <w:rFonts w:ascii="Arial" w:cs="Arial" w:eastAsia="Arial" w:hAnsi="Arial"/>
                <w:sz w:val="18"/>
                <w:szCs w:val="18"/>
                <w:b w:val="1"/>
                <w:bCs w:val="1"/>
                <w:color w:val="auto"/>
                <w:w w:val="89"/>
              </w:rPr>
              <w:t>600 Washington Avenue, Suite 2500</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2503 S. Hanley Road</w:t>
            </w:r>
          </w:p>
        </w:tc>
        <w:tc>
          <w:tcPr>
            <w:tcW w:w="3200" w:type="dxa"/>
            <w:vAlign w:val="bottom"/>
          </w:tcPr>
          <w:p>
            <w:pPr>
              <w:jc w:val="center"/>
              <w:ind w:left="590"/>
              <w:spacing w:after="0"/>
              <w:rPr>
                <w:sz w:val="20"/>
                <w:szCs w:val="20"/>
                <w:color w:val="auto"/>
              </w:rPr>
            </w:pPr>
            <w:r>
              <w:rPr>
                <w:rFonts w:ascii="Arial" w:cs="Arial" w:eastAsia="Arial" w:hAnsi="Arial"/>
                <w:sz w:val="18"/>
                <w:szCs w:val="18"/>
                <w:b w:val="1"/>
                <w:bCs w:val="1"/>
                <w:color w:val="auto"/>
                <w:w w:val="96"/>
              </w:rPr>
              <w:t>Latham &amp; Watkins LLP</w:t>
            </w:r>
          </w:p>
        </w:tc>
      </w:tr>
      <w:tr>
        <w:trPr>
          <w:trHeight w:val="216"/>
        </w:trPr>
        <w:tc>
          <w:tcPr>
            <w:tcW w:w="34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St. Louis, Missouri 63101</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St. Louis, Missouri 63144</w:t>
            </w:r>
          </w:p>
        </w:tc>
        <w:tc>
          <w:tcPr>
            <w:tcW w:w="320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885 Third Avenue</w:t>
            </w:r>
          </w:p>
        </w:tc>
      </w:tr>
      <w:tr>
        <w:trPr>
          <w:trHeight w:val="216"/>
        </w:trPr>
        <w:tc>
          <w:tcPr>
            <w:tcW w:w="344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Telephone: (314) 444-7671</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(314) 644-7600</w:t>
            </w:r>
          </w:p>
        </w:tc>
        <w:tc>
          <w:tcPr>
            <w:tcW w:w="3200" w:type="dxa"/>
            <w:vAlign w:val="bottom"/>
          </w:tcPr>
          <w:p>
            <w:pPr>
              <w:jc w:val="center"/>
              <w:ind w:left="590"/>
              <w:spacing w:after="0"/>
              <w:rPr>
                <w:sz w:val="20"/>
                <w:szCs w:val="20"/>
                <w:color w:val="auto"/>
              </w:rPr>
            </w:pPr>
            <w:r>
              <w:rPr>
                <w:rFonts w:ascii="Arial" w:cs="Arial" w:eastAsia="Arial" w:hAnsi="Arial"/>
                <w:sz w:val="18"/>
                <w:szCs w:val="18"/>
                <w:b w:val="1"/>
                <w:bCs w:val="1"/>
                <w:color w:val="auto"/>
                <w:w w:val="91"/>
              </w:rPr>
              <w:t>New York, New York 10022-4834</w:t>
            </w:r>
          </w:p>
        </w:tc>
      </w:tr>
      <w:tr>
        <w:trPr>
          <w:trHeight w:val="234"/>
        </w:trPr>
        <w:tc>
          <w:tcPr>
            <w:tcW w:w="3440" w:type="dxa"/>
            <w:vAlign w:val="bottom"/>
          </w:tcPr>
          <w:p>
            <w:pPr>
              <w:jc w:val="center"/>
              <w:ind w:right="590"/>
              <w:spacing w:after="0"/>
              <w:rPr>
                <w:sz w:val="20"/>
                <w:szCs w:val="20"/>
                <w:color w:val="auto"/>
              </w:rPr>
            </w:pPr>
            <w:r>
              <w:rPr>
                <w:rFonts w:ascii="Arial" w:cs="Arial" w:eastAsia="Arial" w:hAnsi="Arial"/>
                <w:sz w:val="18"/>
                <w:szCs w:val="18"/>
                <w:b w:val="1"/>
                <w:bCs w:val="1"/>
                <w:color w:val="auto"/>
                <w:w w:val="92"/>
              </w:rPr>
              <w:t>Fax: (314) 612-7671</w:t>
            </w: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w w:val="92"/>
              </w:rPr>
              <w:t>Fax: (314) 646-3367</w:t>
            </w:r>
          </w:p>
        </w:tc>
        <w:tc>
          <w:tcPr>
            <w:tcW w:w="3200" w:type="dxa"/>
            <w:vAlign w:val="bottom"/>
          </w:tcPr>
          <w:p>
            <w:pPr>
              <w:jc w:val="center"/>
              <w:ind w:left="590"/>
              <w:spacing w:after="0"/>
              <w:rPr>
                <w:sz w:val="20"/>
                <w:szCs w:val="20"/>
                <w:color w:val="auto"/>
              </w:rPr>
            </w:pPr>
            <w:r>
              <w:rPr>
                <w:rFonts w:ascii="Arial" w:cs="Arial" w:eastAsia="Arial" w:hAnsi="Arial"/>
                <w:sz w:val="18"/>
                <w:szCs w:val="18"/>
                <w:b w:val="1"/>
                <w:bCs w:val="1"/>
                <w:color w:val="auto"/>
                <w:w w:val="89"/>
              </w:rPr>
              <w:t>Telephone: (212)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128905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6"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 xml:space="preserve">Approximate date of commencement of proposed sale to public: </w:t>
      </w:r>
      <w:r>
        <w:rPr>
          <w:rFonts w:ascii="Arial" w:cs="Arial" w:eastAsia="Arial" w:hAnsi="Arial"/>
          <w:sz w:val="16"/>
          <w:szCs w:val="16"/>
          <w:color w:val="auto"/>
        </w:rPr>
        <w:t>As soon as practicable after this Registration Statement becomes effective.</w:t>
      </w:r>
    </w:p>
    <w:p>
      <w:pPr>
        <w:spacing w:after="0" w:line="144"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1"/>
        <w:spacing w:after="0" w:line="23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File No. 333-233867</w:t>
      </w:r>
    </w:p>
    <w:p>
      <w:pPr>
        <w:spacing w:after="0" w:line="74" w:lineRule="exact"/>
        <w:rPr>
          <w:sz w:val="24"/>
          <w:szCs w:val="24"/>
          <w:color w:val="auto"/>
        </w:rPr>
      </w:pPr>
    </w:p>
    <w:p>
      <w:pPr>
        <w:ind w:right="20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ind w:right="200" w:firstLine="441"/>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80"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99060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Proposed Maximum</w:t>
            </w:r>
          </w:p>
        </w:tc>
        <w:tc>
          <w:tcPr>
            <w:tcW w:w="154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3"/>
                <w:szCs w:val="13"/>
                <w:b w:val="1"/>
                <w:bCs w:val="1"/>
                <w:color w:val="auto"/>
              </w:rPr>
              <w:t>Proposed 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r>
              <w:rPr>
                <w:rFonts w:ascii="Arial" w:cs="Arial" w:eastAsia="Arial" w:hAnsi="Arial"/>
                <w:sz w:val="12"/>
                <w:szCs w:val="12"/>
                <w:b w:val="1"/>
                <w:bCs w:val="1"/>
                <w:color w:val="auto"/>
                <w:w w:val="92"/>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r>
              <w:rPr>
                <w:rFonts w:ascii="Arial" w:cs="Arial" w:eastAsia="Arial" w:hAnsi="Arial"/>
                <w:sz w:val="12"/>
                <w:szCs w:val="12"/>
                <w:b w:val="1"/>
                <w:bCs w:val="1"/>
                <w:color w:val="auto"/>
                <w:w w:val="91"/>
              </w:rPr>
              <w:t>(3)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4,928,571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$68,999,994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$8,956.20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40"/>
          </w:cols>
          <w:pgMar w:left="440" w:top="229" w:right="419" w:bottom="144" w:gutter="0" w:footer="0" w:header="0"/>
        </w:sectPr>
      </w:pPr>
    </w:p>
    <w:bookmarkStart w:id="1" w:name="page2"/>
    <w:bookmarkEnd w:id="1"/>
    <w:p>
      <w:pPr>
        <w:ind w:left="440" w:right="320" w:hanging="436"/>
        <w:spacing w:after="0" w:line="286"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only the additional number of shares of Class A common stock being registered, and includes 642,857 additional shares of Class A common stock that may be purchased by the underwriters upon exercise of their option to purchase additional shares. Does not include the securities that the Registrant previously registered on the Registration Statement on Form S-1, as amended (File No. 333-233867), which was declared effective by the Securities and Exchange Commission on October 16, 2019 (the “Prior Registration Statement”).</w:t>
      </w:r>
    </w:p>
    <w:p>
      <w:pPr>
        <w:spacing w:after="0" w:line="1" w:lineRule="exact"/>
        <w:rPr>
          <w:rFonts w:ascii="Arial" w:cs="Arial" w:eastAsia="Arial" w:hAnsi="Arial"/>
          <w:sz w:val="16"/>
          <w:szCs w:val="16"/>
          <w:color w:val="auto"/>
        </w:rPr>
      </w:pPr>
    </w:p>
    <w:p>
      <w:pPr>
        <w:ind w:left="440" w:hanging="436"/>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the public offering price.</w:t>
      </w:r>
    </w:p>
    <w:p>
      <w:pPr>
        <w:spacing w:after="0" w:line="9" w:lineRule="exact"/>
        <w:rPr>
          <w:rFonts w:ascii="Arial" w:cs="Arial" w:eastAsia="Arial" w:hAnsi="Arial"/>
          <w:sz w:val="18"/>
          <w:szCs w:val="18"/>
          <w:color w:val="auto"/>
        </w:rPr>
      </w:pPr>
    </w:p>
    <w:p>
      <w:pPr>
        <w:ind w:left="440" w:hanging="436"/>
        <w:spacing w:after="0" w:line="295"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is calculated in accordance with Rule 457(a) under the Securities Act of 1933, as amended (the “Securities Act”), based on the proposed maximum aggregate offering price. The Registrant previously paid a filing fee of $85,084.00 for the Prior Registration Statement. In accordance with Rule 462(b) under the Securities Act, an additional amount of securities having a proposed maximum aggregate offering price of $68,999,994 is hereby registered, which includes shares issuable upon the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85725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right="720" w:firstLine="428"/>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80010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00"/>
          </w:cols>
          <w:pgMar w:left="440" w:top="139"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 and Incorporation by Reference</w:t>
      </w:r>
    </w:p>
    <w:p>
      <w:pPr>
        <w:spacing w:after="0" w:line="22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This Registration Statement is being filed pursuant to Rule 462(b) under the Securities Act of 1933, as amended (the “Securities Act”), with respect to the registration of additional shares of Class A common stock, par value $0.01 per share (the “Class A common stock”), of BellRing Brands, Inc. (the “Registrant”). This Registration Statement relates to the public offering of securities contemplated by the earlier registration statement on Form S-1, as amended (File No. 333-233867) (the “Prior Registration Statement”), filed by the Registrant with the Securities and Exchange Commission (the “SEC”) pursuant to the Securities Act, which was declared effective by the SEC on October 16, 2019. The contents of the Prior Registration Statement, including all amendments and exhibits thereto, are incorporated by reference into this Registration Statement.</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The Registrant is filing this Registration Statement solely for the purpose of increasing the aggregate number of shares of Class A common stock offered by the Registrant by 4,928,571 shares of Class A common stock, which includes 642,857 shares of Class A common stock that may be sold pursuant to the underwriters’ option to purchase additional shares. The additional shares of Class A common stock that are being registered for issuance and sale are in an amount and at a price that together represent no more than 20% of the maximum aggregate offering price set forth in the Calculation of Registration Fee table contained in the Prior Registration Statement.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opinion and consents are listed in the Exhibit Index below and filed herewith.</w:t>
      </w:r>
    </w:p>
    <w:p>
      <w:pPr>
        <w:sectPr>
          <w:pgSz w:w="11900" w:h="16838" w:orient="portrait"/>
          <w:cols w:equalWidth="0" w:num="1">
            <w:col w:w="10980"/>
          </w:cols>
          <w:pgMar w:left="440" w:top="270"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3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INDEX</w:t>
            </w:r>
          </w:p>
        </w:tc>
      </w:tr>
      <w:tr>
        <w:trPr>
          <w:trHeight w:val="399"/>
        </w:trPr>
        <w:tc>
          <w:tcPr>
            <w:tcW w:w="6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500" w:type="dxa"/>
            <w:vAlign w:val="bottom"/>
          </w:tcPr>
          <w:p>
            <w:pPr>
              <w:spacing w:after="0"/>
              <w:rPr>
                <w:sz w:val="23"/>
                <w:szCs w:val="23"/>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0000EE"/>
              </w:rPr>
              <w:t>Opinion of Lewis Rice LLC</w:t>
            </w: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50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0000EE"/>
              </w:rPr>
              <w:t>Consent of PricewaterhouseCoopers LLP</w:t>
            </w: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0000EE"/>
              </w:rPr>
              <w:t>Consent of PricewaterhouseCoopers LLP</w:t>
            </w:r>
          </w:p>
        </w:tc>
      </w:tr>
      <w:tr>
        <w:trPr>
          <w:trHeight w:val="20"/>
        </w:trPr>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23.3</w:t>
            </w:r>
          </w:p>
        </w:tc>
        <w:tc>
          <w:tcPr>
            <w:tcW w:w="500" w:type="dxa"/>
            <w:vAlign w:val="bottom"/>
          </w:tcPr>
          <w:p>
            <w:pPr>
              <w:spacing w:after="0"/>
              <w:rPr>
                <w:sz w:val="24"/>
                <w:szCs w:val="24"/>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0000EE"/>
              </w:rPr>
              <w:t>Consent of Lewis Rice LLC (contained in Exhibit 5.1)</w:t>
            </w: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4"/>
                <w:szCs w:val="24"/>
                <w:color w:val="auto"/>
              </w:rPr>
            </w:pPr>
          </w:p>
        </w:tc>
        <w:tc>
          <w:tcPr>
            <w:tcW w:w="3920" w:type="dxa"/>
            <w:vAlign w:val="bottom"/>
            <w:tcBorders>
              <w:top w:val="single" w:sz="8" w:color="0000EE"/>
            </w:tcBorders>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Powers of Attorney (included on signature page)</w:t>
              </w:r>
            </w:hyperlink>
          </w:p>
        </w:tc>
        <w:tc>
          <w:tcPr>
            <w:tcW w:w="59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County of St. Louis, State of Missouri, on October 16, 2019.</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Darcy Horn Davenport</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Each of the undersigned officers and directors of BellRing Brands, Inc. hereby severally constitutes and appoints Darcy Horn Davenport, Diedre J. Gray, Paul A. Rode and Craig L. Rosenthal, and 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66"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18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V. Vitale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Executive Chairman</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16, 2019</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Robert V. Vitale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(Co-Principal Executive Officer and Director)</w:t>
            </w:r>
          </w:p>
        </w:tc>
        <w:tc>
          <w:tcPr>
            <w:tcW w:w="176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Darcy Horn Davenport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President and Chief Executive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16, 2019</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Darcy Horn Davenport</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(Co-Principal Executive Officer)</w:t>
            </w:r>
          </w:p>
        </w:tc>
        <w:tc>
          <w:tcPr>
            <w:tcW w:w="176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A. Rode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16, 2019</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Paul A. Rode</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 and Principal Accounting Officer)</w:t>
            </w:r>
          </w:p>
        </w:tc>
        <w:tc>
          <w:tcPr>
            <w:tcW w:w="176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 A. Zadoks</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16, 2019</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Jeff A. Zadoks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Diedre J. Gray</w:t>
            </w: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October 16, 2019</w:t>
            </w:r>
          </w:p>
        </w:tc>
      </w:tr>
      <w:tr>
        <w:trPr>
          <w:trHeight w:val="224"/>
        </w:trPr>
        <w:tc>
          <w:tcPr>
            <w:tcW w:w="4200" w:type="dxa"/>
            <w:vAlign w:val="bottom"/>
            <w:gridSpan w:val="2"/>
          </w:tcPr>
          <w:p>
            <w:pPr>
              <w:spacing w:after="0"/>
              <w:rPr>
                <w:sz w:val="20"/>
                <w:szCs w:val="20"/>
                <w:color w:val="auto"/>
              </w:rPr>
            </w:pPr>
            <w:r>
              <w:rPr>
                <w:rFonts w:ascii="Arial" w:cs="Arial" w:eastAsia="Arial" w:hAnsi="Arial"/>
                <w:sz w:val="18"/>
                <w:szCs w:val="18"/>
                <w:color w:val="auto"/>
              </w:rPr>
              <w:t>Diedre J. Gray</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40"/>
          </w:cols>
          <w:pgMar w:left="440" w:top="270" w:right="41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860" w:type="dxa"/>
            <w:vAlign w:val="bottom"/>
          </w:tcPr>
          <w:p>
            <w:pPr>
              <w:ind w:left="5020"/>
              <w:spacing w:after="0"/>
              <w:rPr>
                <w:sz w:val="20"/>
                <w:szCs w:val="20"/>
                <w:color w:val="auto"/>
              </w:rPr>
            </w:pPr>
            <w:r>
              <w:rPr>
                <w:rFonts w:ascii="Arial" w:cs="Arial" w:eastAsia="Arial" w:hAnsi="Arial"/>
                <w:sz w:val="18"/>
                <w:szCs w:val="18"/>
                <w:b w:val="1"/>
                <w:bCs w:val="1"/>
                <w:color w:val="auto"/>
                <w:w w:val="91"/>
              </w:rPr>
              <w:t>Exhibit 5.1</w:t>
            </w:r>
          </w:p>
        </w:tc>
      </w:tr>
      <w:tr>
        <w:trPr>
          <w:trHeight w:val="720"/>
        </w:trPr>
        <w:tc>
          <w:tcPr>
            <w:tcW w:w="820" w:type="dxa"/>
            <w:vAlign w:val="bottom"/>
          </w:tcPr>
          <w:p>
            <w:pPr>
              <w:spacing w:after="0"/>
              <w:rPr>
                <w:sz w:val="20"/>
                <w:szCs w:val="20"/>
                <w:color w:val="auto"/>
              </w:rPr>
            </w:pPr>
            <w:r>
              <w:rPr>
                <w:rFonts w:ascii="Arial" w:cs="Arial" w:eastAsia="Arial" w:hAnsi="Arial"/>
                <w:sz w:val="14"/>
                <w:szCs w:val="14"/>
                <w:b w:val="1"/>
                <w:bCs w:val="1"/>
                <w:color w:val="auto"/>
                <w:w w:val="93"/>
              </w:rPr>
              <w:t>314.444.7600</w:t>
            </w:r>
          </w:p>
        </w:tc>
        <w:tc>
          <w:tcPr>
            <w:tcW w:w="4340" w:type="dxa"/>
            <w:vAlign w:val="bottom"/>
          </w:tcPr>
          <w:p>
            <w:pPr>
              <w:ind w:left="20"/>
              <w:spacing w:after="0"/>
              <w:rPr>
                <w:sz w:val="20"/>
                <w:szCs w:val="20"/>
                <w:color w:val="auto"/>
              </w:rPr>
            </w:pPr>
            <w:r>
              <w:rPr>
                <w:rFonts w:ascii="Arial" w:cs="Arial" w:eastAsia="Arial" w:hAnsi="Arial"/>
                <w:sz w:val="14"/>
                <w:szCs w:val="14"/>
                <w:i w:val="1"/>
                <w:iCs w:val="1"/>
                <w:color w:val="auto"/>
              </w:rPr>
              <w:t>(direct)</w:t>
            </w:r>
          </w:p>
        </w:tc>
        <w:tc>
          <w:tcPr>
            <w:tcW w:w="5860" w:type="dxa"/>
            <w:vAlign w:val="bottom"/>
          </w:tcPr>
          <w:p>
            <w:pPr>
              <w:ind w:left="3900"/>
              <w:spacing w:after="0"/>
              <w:rPr>
                <w:sz w:val="20"/>
                <w:szCs w:val="20"/>
                <w:color w:val="auto"/>
              </w:rPr>
            </w:pPr>
            <w:r>
              <w:rPr>
                <w:rFonts w:ascii="Arial" w:cs="Arial" w:eastAsia="Arial" w:hAnsi="Arial"/>
                <w:sz w:val="14"/>
                <w:szCs w:val="14"/>
                <w:b w:val="1"/>
                <w:bCs w:val="1"/>
                <w:color w:val="auto"/>
              </w:rPr>
              <w:t>600 Washington Avenue</w:t>
            </w: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b w:val="1"/>
                <w:bCs w:val="1"/>
                <w:color w:val="auto"/>
                <w:w w:val="93"/>
              </w:rPr>
              <w:t>314.241.6056</w:t>
            </w:r>
          </w:p>
        </w:tc>
        <w:tc>
          <w:tcPr>
            <w:tcW w:w="434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(fax)</w:t>
            </w:r>
          </w:p>
        </w:tc>
        <w:tc>
          <w:tcPr>
            <w:tcW w:w="5860" w:type="dxa"/>
            <w:vAlign w:val="bottom"/>
          </w:tcPr>
          <w:p>
            <w:pPr>
              <w:ind w:left="3900"/>
              <w:spacing w:after="0" w:line="149" w:lineRule="exact"/>
              <w:rPr>
                <w:sz w:val="20"/>
                <w:szCs w:val="20"/>
                <w:color w:val="auto"/>
              </w:rPr>
            </w:pPr>
            <w:r>
              <w:rPr>
                <w:rFonts w:ascii="Arial" w:cs="Arial" w:eastAsia="Arial" w:hAnsi="Arial"/>
                <w:sz w:val="14"/>
                <w:szCs w:val="14"/>
                <w:b w:val="1"/>
                <w:bCs w:val="1"/>
                <w:color w:val="auto"/>
              </w:rPr>
              <w:t>Suite 2500</w:t>
            </w:r>
          </w:p>
        </w:tc>
      </w:tr>
      <w:tr>
        <w:trPr>
          <w:trHeight w:val="186"/>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www.lewisrice.com</w:t>
            </w:r>
          </w:p>
        </w:tc>
        <w:tc>
          <w:tcPr>
            <w:tcW w:w="5860" w:type="dxa"/>
            <w:vAlign w:val="bottom"/>
          </w:tcPr>
          <w:p>
            <w:pPr>
              <w:ind w:left="3900"/>
              <w:spacing w:after="0"/>
              <w:rPr>
                <w:sz w:val="20"/>
                <w:szCs w:val="20"/>
                <w:color w:val="auto"/>
              </w:rPr>
            </w:pPr>
            <w:r>
              <w:rPr>
                <w:rFonts w:ascii="Arial" w:cs="Arial" w:eastAsia="Arial" w:hAnsi="Arial"/>
                <w:sz w:val="14"/>
                <w:szCs w:val="14"/>
                <w:b w:val="1"/>
                <w:bCs w:val="1"/>
                <w:color w:val="auto"/>
              </w:rPr>
              <w:t>St. Louis, Missouri 63101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-514985</wp:posOffset>
            </wp:positionV>
            <wp:extent cx="126936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22288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16,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 63144</w:t>
      </w:r>
    </w:p>
    <w:p>
      <w:pPr>
        <w:spacing w:after="0" w:line="23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We have acted as counsel to BellRing Brands,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proposed issuance and sale by the Company of shares of the Company’s Class A common stock, par value $0.01 per share (the “</w:t>
      </w:r>
      <w:r>
        <w:rPr>
          <w:rFonts w:ascii="Arial" w:cs="Arial" w:eastAsia="Arial" w:hAnsi="Arial"/>
          <w:sz w:val="16"/>
          <w:szCs w:val="16"/>
          <w:u w:val="single" w:color="auto"/>
          <w:color w:val="auto"/>
        </w:rPr>
        <w:t>Class A Common</w:t>
      </w:r>
      <w:r>
        <w:rPr>
          <w:rFonts w:ascii="Arial" w:cs="Arial" w:eastAsia="Arial" w:hAnsi="Arial"/>
          <w:sz w:val="16"/>
          <w:szCs w:val="16"/>
          <w:color w:val="auto"/>
        </w:rPr>
        <w:t>”), as described in the Company’s registration statement on Form S-1 (No. 333-233867) (as amended, the “</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originally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September 20, 2019 pursuant to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a registration statement relating to the Initial Registration Statement filed pursuant to Rule 462(b) promulgated under the Securities Act (the</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462(b) Registration Statement</w:t>
      </w:r>
      <w:r>
        <w:rPr>
          <w:rFonts w:ascii="Arial" w:cs="Arial" w:eastAsia="Arial" w:hAnsi="Arial"/>
          <w:sz w:val="17"/>
          <w:szCs w:val="17"/>
          <w:color w:val="auto"/>
        </w:rPr>
        <w:t>” and together with the Initial Registration Statement,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Section 462(b) Registration Statement relates to the registration of 4,928,571 shares of Class A Common of the Company (the “</w:t>
      </w:r>
      <w:r>
        <w:rPr>
          <w:rFonts w:ascii="Arial" w:cs="Arial" w:eastAsia="Arial" w:hAnsi="Arial"/>
          <w:sz w:val="17"/>
          <w:szCs w:val="17"/>
          <w:u w:val="single" w:color="auto"/>
          <w:color w:val="auto"/>
        </w:rPr>
        <w:t>Additional Shares</w:t>
      </w:r>
      <w:r>
        <w:rPr>
          <w:rFonts w:ascii="Arial" w:cs="Arial" w:eastAsia="Arial" w:hAnsi="Arial"/>
          <w:sz w:val="17"/>
          <w:szCs w:val="17"/>
          <w:color w:val="auto"/>
        </w:rPr>
        <w:t>,” and, with the shares of Class A Common registered by the Company pursuant to the Initial Registration Statement,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73"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This opinion letter is being furnished to the Company in accordance with the requirements of Item 601(b)(5) of the Commission’s Regulation S-K, and no opinion is expressed herein as to any matter pertaining to the contents of the Registration Statement, including the prospectus contained therein, other than as expressly stated herein with respect to the issuance of the Additional Shares.</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the Securities Act, and we express no opinion with respect to any other laws.</w:t>
      </w:r>
    </w:p>
    <w:p>
      <w:pPr>
        <w:spacing w:after="0" w:line="187"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form of Amended and Restated Certificate of Incorporation of the Company in the form filed as Exhibit 3.1 to the Registration Statement, which is to be filed with the Secretary of State of the State of Delaware prior to the completion of the issuance and sale of the Shares; (ii) the form of Amended and Restated Bylaws of the Company in the form filed as Exhibit 3.2 to the Registration Statement, which are to be effective upon the completion of the issuance and sale of the Shares; (iii) certain resolutions of the board of directors of the Company relating to the issuance, sale and registration of the Shares under the Registration Statement and to the formation transactions described in the Registration Statement; (iv) the form of Underwriting Agreement filed as Exhibit 1.1 to the Registration Statement; and (v) the Registration Statement. In addition, we have examined originals or copies, certified or otherwise identified to our satisfaction, of certain other corporate records, documents, instruments and certificates of public officials and of the Company, and we have made such inquiries of officers of the Company and public officials and considered such questions of law as we have deemed necessary for purposes of rendering the opinions set forth herein. As to the facts upon which this opinion is based, we have relied upon certificates of public officials and certificates and written statements of officers, directors, employees and representatives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Established 1909</w:t>
      </w:r>
    </w:p>
    <w:p>
      <w:pPr>
        <w:sectPr>
          <w:pgSz w:w="11900" w:h="16838" w:orient="portrait"/>
          <w:cols w:equalWidth="0" w:num="1">
            <w:col w:w="11020"/>
          </w:cols>
          <w:pgMar w:left="440"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3150235</wp:posOffset>
            </wp:positionH>
            <wp:positionV relativeFrom="page">
              <wp:posOffset>183515</wp:posOffset>
            </wp:positionV>
            <wp:extent cx="126936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69365" cy="222885"/>
                    </a:xfrm>
                    <a:prstGeom prst="rect">
                      <a:avLst/>
                    </a:prstGeom>
                    <a:noFill/>
                  </pic:spPr>
                </pic:pic>
              </a:graphicData>
            </a:graphic>
          </wp:anchor>
        </w:drawing>
        <w:t>BellRing Brands,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In rendering this opinion, we have assumed the genuineness and authenticity of all signatures on original documents; the authenticity of all documents submitted to us as originals; the conformity to originals of all documents submitted to us as copies; the legal capacity of natural persons who are signatories to the documents examined by us; the accuracy, completeness and authenticity of certificates of public officials; the due authorization, execution and delivery of all documents where authorization, execution and delivery are prerequisites to the effectiveness of such documents; and the legal power and authority of all persons (other than officers of the Company) signing on behalf of the parties to all documents.</w:t>
      </w:r>
    </w:p>
    <w:p>
      <w:pPr>
        <w:spacing w:after="0" w:line="158" w:lineRule="exact"/>
        <w:rPr>
          <w:sz w:val="20"/>
          <w:szCs w:val="20"/>
          <w:color w:val="auto"/>
        </w:rPr>
      </w:pPr>
    </w:p>
    <w:p>
      <w:pPr>
        <w:ind w:right="200" w:firstLine="441"/>
        <w:spacing w:after="0" w:line="279" w:lineRule="auto"/>
        <w:rPr>
          <w:sz w:val="20"/>
          <w:szCs w:val="20"/>
          <w:color w:val="auto"/>
        </w:rPr>
      </w:pPr>
      <w:r>
        <w:rPr>
          <w:rFonts w:ascii="Arial" w:cs="Arial" w:eastAsia="Arial" w:hAnsi="Arial"/>
          <w:sz w:val="17"/>
          <w:szCs w:val="17"/>
          <w:color w:val="auto"/>
        </w:rPr>
        <w:t>Subject to the foregoing, it is our opinion that, as of the date hereof, the Additional Shares have been duly authorized by all necessary corporate action of the Company, and, when the Additional Shares shall have been duly registered on the books of the transfer agent or registrar therefor in the name of or on behalf of the purchasers, and have been issued by the Company against payment therefor as contemplated by the Underwriting Agreement, the Additional Shares will be validly issued, fully paid and nonassessable.</w:t>
      </w:r>
    </w:p>
    <w:p>
      <w:pPr>
        <w:spacing w:after="0" w:line="17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Securities Act. We consent to your filing this opinion as Exhibit 5.1 to the Registration Statement and to the reference to our firm contained in the Registration Statement under the heading “Legal Matters.” In giving such consent, we do not thereby admit that we are in the category of persons whose consent is required under Section 7 of the Securities Act or the rules and regulations of the Commission thereunder. This opinion and consent may be incorporated by reference in a subsequent registration statement on Form S-1 filed pursuant to Rule 462(b) under the Securities Act with respect to the registration of additional securities for sale in the offering contemplated by the Registration Statement and shall cover such additional securities, if any, registered on such subsequent registration statement.</w:t>
      </w:r>
    </w:p>
    <w:p>
      <w:pPr>
        <w:spacing w:after="0" w:line="1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LEWIS RICE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Lewis Rice LLC</w:t>
      </w:r>
    </w:p>
    <w:p>
      <w:pPr>
        <w:sectPr>
          <w:pgSz w:w="11900" w:h="16838" w:orient="portrait"/>
          <w:cols w:equalWidth="0" w:num="1">
            <w:col w:w="10980"/>
          </w:cols>
          <w:pgMar w:left="440" w:top="679"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S-1 of our report dated August 8, 2019 relating to the financial statement of BellRing Brands, Inc., which appears in Amendment No. 2 to the Registration Statement on Form S-1 (No. 333-233867) of BellRing Brands, Inc. We also consent to the reference to us under the heading “Experts” in Amendment No. 2 to the Registration Statement on Form S-1 (No. 333-233867) incorporated by reference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color w:val="auto"/>
        </w:rPr>
        <w:t>We hereby consent to the incorporation by reference in this Registration Statement on Form S-1 of our report dated April 5, 2019 relating to the financial statements of Active Nutrition (the combination of Premier Nutrition Corporation, Dymatize Enterprises, LLC and Active Nutrition International GmbH of Post Holdings, Inc.), which appears in Amendment No. 2 to the Registration Statement on Form S-1 (No. 333-233867) of BellRing Brands, Inc. We also consent to the reference to us under the heading “Experts” in Amendment No. 2 to the Registration Statement on Form S-1 (No. 333-233867) incorporated by reference in this Registration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2019-12-04T22:54:54Z</dcterms:created>
  <dcterms:modified xsi:type="dcterms:W3CDTF">2019-12-04T22:54:54Z</dcterms:modified>
</cp:coreProperties>
</file>