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16"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27305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-177800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7" w:lineRule="exact"/>
        <w:rPr>
          <w:sz w:val="24"/>
          <w:szCs w:val="24"/>
          <w:color w:val="auto"/>
        </w:rPr>
      </w:pPr>
    </w:p>
    <w:p>
      <w:pPr>
        <w:jc w:val="center"/>
        <w:ind w:left="4080" w:right="1560" w:hanging="2516"/>
        <w:spacing w:after="0" w:line="246" w:lineRule="auto"/>
        <w:tabs>
          <w:tab w:leader="none" w:pos="1779"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2023</w:t>
      </w: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14" w:lineRule="exact"/>
        <w:rPr>
          <w:rFonts w:ascii="MS PGothic" w:cs="MS PGothic" w:eastAsia="MS PGothic" w:hAnsi="MS PGothic"/>
          <w:sz w:val="18"/>
          <w:szCs w:val="18"/>
          <w:color w:val="auto"/>
        </w:rPr>
      </w:pPr>
    </w:p>
    <w:p>
      <w:pPr>
        <w:ind w:left="1600" w:hanging="200"/>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12065</wp:posOffset>
            </wp:positionV>
            <wp:extent cx="118300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00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BellRing Brands,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341" w:right="339" w:bottom="1440" w:gutter="0" w:footer="0" w:header="0"/>
        </w:sectPr>
      </w:pPr>
    </w:p>
    <w:p>
      <w:pPr>
        <w:spacing w:after="0" w:line="48"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87-3296749</w:t>
      </w:r>
    </w:p>
    <w:p>
      <w:pPr>
        <w:spacing w:after="0" w:line="50" w:lineRule="exact"/>
        <w:rPr>
          <w:sz w:val="24"/>
          <w:szCs w:val="24"/>
          <w:color w:val="auto"/>
        </w:rPr>
      </w:pPr>
    </w:p>
    <w:p>
      <w:pPr>
        <w:sectPr>
          <w:pgSz w:w="11900" w:h="16838" w:orient="portrait"/>
          <w:cols w:equalWidth="0" w:num="2">
            <w:col w:w="7260" w:space="720"/>
            <w:col w:w="3260"/>
          </w:cols>
          <w:pgMar w:left="320" w:top="341" w:right="339" w:bottom="1440" w:gutter="0" w:footer="0" w:header="0"/>
          <w:type w:val="continuous"/>
        </w:sectPr>
      </w:pPr>
    </w:p>
    <w:p>
      <w:pPr>
        <w:ind w:left="11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25" w:lineRule="exact"/>
        <w:rPr>
          <w:sz w:val="24"/>
          <w:szCs w:val="24"/>
          <w:color w:val="auto"/>
        </w:rPr>
      </w:pPr>
    </w:p>
    <w:p>
      <w:pPr>
        <w:sectPr>
          <w:pgSz w:w="11900" w:h="16838" w:orient="portrait"/>
          <w:cols w:equalWidth="0" w:num="2">
            <w:col w:w="6620" w:space="720"/>
            <w:col w:w="390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2503 S. Hanley Road St. Louis, Missouri 63144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(314) 644-7600</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195"/>
        </w:trPr>
        <w:tc>
          <w:tcPr>
            <w:tcW w:w="1540" w:type="dxa"/>
            <w:vAlign w:val="bottom"/>
          </w:tcPr>
          <w:p>
            <w:pPr>
              <w:spacing w:after="0"/>
              <w:rPr>
                <w:sz w:val="16"/>
                <w:szCs w:val="16"/>
                <w:color w:val="auto"/>
              </w:rPr>
            </w:pPr>
          </w:p>
        </w:tc>
        <w:tc>
          <w:tcPr>
            <w:tcW w:w="3460" w:type="dxa"/>
            <w:vAlign w:val="bottom"/>
            <w:gridSpan w:val="2"/>
          </w:tcPr>
          <w:p>
            <w:pPr>
              <w:jc w:val="center"/>
              <w:ind w:right="2300"/>
              <w:spacing w:after="0"/>
              <w:rPr>
                <w:sz w:val="20"/>
                <w:szCs w:val="20"/>
                <w:color w:val="auto"/>
              </w:rPr>
            </w:pPr>
            <w:r>
              <w:rPr>
                <w:rFonts w:ascii="Arial" w:cs="Arial" w:eastAsia="Arial" w:hAnsi="Arial"/>
                <w:sz w:val="16"/>
                <w:szCs w:val="16"/>
                <w:color w:val="auto"/>
                <w:w w:val="90"/>
              </w:rPr>
              <w:t>Title of each class</w:t>
            </w:r>
          </w:p>
        </w:tc>
        <w:tc>
          <w:tcPr>
            <w:tcW w:w="2680" w:type="dxa"/>
            <w:vAlign w:val="bottom"/>
            <w:gridSpan w:val="2"/>
          </w:tcPr>
          <w:p>
            <w:pPr>
              <w:jc w:val="center"/>
              <w:ind w:right="1460"/>
              <w:spacing w:after="0"/>
              <w:rPr>
                <w:sz w:val="20"/>
                <w:szCs w:val="20"/>
                <w:color w:val="auto"/>
              </w:rPr>
            </w:pPr>
            <w:r>
              <w:rPr>
                <w:rFonts w:ascii="Arial" w:cs="Arial" w:eastAsia="Arial" w:hAnsi="Arial"/>
                <w:sz w:val="16"/>
                <w:szCs w:val="16"/>
                <w:color w:val="auto"/>
                <w:w w:val="93"/>
              </w:rPr>
              <w:t>Trading Symbol(s)</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50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1"/>
              </w:rPr>
              <w:t>Common Stock, $0.01 par value</w:t>
            </w:r>
          </w:p>
        </w:tc>
        <w:tc>
          <w:tcPr>
            <w:tcW w:w="2680" w:type="dxa"/>
            <w:vAlign w:val="bottom"/>
            <w:gridSpan w:val="2"/>
          </w:tcPr>
          <w:p>
            <w:pPr>
              <w:jc w:val="center"/>
              <w:ind w:right="1440"/>
              <w:spacing w:after="0"/>
              <w:rPr>
                <w:sz w:val="20"/>
                <w:szCs w:val="20"/>
                <w:color w:val="auto"/>
              </w:rPr>
            </w:pPr>
            <w:r>
              <w:rPr>
                <w:rFonts w:ascii="Arial" w:cs="Arial" w:eastAsia="Arial" w:hAnsi="Arial"/>
                <w:sz w:val="16"/>
                <w:szCs w:val="16"/>
                <w:b w:val="1"/>
                <w:bCs w:val="1"/>
                <w:color w:val="auto"/>
                <w:w w:val="95"/>
              </w:rPr>
              <w:t>BRBR</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6" w:lineRule="exact"/>
        <w:rPr>
          <w:sz w:val="24"/>
          <w:szCs w:val="24"/>
          <w:color w:val="auto"/>
        </w:rPr>
      </w:pPr>
    </w:p>
    <w:p>
      <w:pPr>
        <w:ind w:right="2600"/>
        <w:spacing w:after="0" w:line="26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5" w:lineRule="exact"/>
        <w:rPr>
          <w:sz w:val="24"/>
          <w:szCs w:val="24"/>
          <w:color w:val="auto"/>
        </w:rPr>
      </w:pPr>
    </w:p>
    <w:p>
      <w:pPr>
        <w:ind w:right="220"/>
        <w:spacing w:after="0" w:line="209" w:lineRule="exact"/>
        <w:rPr>
          <w:sz w:val="20"/>
          <w:szCs w:val="20"/>
          <w:color w:val="auto"/>
        </w:rPr>
      </w:pPr>
      <w:r>
        <w:rPr>
          <w:rFonts w:ascii="Arial" w:cs="Arial" w:eastAsia="Arial" w:hAnsi="Arial"/>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ind w:right="120"/>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0"/>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Arial" w:cs="Arial" w:eastAsia="Arial" w:hAnsi="Arial"/>
          <w:sz w:val="16"/>
          <w:szCs w:val="16"/>
          <w:color w:val="auto"/>
        </w:rPr>
        <w:t>Act.</w:t>
      </w:r>
    </w:p>
    <w:p>
      <w:pPr>
        <w:spacing w:after="0" w:line="45"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220"/>
        <w:spacing w:after="0" w:line="21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4"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2" w:lineRule="exact"/>
        <w:rPr>
          <w:sz w:val="24"/>
          <w:szCs w:val="24"/>
          <w:color w:val="auto"/>
        </w:rPr>
      </w:pPr>
    </w:p>
    <w:p>
      <w:pPr>
        <w:ind w:right="320"/>
        <w:spacing w:after="0" w:line="21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360"/>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March 31, 2023, the last business day of the registrant’s most recently completed second fiscal quarter, was $4,479,203,598</w:t>
      </w:r>
      <w:r>
        <w:rPr>
          <w:rFonts w:ascii="Arial" w:cs="Arial" w:eastAsia="Arial" w:hAnsi="Arial"/>
          <w:sz w:val="16"/>
          <w:szCs w:val="16"/>
          <w:color w:val="EE2724"/>
        </w:rPr>
        <w:t>.</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$0.01 par value, outstanding as of November 14, 2023: 131,084,271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2024 annual meeting of stockholders, to be filed with the Securities and Exchange Commission within 120 days after September 30, 2023,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80" w:type="dxa"/>
            <w:vAlign w:val="bottom"/>
            <w:gridSpan w:val="30"/>
          </w:tcPr>
          <w:p>
            <w:pPr>
              <w:spacing w:after="0"/>
              <w:rPr>
                <w:sz w:val="20"/>
                <w:szCs w:val="20"/>
                <w:color w:val="auto"/>
              </w:rPr>
            </w:pPr>
            <w:r>
              <w:rPr>
                <w:rFonts w:ascii="Arial" w:cs="Arial" w:eastAsia="Arial" w:hAnsi="Arial"/>
                <w:sz w:val="18"/>
                <w:szCs w:val="18"/>
                <w:color w:val="0000FF"/>
              </w:rPr>
              <w:t>Table of Contents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w w:val="90"/>
              </w:rPr>
              <w:t>Cautionary Statement on Forward-Looking Statements</w:t>
            </w:r>
          </w:p>
        </w:tc>
        <w:tc>
          <w:tcPr>
            <w:tcW w:w="6000" w:type="dxa"/>
            <w:vAlign w:val="bottom"/>
            <w:gridSpan w:val="12"/>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Arial" w:cs="Arial" w:eastAsia="Arial" w:hAnsi="Arial"/>
                <w:sz w:val="18"/>
                <w:szCs w:val="18"/>
                <w:color w:val="0000FF"/>
                <w:w w:val="79"/>
              </w:rPr>
              <w:t>1</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17"/>
          </w:tcPr>
          <w:p>
            <w:pPr>
              <w:spacing w:after="0" w:line="189" w:lineRule="exact"/>
              <w:rPr>
                <w:sz w:val="20"/>
                <w:szCs w:val="20"/>
                <w:color w:val="auto"/>
              </w:rPr>
            </w:pPr>
            <w:r>
              <w:rPr>
                <w:rFonts w:ascii="Arial" w:cs="Arial" w:eastAsia="Arial" w:hAnsi="Arial"/>
                <w:sz w:val="18"/>
                <w:szCs w:val="18"/>
                <w:color w:val="0000FF"/>
              </w:rPr>
              <w:t>Summary of Risk Factors</w:t>
            </w:r>
          </w:p>
        </w:tc>
        <w:tc>
          <w:tcPr>
            <w:tcW w:w="6000" w:type="dxa"/>
            <w:vAlign w:val="bottom"/>
            <w:gridSpan w:val="12"/>
          </w:tcPr>
          <w:p>
            <w:pPr>
              <w:spacing w:after="0"/>
              <w:rPr>
                <w:sz w:val="16"/>
                <w:szCs w:val="16"/>
                <w:color w:val="auto"/>
              </w:rPr>
            </w:pPr>
          </w:p>
        </w:tc>
        <w:tc>
          <w:tcPr>
            <w:tcW w:w="960" w:type="dxa"/>
            <w:vAlign w:val="bottom"/>
            <w:gridSpan w:val="2"/>
          </w:tcPr>
          <w:p>
            <w:pPr>
              <w:jc w:val="center"/>
              <w:ind w:left="670"/>
              <w:spacing w:after="0" w:line="189" w:lineRule="exact"/>
              <w:rPr>
                <w:sz w:val="20"/>
                <w:szCs w:val="20"/>
                <w:color w:val="auto"/>
              </w:rPr>
            </w:pPr>
            <w:r>
              <w:rPr>
                <w:rFonts w:ascii="Arial" w:cs="Arial" w:eastAsia="Arial" w:hAnsi="Arial"/>
                <w:sz w:val="18"/>
                <w:szCs w:val="18"/>
                <w:color w:val="0000FF"/>
                <w:w w:val="79"/>
              </w:rPr>
              <w:t>3</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w w:val="98"/>
              </w:rPr>
              <w:t>PART I</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Arial" w:cs="Arial" w:eastAsia="Arial" w:hAnsi="Arial"/>
                <w:sz w:val="18"/>
                <w:szCs w:val="18"/>
                <w:color w:val="0000FF"/>
              </w:rPr>
              <w:t>Item 1.</w:t>
            </w: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Business</w:t>
            </w:r>
          </w:p>
        </w:tc>
        <w:tc>
          <w:tcPr>
            <w:tcW w:w="960" w:type="dxa"/>
            <w:vAlign w:val="bottom"/>
            <w:gridSpan w:val="2"/>
          </w:tcPr>
          <w:p>
            <w:pPr>
              <w:jc w:val="center"/>
              <w:ind w:left="670"/>
              <w:spacing w:after="0" w:line="189" w:lineRule="exact"/>
              <w:rPr>
                <w:sz w:val="20"/>
                <w:szCs w:val="20"/>
                <w:color w:val="auto"/>
              </w:rPr>
            </w:pPr>
            <w:r>
              <w:rPr>
                <w:rFonts w:ascii="Arial" w:cs="Arial" w:eastAsia="Arial" w:hAnsi="Arial"/>
                <w:sz w:val="18"/>
                <w:szCs w:val="18"/>
                <w:color w:val="0000FF"/>
                <w:w w:val="79"/>
              </w:rPr>
              <w:t>5</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Item 1A.</w:t>
            </w: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13</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Arial" w:cs="Arial" w:eastAsia="Arial" w:hAnsi="Arial"/>
                <w:sz w:val="18"/>
                <w:szCs w:val="18"/>
                <w:color w:val="0000FF"/>
                <w:w w:val="92"/>
              </w:rPr>
              <w:t>Item 1B.</w:t>
            </w:r>
          </w:p>
        </w:tc>
        <w:tc>
          <w:tcPr>
            <w:tcW w:w="480" w:type="dxa"/>
            <w:vAlign w:val="bottom"/>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Unresolved Staff Comments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30</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w w:val="91"/>
              </w:rPr>
              <w:t>Item 1C.</w:t>
            </w:r>
          </w:p>
        </w:tc>
        <w:tc>
          <w:tcPr>
            <w:tcW w:w="480" w:type="dxa"/>
            <w:vAlign w:val="bottom"/>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Cybersecurity</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30</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Arial" w:cs="Arial" w:eastAsia="Arial" w:hAnsi="Arial"/>
                <w:sz w:val="18"/>
                <w:szCs w:val="18"/>
                <w:color w:val="0000FF"/>
              </w:rPr>
              <w:t>Item 2.</w:t>
            </w:r>
          </w:p>
        </w:tc>
        <w:tc>
          <w:tcPr>
            <w:tcW w:w="480" w:type="dxa"/>
            <w:vAlign w:val="bottom"/>
          </w:tcPr>
          <w:p>
            <w:pPr>
              <w:spacing w:after="0"/>
              <w:rPr>
                <w:sz w:val="16"/>
                <w:szCs w:val="16"/>
                <w:color w:val="auto"/>
              </w:rPr>
            </w:pPr>
          </w:p>
        </w:tc>
        <w:tc>
          <w:tcPr>
            <w:tcW w:w="1000" w:type="dxa"/>
            <w:vAlign w:val="bottom"/>
            <w:gridSpan w:val="6"/>
          </w:tcPr>
          <w:p>
            <w:pPr>
              <w:spacing w:after="0" w:line="189" w:lineRule="exact"/>
              <w:rPr>
                <w:sz w:val="20"/>
                <w:szCs w:val="20"/>
                <w:color w:val="auto"/>
              </w:rPr>
            </w:pPr>
            <w:r>
              <w:rPr>
                <w:rFonts w:ascii="Arial" w:cs="Arial" w:eastAsia="Arial" w:hAnsi="Arial"/>
                <w:sz w:val="18"/>
                <w:szCs w:val="18"/>
                <w:color w:val="0000FF"/>
              </w:rPr>
              <w:t>Properties</w:t>
            </w:r>
          </w:p>
        </w:tc>
        <w:tc>
          <w:tcPr>
            <w:tcW w:w="7840" w:type="dxa"/>
            <w:vAlign w:val="bottom"/>
            <w:gridSpan w:val="19"/>
          </w:tcPr>
          <w:p>
            <w:pPr>
              <w:spacing w:after="0"/>
              <w:rPr>
                <w:sz w:val="16"/>
                <w:szCs w:val="16"/>
                <w:color w:val="auto"/>
              </w:rPr>
            </w:pP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30</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30</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FF"/>
                <w:w w:val="90"/>
              </w:rPr>
              <w:t>Item 4.</w:t>
            </w:r>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Mine Safety Disclosures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30</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rPr>
              <w:t>PART II</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Arial" w:cs="Arial" w:eastAsia="Arial" w:hAnsi="Arial"/>
                <w:sz w:val="18"/>
                <w:szCs w:val="18"/>
                <w:color w:val="0000FF"/>
              </w:rPr>
              <w:t>Item 5.</w:t>
            </w: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31</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6.</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[Reserved]</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32</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FF"/>
                <w:w w:val="90"/>
              </w:rPr>
              <w:t>Item 7.</w:t>
            </w:r>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33</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Item 7A.</w:t>
            </w: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40</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Arial" w:cs="Arial" w:eastAsia="Arial" w:hAnsi="Arial"/>
                <w:sz w:val="18"/>
                <w:szCs w:val="18"/>
                <w:color w:val="0000FF"/>
              </w:rPr>
              <w:t>Item 8.</w:t>
            </w:r>
          </w:p>
        </w:tc>
        <w:tc>
          <w:tcPr>
            <w:tcW w:w="480" w:type="dxa"/>
            <w:vAlign w:val="bottom"/>
          </w:tcPr>
          <w:p>
            <w:pPr>
              <w:spacing w:after="0"/>
              <w:rPr>
                <w:sz w:val="16"/>
                <w:szCs w:val="16"/>
                <w:color w:val="auto"/>
              </w:rPr>
            </w:pPr>
          </w:p>
        </w:tc>
        <w:tc>
          <w:tcPr>
            <w:tcW w:w="4360" w:type="dxa"/>
            <w:vAlign w:val="bottom"/>
            <w:gridSpan w:val="18"/>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4480" w:type="dxa"/>
            <w:vAlign w:val="bottom"/>
            <w:gridSpan w:val="7"/>
          </w:tcPr>
          <w:p>
            <w:pPr>
              <w:spacing w:after="0"/>
              <w:rPr>
                <w:sz w:val="16"/>
                <w:szCs w:val="16"/>
                <w:color w:val="auto"/>
              </w:rPr>
            </w:pP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41</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9.</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68</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Arial" w:cs="Arial" w:eastAsia="Arial" w:hAnsi="Arial"/>
                <w:sz w:val="18"/>
                <w:szCs w:val="18"/>
                <w:color w:val="0000FF"/>
              </w:rPr>
              <w:t>Item 9A.</w:t>
            </w: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Controls and Procedures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68</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w w:val="92"/>
              </w:rPr>
              <w:t>Item 9B.</w:t>
            </w:r>
          </w:p>
        </w:tc>
        <w:tc>
          <w:tcPr>
            <w:tcW w:w="480" w:type="dxa"/>
            <w:vAlign w:val="bottom"/>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68</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1"/>
              </w:rPr>
              <w:t>Item 9C.</w:t>
            </w:r>
          </w:p>
        </w:tc>
        <w:tc>
          <w:tcPr>
            <w:tcW w:w="480" w:type="dxa"/>
            <w:vAlign w:val="bottom"/>
          </w:tcPr>
          <w:p>
            <w:pPr>
              <w:spacing w:after="0"/>
              <w:rPr>
                <w:sz w:val="24"/>
                <w:szCs w:val="24"/>
                <w:color w:val="auto"/>
              </w:rPr>
            </w:pPr>
          </w:p>
        </w:tc>
        <w:tc>
          <w:tcPr>
            <w:tcW w:w="884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60" w:type="dxa"/>
            <w:vAlign w:val="bottom"/>
            <w:gridSpan w:val="2"/>
          </w:tcPr>
          <w:p>
            <w:pPr>
              <w:jc w:val="center"/>
              <w:ind w:left="690"/>
              <w:spacing w:after="0"/>
              <w:rPr>
                <w:sz w:val="20"/>
                <w:szCs w:val="20"/>
                <w:color w:val="auto"/>
              </w:rPr>
            </w:pPr>
            <w:r>
              <w:rPr>
                <w:rFonts w:ascii="Arial" w:cs="Arial" w:eastAsia="Arial" w:hAnsi="Arial"/>
                <w:sz w:val="18"/>
                <w:szCs w:val="18"/>
                <w:color w:val="0000FF"/>
                <w:w w:val="89"/>
              </w:rPr>
              <w:t>69</w:t>
            </w:r>
          </w:p>
        </w:tc>
        <w:tc>
          <w:tcPr>
            <w:tcW w:w="3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60"/>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Arial" w:cs="Arial" w:eastAsia="Arial" w:hAnsi="Arial"/>
                <w:sz w:val="18"/>
                <w:szCs w:val="18"/>
                <w:color w:val="0000FF"/>
              </w:rPr>
              <w:t>Item 10.</w:t>
            </w: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70</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Item 11.</w:t>
            </w:r>
          </w:p>
        </w:tc>
        <w:tc>
          <w:tcPr>
            <w:tcW w:w="520" w:type="dxa"/>
            <w:vAlign w:val="bottom"/>
            <w:gridSpan w:val="2"/>
            <w:shd w:val="clear" w:color="auto" w:fill="CCEEFF"/>
          </w:tcPr>
          <w:p>
            <w:pPr>
              <w:spacing w:after="0"/>
              <w:rPr>
                <w:sz w:val="16"/>
                <w:szCs w:val="16"/>
                <w:color w:val="auto"/>
              </w:rPr>
            </w:pPr>
          </w:p>
        </w:tc>
        <w:tc>
          <w:tcPr>
            <w:tcW w:w="180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w w:val="89"/>
              </w:rPr>
              <w:t>Executive Compensation</w:t>
            </w:r>
          </w:p>
        </w:tc>
        <w:tc>
          <w:tcPr>
            <w:tcW w:w="7040" w:type="dxa"/>
            <w:vAlign w:val="bottom"/>
            <w:gridSpan w:val="14"/>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70</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Arial" w:cs="Arial" w:eastAsia="Arial" w:hAnsi="Arial"/>
                <w:sz w:val="18"/>
                <w:szCs w:val="18"/>
                <w:color w:val="0000FF"/>
              </w:rPr>
              <w:t>Item 12.</w:t>
            </w: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70</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Item 13.</w:t>
            </w: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70</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Arial" w:cs="Arial" w:eastAsia="Arial" w:hAnsi="Arial"/>
                <w:sz w:val="18"/>
                <w:szCs w:val="18"/>
                <w:color w:val="0000FF"/>
              </w:rPr>
              <w:t>Item 14.</w:t>
            </w: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70</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60"/>
              <w:spacing w:after="0"/>
              <w:rPr>
                <w:sz w:val="20"/>
                <w:szCs w:val="20"/>
                <w:color w:val="auto"/>
              </w:rPr>
            </w:pPr>
            <w:r>
              <w:rPr>
                <w:rFonts w:ascii="Arial" w:cs="Arial" w:eastAsia="Arial" w:hAnsi="Arial"/>
                <w:sz w:val="18"/>
                <w:szCs w:val="18"/>
                <w:b w:val="1"/>
                <w:bCs w:val="1"/>
                <w:color w:val="auto"/>
              </w:rPr>
              <w:t>PART IV</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Arial" w:cs="Arial" w:eastAsia="Arial" w:hAnsi="Arial"/>
                <w:sz w:val="18"/>
                <w:szCs w:val="18"/>
                <w:color w:val="0000FF"/>
              </w:rPr>
              <w:t>Item 15.</w:t>
            </w:r>
          </w:p>
        </w:tc>
        <w:tc>
          <w:tcPr>
            <w:tcW w:w="8840" w:type="dxa"/>
            <w:vAlign w:val="bottom"/>
            <w:gridSpan w:val="25"/>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71</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Item 16.</w:t>
            </w:r>
          </w:p>
        </w:tc>
        <w:tc>
          <w:tcPr>
            <w:tcW w:w="884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Form 10-K Summary</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Arial" w:cs="Arial" w:eastAsia="Arial" w:hAnsi="Arial"/>
                <w:sz w:val="18"/>
                <w:szCs w:val="18"/>
                <w:color w:val="0000FF"/>
                <w:w w:val="89"/>
              </w:rPr>
              <w:t>73</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FF"/>
                <w:w w:val="83"/>
              </w:rPr>
              <w:t>Signatures</w:t>
            </w:r>
          </w:p>
        </w:tc>
        <w:tc>
          <w:tcPr>
            <w:tcW w:w="780" w:type="dxa"/>
            <w:vAlign w:val="bottom"/>
            <w:gridSpan w:val="6"/>
          </w:tcPr>
          <w:p>
            <w:pPr>
              <w:spacing w:after="0"/>
              <w:rPr>
                <w:sz w:val="16"/>
                <w:szCs w:val="16"/>
                <w:color w:val="auto"/>
              </w:rPr>
            </w:pPr>
          </w:p>
        </w:tc>
        <w:tc>
          <w:tcPr>
            <w:tcW w:w="7300" w:type="dxa"/>
            <w:vAlign w:val="bottom"/>
            <w:gridSpan w:val="16"/>
          </w:tcPr>
          <w:p>
            <w:pPr>
              <w:spacing w:after="0"/>
              <w:rPr>
                <w:sz w:val="16"/>
                <w:szCs w:val="16"/>
                <w:color w:val="auto"/>
              </w:rPr>
            </w:pPr>
          </w:p>
        </w:tc>
        <w:tc>
          <w:tcPr>
            <w:tcW w:w="960" w:type="dxa"/>
            <w:vAlign w:val="bottom"/>
            <w:gridSpan w:val="2"/>
          </w:tcPr>
          <w:p>
            <w:pPr>
              <w:jc w:val="center"/>
              <w:ind w:left="690"/>
              <w:spacing w:after="0" w:line="189" w:lineRule="exact"/>
              <w:rPr>
                <w:sz w:val="20"/>
                <w:szCs w:val="20"/>
                <w:color w:val="auto"/>
              </w:rPr>
            </w:pPr>
            <w:r>
              <w:rPr>
                <w:rFonts w:ascii="Arial" w:cs="Arial" w:eastAsia="Arial" w:hAnsi="Arial"/>
                <w:sz w:val="18"/>
                <w:szCs w:val="18"/>
                <w:color w:val="0000FF"/>
                <w:w w:val="89"/>
              </w:rPr>
              <w:t>74</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Forward-looking statements, within the meaning of Section 27A of the Securities Act of 1933, as amended, and Section 21E of the Securities Exchange Act of 1934, as amended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sales from our ready-to-drink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third-party suppliers or manufacturers for the manufacturing of many of our products, pandemics (including a resurgence of COVID-19 and/or variants) and other outbreaks of contagious diseases, labor shortages, fires and evacuations related thereto, changes in weather conditions, natural disasters, agricultural diseases and pests and other events beyond our control;</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third-party contract manufacturers for the manufacturing of most of our products, including one manufacturer for the majority of our RTD protein shakes;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an amount of our products that enables us to meet customer and consumer demand for the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a limited number of third-party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critical accounting estimates;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 or unfavorable economic conditions that limit customer and consumer demand for our products or increase our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conflicting interests or the appearance of conflicting interests resulting from certain of our directors also serving as officers or directors of Post;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previously completed Spin-off, including our inability to take certain actions because such actions could jeopardize the tax-free status of the Spin-off and our possible responsibility for United States (“U.S.”) federal tax liabilities related to the Spin-off;</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third-party intellectual property subject to intellectual property licenses;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technology failures, cybersecurity incidents and corruption of our data privacy protections;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 assets;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Item 1A of this report.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a variety of risks and uncertainties, including industry and operating risks, financial and economic risks, legal and regulatory risks, risks related to our relationship with Post, risks related to ownership of our Common Stock and certain general risks, which could have a material adverse effect on our business, financial condition, results of operation and cash flows. Risks that we deem material are described in Item 1A, “Risk Factors” of this report. These risks include, but are not limited to, the following:</w:t>
      </w:r>
    </w:p>
    <w:p>
      <w:pPr>
        <w:spacing w:after="0" w:line="79" w:lineRule="exact"/>
        <w:rPr>
          <w:sz w:val="20"/>
          <w:szCs w:val="20"/>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dependent on a limited number of third-party contract manufacturers for the manufacturing of most of our products, including one manufacturer for the majority of our RTD protein shakes. Our business could suffer if we do not continue to contract with key third-party manufacturers or as a result of a third-party contract manufacturer’s inability to produce our products for us in the quantities required, on time or to our specifications.</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behaviors and develop and offer products to meet these preferences.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 or unfavorable economic conditions, including during periods of high inflation, could limit consumer and customer demand for our products, increase our costs or otherwise adversely affect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Consolidation in our distribution channels, and competitive, economic and other pressures facing our customers, may hurt our profit margins.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and profit growth are dependent upon our ability to expand existing market penetration and enter into new markets.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 significant reduction of purchases by or bankruptcy of a major customer may adversely affect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Violations of laws or regulations by us or our third-party contract manufacturers, as well as new laws or regulations or changes to existing laws or regulations, could adversely affect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 may have an adverse impact on our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substantial debt, which could have a negative impact on our financing options and liquidity position and could adversely affect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borrowing costs and access to capital and credit markets could be adversely affected by a downgrade or potential downgrade of our credit ratings.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and global capital and credit market issues, including those that have arisen as a result of heightened inflation, could negatively affect our liquidity, increase our costs of borrowing and disrupt the operations of our suppliers and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overlapping directors and management with Post, which may lead to conflicting interests or the appearance of conflicting interests.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certificate of incorporation and bylaws and provisions of Delaware law may discourage or prevent strategic transactions, including a takeover of us, even if such transaction would be beneficial to our stockholders.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take certain actions because such actions could jeopardize the tax-free status of the Spin-off, and such restrictions could be significant.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responsible for U.S. federal tax liabilities that relate to the Spin-off.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right="2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all or a portion of the Spin-off does not qualify as a tax-free transaction for any reason, including because any of the factual statements or representations in the legal opinions are incomplete or untrue, Post may recognize a substantial gain for U.S. federal income tax purposes, and we may incur indemnification or other liabilities to Post as a result.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and future litigation and claims may impair our reputation or lead us to incur significant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subject us to additional risks.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failures, cybersecurity incidents and corruption of our data privacy protections could disrupt our operations and negatively impact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 in the carrying value of intangible assets could negatively impact our financial condition and results of operations. If our goodwill or other intangible assets become impaired, we will be required to record impairment charges, which may be significant.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pursue acquisitions or other strategic transactions, we may not be able to successfully consummate favorable transactions or successfully integrate acquired businesses.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operating results may differ significantly from our guidance and our forward-looking statements.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BellRing Brands, Inc. (formerly known as BellRing Distribution, LLC) (“BellRing”) was formed in the State of Delaware on October 20, 2021 as a wholly-owned subsidiary of Post Holdings, Inc. (“Post”) for the purpose of effecting the separation of BellRing Intermediate Holdings, Inc. (formerly known as BellRing Brands, Inc.) (“Old BellRing”) from Post. Under a transaction agreement and plan of merger (the “Transaction Agreement”) that we entered into on October 26, 2021 and amended as of February 28, 2022, with Post, Old BellRing and our subsidiary BellRing Merger Sub Corporation (“Merger Sub”), Post distributed approximately 80.1% of its interest in us to Post’s shareholders and Merger Sub merged with and into Old BellRing, with Old BellRing surviving and becoming our subsidiary. On March 10, 2022, as a result of the completion of the transactions provided for under the Transaction Agreement (including the “Separation” and “Distribution”, each defined below), we became a new public holding company and the successor registrant to Old BellRing. In this report, we refer to the transactions undertaken pursuant to the Transaction Agreement as the “Spin-off.” The Spin-off is described in more detail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target a broad range of consumers and compete in all major product forms, including ready-to-drink (“RTD”) protein shakes, other RTD beverages and powders. Our products are distributed across a diverse network of channels including club, food, drug and mass (“FDM”), eCommerce, specialty and convenience.</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organically grown our net sales from $1,247.1 million in our year ended September 30, 2021 to $1,666.8 million in our year ended September 30, 2023. Over the same period, net earnings including redeemable noncontrolling interest increased from $114.4 million in our year ended September 30, 2021 to $165.5 million in our year ended September 30,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Transaction Agreement and in connection with a series of corporate separation transactions, on March 9, 2022, Post contributed to us</w:t>
      </w:r>
    </w:p>
    <w:p>
      <w:pPr>
        <w:spacing w:after="0" w:line="46" w:lineRule="exact"/>
        <w:rPr>
          <w:sz w:val="20"/>
          <w:szCs w:val="20"/>
          <w:color w:val="auto"/>
        </w:rPr>
      </w:pPr>
    </w:p>
    <w:p>
      <w:pPr>
        <w:jc w:val="both"/>
        <w:ind w:firstLine="8"/>
        <w:spacing w:after="0" w:line="253" w:lineRule="auto"/>
        <w:tabs>
          <w:tab w:leader="none" w:pos="219"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its nonvoting common units of BellRing Brands, LLC (“BellRing LLC”) and its sole outstanding share of Old BellRing’s Class B common stock, $0.01 par value per share (the “Old BellRing Class B Common Stock” and with Old BellRing’s Class A common stock, $0.01 par value per share (the “Old BellRing Class A Common Stock), collectively, the “Old BellRing Common Stock”)) and (ii) $550.4 million in cash, in exchange for Post’s right to receive $840.0 million in aggregate principal amount of our 7.00% Senior Notes due 2030 and limited liability company interests in us (prior to our conversion to a Delaware corporation, as described below).</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10, 2022, we converted into a Delaware corporation and changed our name to “BellRing Brands, Inc.”, and Post distributed an aggregate of 78.1 million, or 80.1%, of its shares of our common stock, $0.01 par value per share (the “BellRing Common Stock”) to its shareholders in a pro-rata distribution (the “Distribution”). Post shareholders received 1.267788 shares of BellRing Common Stock for every one share of Post common stock held as of the record date for the Distribution. No fractional shares of BellRing Common Stock were issued, and instead, cash in lieu of any fractional shares was paid to Post shareholders.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Also on March 10, 2022, upon completion of the Distribution, Merger Sub merged with and into Old BellRing (the “Merger”), with Old BellRing continuing as the surviving corporation and becoming our wholly-owned subsidiary. Under the Merger, each outstanding share of Old BellRing Class A Common Stock was converted into one share of BellRing Common Stock and $2.97 in cash, resulting in $115.5 million in total consideration paid to Old BellRing Class A common stockholders pursuant to the Merger.</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the Spin-off, we became the new public parent company of, and successor issuer to, Old BellRing, and shares of our BellRing Common Stock were deemed to be registered under Section 12(b) of the Exchange Act, pursuant to Rule 12g-3(a) promulgated thereunder.</w:t>
      </w:r>
    </w:p>
    <w:p>
      <w:pPr>
        <w:spacing w:after="0" w:line="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Immediately following the Spin-off, Post owned approximately 14.2% of BellRing Common Stock and the former holders of Old BellRing Class A Common Stock owned approximately 28.5% of BellRing Common Stock. As a result of the Spin-off, the dual class voting structure of Old BellRing was eliminated. As of September 30, 2023, Post had no ownership of BellRing Common Stock.</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report to “BellRing,” “we,” “our,” “us,” “the Company” and “our Company” refer to (1) Old BellRing and its consolidated subsidiaries during the periods prior to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completion of the Spin-off, including BellRing LLC, Premier Nutrition Company, LLC (“Premier Nutrition”), Dymatize Enterprises, LLC (“Dymatize”), Supreme Protein, LLC (“Supreme Protein),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and Active Nutrition International GmbH (“Active Nutrition International”) and (2) us and our consolidated subsidiaries during the periods subsequent to the Spin-off, including, BellRing LLC, Premier Nutrition, Dymatize, Supreme Protein, Active Nutrition International and Premier Nutrition Canada, Inc., in each case, unless otherwise stated or the context otherwise indicates.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prior to the Spin-off</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Prior to completion of the Spin-off, and subsequent to Old BellRing’s initial public offering (the “Old BellRing IPO”), which was completed in October 2019, our subsidiary BellRing LLC was the holder of Post’s active nutrition business, which had been comprised of Premier Nutrition, Dymatize,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and Active Nutrition International. The members of BellRing LLC were Post and Old BellRing. Old BellRing held the voting membership unit of BellRing LLC (which represented the power to appoint and remove the members of the board of managers of BellRing LLC and no economic interest). Post held one share of the Old BellRing Class B Common Stock, which represented 67% of the voting power of the common stock of Old BellRing, with the holders of Old BellRing Class A Common Stock holding 33% of the voting power. Immediately prior to completion of the Spin-off, Post owned 71.5% of the economic interests in BellRing LLC, and Old BellRing (and, indirectly, the holders of the Old BellRing Class A Common Stock) owned 28.5% of the economic interests in BellRing LLC. Old BellRing, as a holding company, had no material assets other than its ownership of BellRing LLC units and its indirect interests in the subsidiaries of BellRing LLC.</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Post had acquired the businesses that comprised its active nutrition business in a series of transactions during 2013, 2014 and 2015. In its fiscal year ended September 30, 2013, Post acquired Premier Nutrition Corporation, which, at the time, was a marketer and distributor of high-quality protein shakes and nutrition bars under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nutritional supplements under the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brand. Effective September 30, 2019, Premier Nutrition Corporation converted to a limited liability company and changed its corporate name to Premier Nutrition Company, LLC.</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its fiscal year ended September 30, 2014, Post acquired Dymatize,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and nutrition bars under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 its fiscal year ended September 30, 2015, Post acquired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(then known as Powerbar Europe GmbH).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was founded in 1986.</w:t>
      </w:r>
    </w:p>
    <w:p>
      <w:pPr>
        <w:spacing w:after="0" w:line="58" w:lineRule="exact"/>
        <w:rPr>
          <w:sz w:val="20"/>
          <w:szCs w:val="20"/>
          <w:color w:val="auto"/>
        </w:rPr>
      </w:pPr>
    </w:p>
    <w:p>
      <w:pPr>
        <w:jc w:val="right"/>
        <w:ind w:right="8920"/>
        <w:spacing w:after="0"/>
        <w:rPr>
          <w:sz w:val="20"/>
          <w:szCs w:val="20"/>
          <w:color w:val="auto"/>
        </w:rPr>
      </w:pPr>
      <w:r>
        <w:rPr>
          <w:rFonts w:ascii="Arial" w:cs="Arial" w:eastAsia="Arial" w:hAnsi="Arial"/>
          <w:sz w:val="16"/>
          <w:szCs w:val="16"/>
          <w:b w:val="1"/>
          <w:bCs w:val="1"/>
          <w:color w:val="auto"/>
        </w:rPr>
        <w:t>Our Organizational Structure</w:t>
      </w:r>
    </w:p>
    <w:p>
      <w:pPr>
        <w:spacing w:after="0" w:line="144" w:lineRule="exact"/>
        <w:rPr>
          <w:sz w:val="20"/>
          <w:szCs w:val="20"/>
          <w:color w:val="auto"/>
        </w:rPr>
      </w:pPr>
    </w:p>
    <w:p>
      <w:pPr>
        <w:jc w:val="right"/>
        <w:ind w:right="8980"/>
        <w:spacing w:after="0"/>
        <w:rPr>
          <w:sz w:val="20"/>
          <w:szCs w:val="20"/>
          <w:color w:val="auto"/>
        </w:rPr>
      </w:pPr>
      <w:r>
        <w:rPr>
          <w:rFonts w:ascii="Arial" w:cs="Arial" w:eastAsia="Arial" w:hAnsi="Arial"/>
          <w:sz w:val="18"/>
          <w:szCs w:val="18"/>
          <w:color w:val="auto"/>
        </w:rPr>
        <w:t>As a result of the Spin-off:</w:t>
      </w:r>
    </w:p>
    <w:p>
      <w:pPr>
        <w:spacing w:after="0" w:line="117"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became the new public parent company of, and successor issuer to, Old BellRing, and shares of our BellRing Common Stock were deemed to be registered under Section 12(b) of the Exchange Act, pursuant to Rule 12g-3(a) promulgated thereunder.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Old BellRing is our wholly-owned subsidiary.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of our membership interests in BellRing LLC were contributed to Old BellRing and Old BellRing is the sole equity member of BellRing LLC.</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following the Spin-off, Post owned 19,397,339 shares, or approximately 14.2%, of BellRing Common Stock. On August 11, 2022, Post disposed of 14,800,000 shares of BellRing Common Stock, which resulted in Post owning 4,597,339 shares, or approximately 3.4%, of BellRing Common Stock as of September 30, 2022. On November 25, 2022, Post disposed of its remaining shares of BellRing Common Stock, which resulted in Post having no ownership of BellRing Common Stock as of September 30, 2023.</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“Risk Factors” included in Item 1A of this report and Notes 1 and 13 within “Notes to Consolidated Financial Statements” included in Part II, Item 8 of this report for more information about the Spin-off.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the global convenient nutrition category, a rapidly-growing and on-trend category within the food and beverage industry. The U.S. is our primary market and is the largest and most developed market in the world for our category. We believe the U.S. convenient nutrition category can be broken down into four key consumer need states as defined by our management: everyday nutrition, adult nutrition, sports nutrition and weight management.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While we believe most brands in the convenient nutrition category are positioned to appeal to consumers primarily in one need state,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consumed throughout the day as part of a healthy lifestyle.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is focused primarily on sports nutrition, which we define as consumers looking to supplement sports endurance and body building needs.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primary brands, based on fiscal 2023 sales,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Together our brands cover the major product forms in the convenient nutrition category and appeal to a broad range of consumer need states. Our percentage of net sales by brand for our year ended September 30, 2023 were as follows: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83.2%; </w:t>
      </w:r>
      <w:r>
        <w:rPr>
          <w:rFonts w:ascii="Arial" w:cs="Arial" w:eastAsia="Arial" w:hAnsi="Arial"/>
          <w:sz w:val="18"/>
          <w:szCs w:val="18"/>
          <w:i w:val="1"/>
          <w:iCs w:val="1"/>
          <w:color w:val="auto"/>
        </w:rPr>
        <w:t>Dymatize</w:t>
      </w:r>
      <w:r>
        <w:rPr>
          <w:rFonts w:ascii="Arial" w:cs="Arial" w:eastAsia="Arial" w:hAnsi="Arial"/>
          <w:sz w:val="18"/>
          <w:szCs w:val="18"/>
          <w:color w:val="auto"/>
        </w:rPr>
        <w:t>, 14.0%; and other, 2.8%.</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Two product forms accounted for the substantial majority of our fiscal 2023 net sales. In our year ended September 30, 2023, RTD protein shakes and other RTD beverages were 79.6% of our net sales, and powders were 17.4% of our net sales.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a leading mainstream, lifestyle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product portfolio consists primarily of RTD protein shakes and protein powders.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flagship RTD protein shakes are available in 14 flavors (including 3 seasonal flavors) and contain 30 grams of protein with only one gram of sugar and 160 calories. They are gluten- and soy-free, low fat and fortified with 24 vitamins and minerals. Our RTD protein shakes are formulated to deliver great-tasting, leading protein levels while maintaining one of the leanest nutritional profiles in the category (as measured by sugar and calorie content). </w:t>
      </w:r>
      <w:r>
        <w:rPr>
          <w:rFonts w:ascii="Arial" w:cs="Arial" w:eastAsia="Arial" w:hAnsi="Arial"/>
          <w:sz w:val="18"/>
          <w:szCs w:val="18"/>
          <w:i w:val="1"/>
          <w:iCs w:val="1"/>
          <w:color w:val="auto"/>
        </w:rPr>
        <w:t>Premier Protein</w:t>
      </w:r>
      <w:r>
        <w:rPr>
          <w:rFonts w:ascii="Arial" w:cs="Arial" w:eastAsia="Arial" w:hAnsi="Arial"/>
          <w:sz w:val="18"/>
          <w:szCs w:val="18"/>
          <w:color w:val="auto"/>
        </w:rPr>
        <w:t>’s powder portfolio consists primarily of 100% whey protein products. We believe the product profile appeals to consumers across age ranges in all four need states.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is a market leader targeting fitness enthusiasts who value the brand for its science-based product development, athletic performance focus and great taste. The brand’s portfolio includes an assortment of sports nutrition products, including protein powders. The majority of </w:t>
      </w:r>
      <w:r>
        <w:rPr>
          <w:rFonts w:ascii="Arial" w:cs="Arial" w:eastAsia="Arial" w:hAnsi="Arial"/>
          <w:sz w:val="17"/>
          <w:szCs w:val="17"/>
          <w:i w:val="1"/>
          <w:iCs w:val="1"/>
          <w:color w:val="auto"/>
        </w:rPr>
        <w:t>Dymatize</w:t>
      </w:r>
      <w:r>
        <w:rPr>
          <w:rFonts w:ascii="Arial" w:cs="Arial" w:eastAsia="Arial" w:hAnsi="Arial"/>
          <w:sz w:val="17"/>
          <w:szCs w:val="17"/>
          <w:color w:val="auto"/>
        </w:rPr>
        <w:t>’s sales are generated through protein powders. Our protein powder portfolio consists of three primary products:</w:t>
      </w:r>
      <w:r>
        <w:rPr>
          <w:rFonts w:ascii="Arial" w:cs="Arial" w:eastAsia="Arial" w:hAnsi="Arial"/>
          <w:sz w:val="17"/>
          <w:szCs w:val="17"/>
          <w:i w:val="1"/>
          <w:iCs w:val="1"/>
          <w:color w:val="auto"/>
        </w:rPr>
        <w:t xml:space="preserve"> ISO.100 </w:t>
      </w:r>
      <w:r>
        <w:rPr>
          <w:rFonts w:ascii="Arial" w:cs="Arial" w:eastAsia="Arial" w:hAnsi="Arial"/>
          <w:sz w:val="17"/>
          <w:szCs w:val="17"/>
          <w:color w:val="auto"/>
        </w:rPr>
        <w:t>made with hydrolyzed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100% Whey Protein Isolate, </w:t>
      </w:r>
      <w:r>
        <w:rPr>
          <w:rFonts w:ascii="Arial" w:cs="Arial" w:eastAsia="Arial" w:hAnsi="Arial"/>
          <w:sz w:val="17"/>
          <w:szCs w:val="17"/>
          <w:i w:val="1"/>
          <w:iCs w:val="1"/>
          <w:color w:val="auto"/>
        </w:rPr>
        <w:t>Elite 100% Whey</w:t>
      </w:r>
      <w:r>
        <w:rPr>
          <w:rFonts w:ascii="Arial" w:cs="Arial" w:eastAsia="Arial" w:hAnsi="Arial"/>
          <w:sz w:val="17"/>
          <w:szCs w:val="17"/>
          <w:color w:val="auto"/>
        </w:rPr>
        <w:t xml:space="preserve"> and </w:t>
      </w:r>
      <w:r>
        <w:rPr>
          <w:rFonts w:ascii="Arial" w:cs="Arial" w:eastAsia="Arial" w:hAnsi="Arial"/>
          <w:sz w:val="17"/>
          <w:szCs w:val="17"/>
          <w:i w:val="1"/>
          <w:iCs w:val="1"/>
          <w:color w:val="auto"/>
        </w:rPr>
        <w:t>Super Mass Gainer. ISO.100</w:t>
      </w:r>
      <w:r>
        <w:rPr>
          <w:rFonts w:ascii="Arial" w:cs="Arial" w:eastAsia="Arial" w:hAnsi="Arial"/>
          <w:sz w:val="17"/>
          <w:szCs w:val="17"/>
          <w:color w:val="auto"/>
        </w:rPr>
        <w:t xml:space="preserve">, the brand’s flagship product, has a global reach with sales in more than seventy countries. In addition to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offers a suite of products to meet the needs of athletes.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customers are predominantly club stores, FDM retailers, online retailers, specialty retailers, convenience stores and distributors. We sell our products domestically and in more than seventy countries globally. Our U.S. business represented 89.5% of our net sales in our year ended September 30, 2023, and our international business represented 10.5% of our net sales in our year ended September 30, 2023.</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largest customers, Costco, Walmart (which includes its affiliates, including Sam’s Club) and Amazon, accounted for approximately 75.3% of our net sales in our year ended September 30, 2023. No other customer accounted for more than 10% of our fiscal 2023 net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U.S., we utilize a direct sales force in multiple channels, including club, FDM, convenience, specialty and eCommerce. We also sell through a broker network for customers in the convenience, grocery and mass channels, and through distributors for the specialty channel. In international markets, we sell our products through a combination of direct sales to retailers and to third-party distributors. We utilize a direct sales force in key markets in Western Europe for multiple channels, including specialty, FDM and eCommerce. We also sell through distributors in the specialty channel.</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7"/>
          <w:szCs w:val="17"/>
          <w:b w:val="1"/>
          <w:bCs w:val="1"/>
          <w:i w:val="1"/>
          <w:iCs w:val="1"/>
          <w:color w:val="auto"/>
        </w:rPr>
        <w:t>Premier Protein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’s marketing strategy is aimed at accelerating the brand’s positioning as a lifestyle brand for mainstream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’s marketing initiatives are focused on increasing awareness to drive product trial and adoption as well as expanding household penetration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among this group of consumers.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employs a broad media strategy, which includes digital media, search marketing, television, in-store marketing and demos and online dedicated programming. As part of its marketing strategy,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leverages its fans’ enthusiasm for the brand to spread the word of our products. The brand utilizes an influencer marketing program called “Premier Shakers” that leverages micro-influencers, content creators and top-tier influencers to generate further awareness of </w:t>
      </w:r>
      <w:r>
        <w:rPr>
          <w:rFonts w:ascii="Arial" w:cs="Arial" w:eastAsia="Arial" w:hAnsi="Arial"/>
          <w:sz w:val="17"/>
          <w:szCs w:val="17"/>
          <w:i w:val="1"/>
          <w:iCs w:val="1"/>
          <w:color w:val="auto"/>
        </w:rPr>
        <w:t>Premier Protein</w:t>
      </w:r>
      <w:r>
        <w:rPr>
          <w:rFonts w:ascii="Arial" w:cs="Arial" w:eastAsia="Arial" w:hAnsi="Arial"/>
          <w:sz w:val="17"/>
          <w:szCs w:val="17"/>
          <w:color w:val="auto"/>
        </w:rPr>
        <w:t>.</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’s core fitness-focused consumers. The brand also utilizes a social media influencer model, the “Squad,” engaging with athletes. This team promotes product usage via personal social media channels to drive awareness for the brand among its target demographic.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products are distributed through a network of third-party common carriers.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continue to improve and expand our product offerings with new flavors, ingredients, packaging, product forms and process development technologies. We leverage our dedicated market research, consumer insights and innovation teams, supplemented by leading design firms, product development companies, third-party flavor houses and consultants.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Raw Materials</w:t>
      </w:r>
      <w:r>
        <w:rPr>
          <w:rFonts w:ascii="Arial" w:cs="Arial" w:eastAsia="Arial" w:hAnsi="Arial"/>
          <w:sz w:val="17"/>
          <w:szCs w:val="17"/>
          <w:color w:val="auto"/>
        </w:rPr>
        <w:t>. Raw materials used in our business consist of ingredients and packaging materials purchased from local, regional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Our principal ingredients include milk-based, whey-based and soy-based proteins, protein blends, sweeteners and vitamin and mineral blends. Our primary packaging materials include aseptic foil and plastic lined cardboard cartons, flexible and rigid plastic film and containers, beverage packaging and corrugate. We purchase our raw materials in accordance with rigorous standards to assure food quality and safety. Supply availability and prices paid for raw materials can fluctuate widely due to external factors, such as pandemics and other outbreaks of contagious diseases, weather conditions, labor disputes, governmental programs, regulations and trade and tariff policies, industry consolidation, economic climate, energy shortages, transportation delays, commodity market prices, currency fluctuations and other unforeseen circumstances. The convenient nutrition industry, like many others, experienced inflationary pressure in our fiscal 2023. We continuously monitor supply and cost trends of these raw materials to enable us to obtain ingredients and packaging needed for our products.</w:t>
      </w:r>
    </w:p>
    <w:p>
      <w:pPr>
        <w:spacing w:after="0" w:line="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the terms of an agreement with a significant protein powder supplier, Premier Nutrition is required to purchase a minimum periodic volume of protein powder and has the right (but not the obligation) to order quantities in excess of such minimum amount provided the supplier has the capacity and the ability to produce such additional quantities. The agreement also contains detailed provisions regarding the product specifications and quality standards for the raw materials to be provided by the supplier, the rights of a party in the event the other party does not comply with its obligations under the agreement and other customary contractual terms and conditions. The agreement expires on June 30, 2028.</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Electricity and steam are used in the facilities that manufacture our products. In addition, considerable amounts of diesel fuel are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distribution of our products.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Manufacturing</w:t>
      </w:r>
      <w:r>
        <w:rPr>
          <w:rFonts w:ascii="Arial" w:cs="Arial" w:eastAsia="Arial" w:hAnsi="Arial"/>
          <w:sz w:val="17"/>
          <w:szCs w:val="17"/>
          <w:color w:val="auto"/>
        </w:rPr>
        <w:t>. We primarily engage third-party contract manufacturers in North America and the European Union (the “E.U.”). to produce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 receive products from our third-party contract manufacturers for an agreed-upon tolling charge for each item produced as well as other minor costs. Most of our relationships with our contract manufacturing partners include minimum volume commitments, whereby the third-party contract manufacturer has committed to produce, and we have committed to purchase, a minimum quantity of product. We own a manufacturing plant in Voerde, Germany that supplies nutrition bars and gels primarily for the E.U., Switzerland and the United Kingdom (the “U.K.”).</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regularly monitor the capacity and performance of our third-party contract manufacturing partners and suppliers and qualify new contract manufacturing partners and suppliers as needed. Given the growth profile of our primary products, we continuously plan for incremental capacity, including adding new third-party contract manufacturing partners in fiscal 2023 and working to qualify additional third-party contract manufacturing partners and sites for fiscal 2024, and review additional strategic alternatives to support our business.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From three separate and geographically diverse manufacturing locations, our largest third-party contract manufacturer provided approximately 53.8%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supply for our year ended September 30, 2023. Under the terms of a manufacturing agreement with the third-party contract manufacturer, Premier Nutrition is required to purchase a minimum quarterly order volume of RTD protein shakes and has the right (but not the obligation) to order quantities in excess of a monthly minimum amount provided the third-party contract manufacturer has the capacity and the ability to produce such additional quantities. In addition, under the terms of the manufacturing agreement, the third-party contract manufacturer has committed to produce a quarterly minimum volume of RTD protein shakes. The manufacturing agreement also contains detailed provisions regarding the product specifications and quality standards for the products to be manufactured and packaged by the third-party contract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This agreement expires on December 31, 2027.</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third-party certification of Good Manufacturing Practices. Our owned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plant in Voerde, Germany is additionally certified to one of the international Food Safety Standards (FSSC 22.000, IFS or BRC), SMETA 4-pillars (Labour, Environment, Health and Safety, Business Ethics) and ISO 45001 (Health and Safety).</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In North America, our products typically are shipped directly from our contract manufacturing partners to a network of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warehouses. Products are distributed from third-party warehouses to customer distribution centers or retail stores or are exported by our distribution partners to international customers. Occasionally, we ship products directly from our third-party contract manufacturers to our customers’ distribution centers.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one third-party warehouse location in Germany, which receives products from our production facility located in Voerde, Germany or directly from our third-party contract manufacturers. Our branded products are distributed from third-party warehouses to customer distribution centers or retail stores or are exported to international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convenient nutrition category in which we operate is highly competitive and highly sensitive to both pricing and promotion. We compete with other brands, including private label and store brand products, and with many nutritional food and beverage players. We have numerous competitors of varying sizes, including manufacturers of other branded food and beverage products, as well as manufacturers of private label products. Some of our competitors have substantially more financial, marketing and other resources than us.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Our principal strategies for competing in our industry include strong and impactful marketing to build awareness of our products, effective customer relationship management, category insights, superior product quality and food safety, product innovation, an efficient supply chain and competitive pricing. We expect the industry we operate in to remain highly competitive for the foreseeable future.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experience seasonal fluctuations in our sales and earnings before interest and taxes (“EBIT”) margins because of consumer spending patterns and timing of our key retailers’ promotional activity. Historically, our first quarter of the fiscal year is seasonally low for net sales for all brands driven by a slowdown of consumption of our products during the holiday season. Sales are typically higher throughout the remainder of the fiscal year as a result of stronger consumer demand in our second quarter of the fiscal year, promotional activity at key retailers and organic growth of the business. Seasonal fluctuations in our sales and EBIT margins may not be the same in the future as they have been historically.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We own or have licenses to use a number of trademarks that are critical to the success of our business. Our key trademarks include </w:t>
      </w:r>
      <w:r>
        <w:rPr>
          <w:rFonts w:ascii="Arial" w:cs="Arial" w:eastAsia="Arial" w:hAnsi="Arial"/>
          <w:sz w:val="16"/>
          <w:szCs w:val="16"/>
          <w:i w:val="1"/>
          <w:iCs w:val="1"/>
          <w:color w:val="auto"/>
        </w:rPr>
        <w:t>BellRing</w:t>
      </w:r>
      <w:r>
        <w:rPr>
          <w:rFonts w:ascii="Arial" w:cs="Arial" w:eastAsia="Arial" w:hAnsi="Arial"/>
          <w:sz w:val="16"/>
          <w:szCs w:val="16"/>
          <w:color w:val="auto"/>
        </w:rPr>
        <w:t xml:space="preserve">®, </w:t>
      </w:r>
      <w:r>
        <w:rPr>
          <w:rFonts w:ascii="Arial" w:cs="Arial" w:eastAsia="Arial" w:hAnsi="Arial"/>
          <w:sz w:val="16"/>
          <w:szCs w:val="16"/>
          <w:i w:val="1"/>
          <w:iCs w:val="1"/>
          <w:color w:val="auto"/>
        </w:rPr>
        <w:t>BellRing Brands</w:t>
      </w:r>
      <w:r>
        <w:rPr>
          <w:rFonts w:ascii="Arial" w:cs="Arial" w:eastAsia="Arial" w:hAnsi="Arial"/>
          <w:sz w:val="16"/>
          <w:szCs w:val="16"/>
          <w:color w:val="auto"/>
        </w:rPr>
        <w:t>®,</w:t>
      </w:r>
      <w:r>
        <w:rPr>
          <w:rFonts w:ascii="Arial" w:cs="Arial" w:eastAsia="Arial" w:hAnsi="Arial"/>
          <w:sz w:val="16"/>
          <w:szCs w:val="16"/>
          <w:i w:val="1"/>
          <w:iCs w:val="1"/>
          <w:color w:val="auto"/>
        </w:rPr>
        <w:t xml:space="preserve"> Premier Protein</w:t>
      </w:r>
      <w:r>
        <w:rPr>
          <w:rFonts w:ascii="Arial" w:cs="Arial" w:eastAsia="Arial" w:hAnsi="Arial"/>
          <w:sz w:val="16"/>
          <w:szCs w:val="16"/>
          <w:color w:val="auto"/>
        </w:rPr>
        <w:t>®,</w:t>
      </w:r>
      <w:r>
        <w:rPr>
          <w:rFonts w:ascii="Arial" w:cs="Arial" w:eastAsia="Arial" w:hAnsi="Arial"/>
          <w:sz w:val="16"/>
          <w:szCs w:val="16"/>
          <w:i w:val="1"/>
          <w:iCs w:val="1"/>
          <w:color w:val="auto"/>
        </w:rPr>
        <w:t xml:space="preserve"> Premier Nutrition</w:t>
      </w:r>
      <w:r>
        <w:rPr>
          <w:rFonts w:ascii="Arial" w:cs="Arial" w:eastAsia="Arial" w:hAnsi="Arial"/>
          <w:sz w:val="16"/>
          <w:szCs w:val="16"/>
          <w:color w:val="auto"/>
        </w:rPr>
        <w:t>®,</w:t>
      </w:r>
      <w:r>
        <w:rPr>
          <w:rFonts w:ascii="Arial" w:cs="Arial" w:eastAsia="Arial" w:hAnsi="Arial"/>
          <w:sz w:val="16"/>
          <w:szCs w:val="16"/>
          <w:i w:val="1"/>
          <w:iCs w:val="1"/>
          <w:color w:val="auto"/>
        </w:rPr>
        <w:t xml:space="preserve"> Dymatize</w:t>
      </w:r>
      <w:r>
        <w:rPr>
          <w:rFonts w:ascii="Arial" w:cs="Arial" w:eastAsia="Arial" w:hAnsi="Arial"/>
          <w:sz w:val="16"/>
          <w:szCs w:val="16"/>
          <w:color w:val="auto"/>
        </w:rPr>
        <w:t>®,</w:t>
      </w:r>
      <w:r>
        <w:rPr>
          <w:rFonts w:ascii="Arial" w:cs="Arial" w:eastAsia="Arial" w:hAnsi="Arial"/>
          <w:sz w:val="16"/>
          <w:szCs w:val="16"/>
          <w:i w:val="1"/>
          <w:iCs w:val="1"/>
          <w:color w:val="auto"/>
        </w:rPr>
        <w:t xml:space="preserve"> ISO.100</w:t>
      </w:r>
      <w:r>
        <w:rPr>
          <w:rFonts w:ascii="Arial" w:cs="Arial" w:eastAsia="Arial" w:hAnsi="Arial"/>
          <w:sz w:val="16"/>
          <w:szCs w:val="16"/>
          <w:color w:val="auto"/>
        </w:rPr>
        <w:t>® and</w:t>
      </w:r>
      <w:r>
        <w:rPr>
          <w:rFonts w:ascii="Arial" w:cs="Arial" w:eastAsia="Arial" w:hAnsi="Arial"/>
          <w:sz w:val="16"/>
          <w:szCs w:val="16"/>
          <w:i w:val="1"/>
          <w:iCs w:val="1"/>
          <w:color w:val="auto"/>
        </w:rPr>
        <w:t xml:space="preserve"> PowerBar</w:t>
      </w:r>
      <w:r>
        <w:rPr>
          <w:rFonts w:ascii="Arial" w:cs="Arial" w:eastAsia="Arial" w:hAnsi="Arial"/>
          <w:sz w:val="16"/>
          <w:szCs w:val="16"/>
          <w:color w:val="auto"/>
        </w:rPr>
        <w:t>®, each of which we own, as well as trademarks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license from third parties, such as </w:t>
      </w:r>
      <w:r>
        <w:rPr>
          <w:rFonts w:ascii="Arial" w:cs="Arial" w:eastAsia="Arial" w:hAnsi="Arial"/>
          <w:sz w:val="16"/>
          <w:szCs w:val="16"/>
          <w:i w:val="1"/>
          <w:iCs w:val="1"/>
          <w:color w:val="auto"/>
        </w:rPr>
        <w:t>Pebbles</w:t>
      </w:r>
      <w:r>
        <w:rPr>
          <w:rFonts w:ascii="Arial" w:cs="Arial" w:eastAsia="Arial" w:hAnsi="Arial"/>
          <w:sz w:val="16"/>
          <w:szCs w:val="16"/>
          <w:color w:val="auto"/>
        </w:rPr>
        <w:t xml:space="preserve">® and </w:t>
      </w:r>
      <w:r>
        <w:rPr>
          <w:rFonts w:ascii="Arial" w:cs="Arial" w:eastAsia="Arial" w:hAnsi="Arial"/>
          <w:sz w:val="16"/>
          <w:szCs w:val="16"/>
          <w:i w:val="1"/>
          <w:iCs w:val="1"/>
          <w:color w:val="auto"/>
        </w:rPr>
        <w:t>Dunkin</w:t>
      </w:r>
      <w:r>
        <w:rPr>
          <w:rFonts w:ascii="Arial" w:cs="Arial" w:eastAsia="Arial" w:hAnsi="Arial"/>
          <w:sz w:val="16"/>
          <w:szCs w:val="16"/>
          <w:color w:val="auto"/>
        </w:rPr>
        <w:t>®. Our owned trademarks are, in most cases, protected through registration in the U.S. or 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5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Environmental Matters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Food and Drug Administration (the “FDA”), the U.S. Department of Agriculture (the “USDA”), the Federal Trade Commission and state and local agencies 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third-party certifying organizations. Products that do not meet regulatory or third-party standards may be considered adulterated or misbranded and subject to withdrawal or recall. Additionally, following the adoption of the Food Safety Modernization Act in the U.S. and the Safe Foods for Canadians Act in Canada, the FDA and the Canadian Food Inspection Agency are implementing additional regulations focused on prevention of food contamination, more frequent inspection of high-risk facilities, increased record-keeping and improved tracing of food.</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our operations are subject to various federal, state and foreign laws and regulations regarding data privacy, data protection and data security, including the General Data Protection Regulation, the E.U.’s retained law version of the General Data Protection Regulation and the California Consumer Privacy Act, as amended by the California Privacy Rights Act, each of which applies to certain aspects of our business and regulate how businesses collect, use and protect personal information obtained from data subjects. As a company with international operations, we also are subject to laws, rules and regulations in the U.S. and other countries related to anti-corruption, antitrust and competition and economic sanctions.</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approximately 420 employees as of November 1, 2023. Of these employees, approximately 275 are in the U.S., approximately 135 are in Germany and approximately 10 are in other countries. Our people are critical to our success and we prioritize providing a safe, rewarding and respectful workplace where our people are provided with opportunities to pursue career paths based on skills, performance and mindset. We adhere to our Code of Conduct, which sets forth a commitment to our stakeholders, including our employees, to operate with integrity and mutual respect.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Safety</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committed to maintaining a healthy and safe workplace for our employees. In our Voerde, Germany manufacturing facility, we have a comprehensive safety and risk management system in place that incorporates rigorous safety standards and practices, employee and leadership training to ensure consistent implementation of our safety protocols and periodic internal and external audits to evaluate our compliance with these policies.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Talent Acquisition, Development, Engagement and Retention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Acquiring, developing, engaging and retaining a diverse and talented workforce is key to accomplishing our goals and achieving business results.</w:t>
      </w:r>
    </w:p>
    <w:p>
      <w:pPr>
        <w:spacing w:after="0" w:line="14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talent acquisition processes include diversity training for recruiters and employee training on interview skills and processes to improve our candidate selection process. For candidate selection roundtables, we have a trained, disinterested employee sit in to help mitigate any instances of bias in the selection discussion. We have also expanded outreach to diverse candidate pools and career fairs to enable us to reach a wider audience of candidates, as well as expanding our lens on hiring people from non-traditional backgrounds or career paths.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Providing development opportunities and resources for our employees is another key factor in our human capital strategy. We offer a variety of training and development programs and platforms for employees at all levels of our organization, including monthly development trainings for people leaders of all levels, along with in-depth workshops for both new and existing managers.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check in with our employees through regular engagement surveys, small group and one-on-one interviews and then act on those survey results, as appropriate. Employee-led groups, opportunities to participate in informal wellness activities and philanthropic work are informed by what our employees identify as important to them. We measure our progress and take additional actions, as needed. We communicate transparently with our employees about the organization to keep our employees informed and engaged.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connect our employees to our values and culture by conducting periodic two-day workshops where they can learn about, discuss and engage with these topics to more fully appreciate our unique culture. In addition, we invite esteemed speakers to our Emeryville offices to engage our employees in an interactive workshop format to further drive engagement with timely workplace initiatives.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strive to develop and implement compensation and benefits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We provide our employees with competitive fixed and/or variable pay and, for eligible employees, we currently provide access to medical, dental and life insurance benefits, disability coverage, a 401(k) plan and employee assistance programs - including mental health - among other benefits.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Inclusion and Belonging</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recognize the importance of a diverse, equitable and inclusive culture for our employees and are committed to creating an inclusive environment that reflects the communities in which we live and work that creates belonging. We have implemented initiatives to track and improve our performance in these areas. We also provide interactive anti-harassment and diversity training for both supervisory and non-supervisory employees taught by outside experts. Our Board of Directors receives periodic updates regarding our diversity, equity, inclusion and belonging efforts.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recognize the importance of Environmental, Social and Governance (“ESG”) issues for all of our stakeholders and we are committed to incorporating ESG principles into our business strategies and organizational culture. The Audit Committee of the Company’s Board of Directors provides direction with respect to the evolving priorities of our ESG initiatives and receives quarterly reports with respect to the progress the Company is making against its objectives. We have an Executive Sustainability Steering committee comprised of senior leaders within our organization, which provides guidance on goals and strategies and makes recommendations on disclosure and reporting guidelines. We also have a Sustainability Operations Committee comprised of technical experts within key business functions that meets regularly to implement programs and track progress on key objectives. We report to our stakeholders with respect to the results of our ESG initiatives on an annual basis, with our third annual Impact Report being published online later this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make available, free of charge, through our website (www.bellring.com) reports we file with, or furnish to, the Securities and Exchange Commission (the “SEC”), including our annual reports on Forms 10-K, quarterly reports on Forms 10-Q, current reports on Forms 8-K and amendments to those reports filed or furnished pursuant to Section 13(a) or 15(d) of the Exchange Act as soon as reasonably practicable after we electronically file such material with, or furnish such material to, the SEC. The SEC maintains an internet site containing these reports, proxy and information statements and other information regarding issuers that file electronically with the SEC at http://www.sec.gov. Our Corporate Governance Guidelines, our Code of Conduct and the charters of the Audit and Corporate Governance and Compensation Committees of our Board of Directors also are available on our website, where they can be printed free of charge. All of these documents also are available to stockholders at no charge upon request sent to BellRing’s corporate secretary (2503 S. Hanley Road, St. Louis, Missouri 63144-2503, Telephone: 314-644-7600). The information and other content contained on our website are not part of (or incorporated by reference in) this report or any other document we file with the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section below provides information regarding our executive officers as of November 21, 2023:</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Robert V. Vitale</w:t>
      </w:r>
      <w:r>
        <w:rPr>
          <w:rFonts w:ascii="Arial" w:cs="Arial" w:eastAsia="Arial" w:hAnsi="Arial"/>
          <w:sz w:val="16"/>
          <w:szCs w:val="16"/>
          <w:color w:val="auto"/>
        </w:rPr>
        <w:t>, age 57, has served as our Executive Chairman since September 2019. Mr. Vitale has been the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Post, and a member of Post’s board of directors, since November 2014 and is a member of the board of directors of 8th Avenue Food &amp; Provisions, Inc., a private brand-centric consumer products holding company owned by Post and other third parties. Previously, Mr. Vitale served as Chief Financial Officer of Post from October 2011 until November 2014. He was president and chief investment officer of Post Holdings Partnering Corporation, a publicly-traded affiliate of Post that was a special purpose acquisition company formed for the purpose of effecting a partnering transaction with one or more businesses, from January 2021 to June 2023. Mr. Vitale has served on the board of directors of Energizer Holdings, Inc., a publicly traded manufacturer and distributor of primary batteries, portable lights and auto care appearance, performance, refrigerant and fragrance products, since August 2017.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earned his undergraduate degree from St. Louis University and his MBA from Washington University.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Darcy H. Davenport</w:t>
      </w:r>
      <w:r>
        <w:rPr>
          <w:rFonts w:ascii="Arial" w:cs="Arial" w:eastAsia="Arial" w:hAnsi="Arial"/>
          <w:sz w:val="17"/>
          <w:szCs w:val="17"/>
          <w:color w:val="auto"/>
        </w:rPr>
        <w:t>, age 50, has served as our President and Chief Executive Officer since September 2019 and has served as a member of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since the completion of our IPO. Until the completion of the IPO, Ms. Davenport served as President of Post’s active nutrition business since October 2017 and as President of Premier Nutrition, which became a subsidiary of BellRing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earned her undergraduate degree from Princeton University and her MBA from New York University’s Leonard N. Stern School of Business.</w:t>
      </w:r>
    </w:p>
    <w:p>
      <w:pPr>
        <w:spacing w:after="0" w:line="7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Douglas J. Cornille</w:t>
      </w:r>
      <w:r>
        <w:rPr>
          <w:rFonts w:ascii="Arial" w:cs="Arial" w:eastAsia="Arial" w:hAnsi="Arial"/>
          <w:sz w:val="16"/>
          <w:szCs w:val="16"/>
          <w:color w:val="auto"/>
        </w:rPr>
        <w:t>, age 51, has served as Chief Growth Officer of Premier Nutrition, a subsidiary of ours, since November 2021. Prior to that, 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Senior Vice President, Marketing of Premier Nutrition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5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Marc S. Mollere, age 56, </w:t>
      </w:r>
      <w:r>
        <w:rPr>
          <w:rFonts w:ascii="Arial" w:cs="Arial" w:eastAsia="Arial" w:hAnsi="Arial"/>
          <w:sz w:val="16"/>
          <w:szCs w:val="16"/>
          <w:color w:val="auto"/>
        </w:rPr>
        <w:t>has served as Senior Vice President and General Manager of International of Premier Nutrition, a subsidiary of ours,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2020. Prior to that, he served as General Manager and Vice President of Sales and Marketing of Dymatize Enterprises, also a subsidiary of ours, since 2011. Prior to joining Dymatize Enterprises, Mr. Mollere was Corporate Vice President and Vice President of Sales of Henkel North America, a beauty care and laundry &amp; home care consumer business, from 2006 to 2011. Mr. Mollere earned his BS in Marketing from Sam Houston State University.</w:t>
      </w:r>
    </w:p>
    <w:p>
      <w:pPr>
        <w:spacing w:after="0" w:line="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Paul A. Rode</w:t>
      </w:r>
      <w:r>
        <w:rPr>
          <w:rFonts w:ascii="Arial" w:cs="Arial" w:eastAsia="Arial" w:hAnsi="Arial"/>
          <w:sz w:val="17"/>
          <w:szCs w:val="17"/>
          <w:color w:val="auto"/>
        </w:rPr>
        <w:t>, age 53, has served as our Chief Financial Officer since September 2019 and serves as our principal financial officer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Mr. Rode served as Chief Financial Officer of Post’s active nutrition business from May 2015 until the completion of our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6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Craig L. Rosenthal</w:t>
      </w:r>
      <w:r>
        <w:rPr>
          <w:rFonts w:ascii="Arial" w:cs="Arial" w:eastAsia="Arial" w:hAnsi="Arial"/>
          <w:sz w:val="16"/>
          <w:szCs w:val="16"/>
          <w:color w:val="auto"/>
        </w:rPr>
        <w:t>, age 52, has served as our Chief Legal Officer, Chief Compliance Officer and Secretary since September 2023 and, prior to that,</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Senior Vice President, General Counsel and Secretary since August 2019. Prior to joining BellRing, Mr. Rosenthal was an attorney at Husch Blackwell LLP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Previously, Mr. Rosenthal was an attorney at Husch &amp; Eppenberger LLC (now Husch Blackwell LLP). Mr. Rosenthal earned his undergraduate degree from the University of Missouri-Columbia and juris doctorate from Washington University School of Law.</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Robin Singh, </w:t>
      </w:r>
      <w:r>
        <w:rPr>
          <w:rFonts w:ascii="Arial" w:cs="Arial" w:eastAsia="Arial" w:hAnsi="Arial"/>
          <w:sz w:val="17"/>
          <w:szCs w:val="17"/>
          <w:color w:val="auto"/>
        </w:rPr>
        <w:t>age 54, has served as Senior Vice President, Operations of Premier Nutrition, a subsidiary of ours, since March 2019.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Premier Nutrition, Mr. Singh held various senior leadership positions at Mondelez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Guelph, Ontario where he received an Honors Bachelor of Science and the Richard Ivey School of Business at the University of Western Ontario where he received a certificate in the Ivey Operations Program.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to the information discussed elsewhere in this report, the following risks and uncertainties, some of which have occurred and any of which may occur in the future, could have a material adverse effect on our business, financial condition, results of operations and cash flows. Although the risks below are organized by heading, and each risk is described separately, many of the risks are interrelated. Additional risks and uncertainties not presently known to us or that we currently deem immaterial also may impair our business, financial condition, results of operations and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Operating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substantial amount of our net sales is derived from our RTD protein shakes. Sales of our RTD protein shakes represented approximately 79.6% of our net sales in our year ended September 30, 2023.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convenient nutrition category in which we operate is highly competitive. We compete with other brands in the convenient nutrition category and with many nutritional food and beverage players, as well as manufacturers of private label and store brand products. Many of our competitors offer products similar to our products, or a wider range of products than we offer, and may offer their products at more competitive prices than we do.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Some of our principal competitors have substantially more financial, marketing and other resources than we have.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make, move and sell products in coordination with our suppliers, third-party contract manufacturers and distributors is critical to our success. Damage or disruption to our collective supply, manufacturing or distribution capabilities resulting from weather, freight carrier availability, any potential effects of climate change, natural disaster, pandemics or other outbreaks of contagious diseases, governmental restrictions or mandates, labor shortages, border closures, freight carrier availability, agricultural diseases, fires or evacuations related thereto, explosions, cyber incidents, terrorism, strikes or other labor unrest, repairs or enhancements at facilities manufacturing or delivering our products or other reasons could impair our ability to source inputs or manufacture, sell or timely deliver our products. During fiscal 2021 and 2022, the COVID-19 pandemic impacted our operations, including causing disruptions in our supply chain.</w:t>
      </w:r>
    </w:p>
    <w:p>
      <w:pPr>
        <w:spacing w:after="0" w:line="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Changes in weather conditions and natural disasters, such as fires, floods, droughts, frosts, hurricanes, earthquakes, tornadoes, insect infestations and plant disease, also may affect the cost and supply of commodities used as raw materials, including milk-based, whey-based and soy-based proteins, protein blends, sweeteners and vitamin and mineral blends. Further, as we rely on a limited number of third-party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our year ended September 30, 2023, approximately 53.8%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supply came from our largest third-party contract manufacturer, with approximately 31.9% of our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RTD shake supply manufactured at its Joplin, Missouri facility. In addition, production of the RTD protein shakes in the 11 ounce size by</w:t>
      </w:r>
      <w:r>
        <w:rPr>
          <w:rFonts w:ascii="Arial" w:cs="Arial" w:eastAsia="Arial" w:hAnsi="Arial"/>
          <w:sz w:val="17"/>
          <w:szCs w:val="17"/>
          <w:i w:val="1"/>
          <w:iCs w:val="1"/>
          <w:color w:val="auto"/>
        </w:rPr>
        <w:t xml:space="preserve"> </w:t>
      </w:r>
      <w:r>
        <w:rPr>
          <w:rFonts w:ascii="Arial" w:cs="Arial" w:eastAsia="Arial" w:hAnsi="Arial"/>
          <w:sz w:val="17"/>
          <w:szCs w:val="17"/>
          <w:color w:val="auto"/>
        </w:rPr>
        <w:t>our third-party contract manufacturers requires packaging that we currently are sourcing from only one supplier, and equipment that our third-party contract manufacturers are currently sourcing from the same supplier. Our supply of packaging for our 11 ounce RTD protein shakes from this supplier comes primarily from three of its locations. Competitors can be affected differently by weather conditions and natural disasters depending on the location of their suppliers and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currently dependent on a limited number of third-party contract manufacturers for the manufacturing of most of our products, including one manufacturer for the majority of our RTD protein shakes. Our business could suffer if we do not continue to contract with key third-party manufacturers or as a result of a third-party contract manufacturer’s inability to produce our products for us in the quantities required, on time or to our specifications.</w:t>
      </w:r>
    </w:p>
    <w:p>
      <w:pPr>
        <w:spacing w:after="0" w:line="7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third-party contract manufacturers. For our year ended September 30, 2023, approximately 53.8%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manufacturer and approximately 31.9% from a single facility of that manufacturer. Although we have added additional third-party contract manufacturers of our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RTD shakes to our third-party contract manufacturing network, our number of third-party contract manufacturers is still limited and if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our third-party contract manufacturers is unable to meet our supply requirements, it could have a material adverse impact on our business, financial condition, results of operations and cash flows. In fiscal 2019, a former third-party contract manufacturer that we had expected to produce less than 10% of our RTD protein shakes for that year did not produce as we expected, which resulted in our termination of our agreement with it. Also, if we experience significant increases in demand for our products, as we did beginning in the second quarter of fiscal 2021 through fiscal 2023, we and these third-party contract manufacturers may not be able to obtain in a timely manner the equipment, ingredients or packaging materials required to manufacture our products and allocate sufficient capacity to us in order to meet our requirements, fill our orders in a timely manner or meet our quality standards. Further, as we did in fiscal 2022 and 2023, we may experience operational difficulties with any of these third-party contract manufacturers, such as limitations on production capacity, failure to meet our quantity requirements, including as a result of pandemics or other outbreaks of contagious diseases, increases in manufacturing costs, errors in complying with product specifications, insufficient quality control and failure to meet production deadlines. We have had to limit our stock-keeping units (“SKUs”) and place one or more of our products on allocation. In addition, we rely in part on our third-party contract manufacturers to maintain the quality of our products. The failure or inability of our third-party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For example, in fiscal 2022, a third-party manufacturer that produced less than 2%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protein shakes initiated a recall of all products manufactured in one of its facilities, including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protein shakes. The inability of third-party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 Additionally, our business could be adversely affected if any of these third parties fail to comply with governmental regulations applicable to the manufacturing of our products or if any of these third parties cease doing business with us or go out of business.</w:t>
      </w:r>
    </w:p>
    <w:p>
      <w:pPr>
        <w:spacing w:after="0" w:line="28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Certain of our relationships with these third parties are subject to minimum volume commitments, whereby the third-party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amounts of product to meet consumer demand. For example, due to (i) better than expected volume growth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and </w:t>
      </w:r>
      <w:r>
        <w:rPr>
          <w:rFonts w:ascii="Arial" w:cs="Arial" w:eastAsia="Arial" w:hAnsi="Arial"/>
          <w:sz w:val="17"/>
          <w:szCs w:val="17"/>
          <w:i w:val="1"/>
          <w:iCs w:val="1"/>
          <w:color w:val="auto"/>
        </w:rPr>
        <w:t xml:space="preserve">Dymatize </w:t>
      </w:r>
      <w:r>
        <w:rPr>
          <w:rFonts w:ascii="Arial" w:cs="Arial" w:eastAsia="Arial" w:hAnsi="Arial"/>
          <w:sz w:val="17"/>
          <w:szCs w:val="17"/>
          <w:color w:val="auto"/>
        </w:rPr>
        <w:t>powders in the second half of fiscal 2021 and in fiscal 2022 and, as to</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RTD shakes in fiscal 2023, (ii) delays in production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planned incremental production capacity by our third-party contract manufacturer network and (iii) in the case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powders, whey protein availability, our customer demand exceeded our available capacity and resulted in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powders inventories below acceptable levels during fiscal 2021 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inventories below acceptable levels in fiscal 2022 and into fiscal 2023. If we need to replace an existing third-party contract manufacturer, our products may not be available when required on acceptable terms, or at all. Also, if demand for our products is significantly below our expectations, we may be obligated to pay penalties to our third-party contract manufacturers for failing to purchase contracted minimum purchase quantities.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on a limited number of third-party suppliers to provide certain equipment, ingredients and packaging materials used in our business. The primary ingredients used in our business include milk-based, whey-based and soy-based proteins, protein blends, sweeteners and vitamin and mineral blends, and one supplier provides the majority of our milk-based protein. The supply and price of these ingredients are subject to market conditions and are influenced by many factors beyond our control, including labor shortages, pandemics or other outbreaks of contagious diseases, animal feed costs, weather patterns affecting ingredient production, governmental programs and regulations, insects, plant diseases and inflation. Our milk-based protein costs have increased and may continue to increase due to factors such as labor shortages, pandemics or other outbreaks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of contagious diseases, animal feed costs, weather patterns affecting ingredient production, governmental programs and regulations, insects, plant diseases and inflation. Our primary packaging materials include aseptic foil and plastic lined cardboard cartons, flexible and rigid plastic film and containers, beverage packaging and corrugate. We utilize a sole supplier for the aseptic packaging for, and our third-party contract manufacturers use equipment from the same sole supplier to manufacture,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supply and price of these inputs are subject to market conditions and are impacted by many factors beyond our control, including labor shortages, pandemics and other outbreaks of contagious diseases weather conditions, natural disasters, governmental programs, regulations and trade and tariff policies, insects, plant diseases, inflation and increased demand. Our freight costs may increase due to factors such as labor shortages, increased fuel costs, limited carrier availability, increased compliance costs associated with new or changing government regulations, pandemics or other outbreaks of contagious diseases and inflation. Higher prices for natural gas, propane, electricity and fuel also may increase our ingredient, production and delivery costs. Historically, the prices of certain of our raw materials, energy and other supplies used in our business have fluctuated widely. In addition, we have experienced shortages of certain of our raw materials, which result in us paying increased costs for such inputs and impact our ability to produce our products.</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prices charged for our products may not reflect changes in our input costs at the time they occur, or at all. Accordingly, changes in input costs may limit our ability to maintain existing margins and may have a material adverse effect on our business, financial condition, results of operations and cash flows. While we try to manage the impact of increases in certain of these costs by locking in prices on quantities required to meet our anticipated production requirements,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identify changing consumer and customer preferences and behaviors and develop and offer products to meet these preferences.</w:t>
      </w:r>
    </w:p>
    <w:p>
      <w:pPr>
        <w:spacing w:after="0" w:line="1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Consumer and customer preferences and behaviors evolve over time due to a variety of factors. The success of our business depends on our ability to identify these changing preferences and behaviors, to distinguish between short-term trends and long-term changes in such preferences and behaviors, and to continue to develop and offer products that appeal to consumers and customers through the sales channels that they prefer. Consumer preference and behavior changes include dietary trends, attention to different nutritional aspects of foods and beverages, acceptance and the use of weight management medication, consumer in-home and on-the-go consumption patterns, preferences for certain sales channels, concerns regarding the health effects of certain foods and beverages, attention to sourcing practices relating to ingredients, animal welfare concerns, environmental concerns regarding packaging and attention to other social and governance aspects of our Company and operations. Several of our customers have announced goals to transition to recyclable, compostable or reusable packaging. These changing preferences and requirements could require us to use specially sourced ingredients and packaging types that may be more difficult to source or entail a higher cost or incremental capital investment which we may not be able to pass on to customers.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Consumers are increasingly shopping through eCommerce websites and mobile commerce applications and this trend is significantly altering the retail landscape in our category. If we are unable to effectively compete in the expanding eCommerce market or develop the data analytics capabilities needed to generate actionable commercial insights, our business performance may be impacted, which may negatively impact our financial condition, results of operations and cash flows.</w:t>
      </w:r>
    </w:p>
    <w:p>
      <w:pPr>
        <w:spacing w:after="0" w:line="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The growing acceptance and use of medication to manage weight could negatively affect the demand for many types of food in general, including our products.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Prolonged negative perceptions concerning the health implications of certain food and beverage products could influence consumer preferences and acceptance of some of our products and marketing programs.</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Although we strive to respond to consumer or customer preferences and social expectations, we may not be successful in these efforts. Any significant changes in consumer or customer preferences or our inability to anticipate or react, or effectively introduce new products in response, to such changes could result in reduced demand for our products, which could negatively impact our business, financial condition, results of operations and cash flows.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or our suppliers’ or third-party contract manufacturers’ business practices, our products, packaging or ingredients,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Negative perceptions of the food and beverage industry as a whole, or the convenient nutrition category, may heighten attention from consumers, third parties, the media, governments, stockholders and other stakeholders to such factors and could adversely affect our brand image. The growing use of social and digital media by consumers, us and third parties increases the speed and extent that information or misinformation and opinions can be shared. Negative posts or comments about us, our brands, products or packaging or the food and beverage industry generally on social or digital media (whether factual or not) or security breaches related to use of our social media could seriously damage our brands and reputation. If we do not maintain favorable perceptions of our products and our brands, or if we experience a loss of consumer confidence in our brands, our business, financial condition, results of operations and cash flows could be adversely impacted.</w:t>
      </w:r>
    </w:p>
    <w:p>
      <w:pPr>
        <w:spacing w:after="0" w:line="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in our distribution channels, and competitive, economic and other pressures facing our customers, may hurt our profit margins.</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and profit growth are dependent upon our ability to expand existing market penetration and enter into new markets.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Successful growth depends on our ability to add new customers, enter into new markets, expand the number of products sold through existing customers and enhance our product portfolio. This growth would include expanding the number of our products retailers offer for sale, our product placement and our ability to secure additional shelf or retail space for our products, as well as increased access to online platforms to sell our products. The expansion of our business depends on our ability to obtain new, or expand our business with existing, customers, such as club, FDM, eCommerce, convenience and specialty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customers. Our failure to successfully add new customers, enter into new markets, expand the number of products sold through existing customers and enhance our product portfolio could have a material adverse effect on our business, financial condition, results of operations and cash flows.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products become contaminated or adulterated, or if they are misbranded or mislabeled, we might need to recall or withdraw those items and we may experience product liability claims.</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Selling food products, beverages and nutritional supplements involves a number of legal and other risks, including contamination, spoilage, degradation, tampering, mislabeling or other adulteration. Additionally, many of the raw materials used to make certain of our products, particularly milk-based protein, are vulnerable to spoilage and contamination by naturally occurring molds and pathogens, such as salmonella, and pests. These pathogens may survive in our products as a result of improper handling by customers or consumers. We do not have control over handling procedures once our products have been shipped for distribution. We may need to recall or withdraw some or all of our products if they become damaged, contaminated, adulterated, mislabeled or misbranded, whether caused by us or someone in our manufacturing or supply chain. For example, in fiscal 2022, a third-party manufacturer that produced less than 2%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protein shakes initiated a recall of all products manufactured in one of its facilities, including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protein shakes. A recall or withdrawal could result in destruction of product ingredients and inventory, negative publicity, temporary plant closings for us or our third-party contract manufacturers, supply chain interruption, substantial costs of compliance or remediation, fines and increased scrutiny by federal, state and foreign regulatory agencies. New scientific discoveries regarding microbes and food manufacturing may bring additional risks and latent liability.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Although we have various insurance programs in place and may have rights to indemnification in certain situations, any of these events or a loss of consumer confidence could have an adverse effect on our business, financial condition, results of operations and cash flows.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limited number of customer accounts represents a large percentage of our combined net sales. Our largest customers, Costco, Walmart and its affiliates (which includes Sam’s Club) and Amazon, accounted for approximately 75.3% of our net sales in our year ended September 30, 2023.</w:t>
      </w:r>
    </w:p>
    <w:p>
      <w:pPr>
        <w:spacing w:after="0" w:line="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success of our business depends, in part, on our ability to maintain our level of sales and product distribution through the club, FDM, eCommerce, specialty and convenience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including in response to shifts in consumer purchasing or traffic trends, sell another brand on an exclusive or priority basis or change the manner of doing business with us could reduce our revenues and materially adversely affect our business, financial condition, results of operations and cash flows. Our customers also may offer branded and private label products that compete directly with our products for retail shelf space and consumer purchases. Accordingly, there is a risk that our customers may give higher priority to their own products or to the products of our competitors.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additional risks.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financial and operational performance. These risks include:</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changes in local regulatory requirements that impact our ability to sell our products in that country;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associated with cross-border product distribution;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outbreak of a contagious disease, which may cause us or our distributors, third-party contract manufacturers, vendors 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political and economic uncertainty and volatility and other events, including social unrest, government shutdowns, terrorist activity, acts of war and travel restrictions, outside of the U.S.;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U.S. laws and regulations affecting operations outside of the U.S., including anti-corruption regulations (such as the U.S. Foreign Corrupt Practices Act), and changes to such laws and regulations;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treaties, antitrust and competition laws, data privacy laws (including the E.U.’s General Data Protection Regulation), anti-corruption laws (including the U.K. Bribery Act), food safety and marketing laws and other regulatory requirements and a variety of other local, national and multi-national regulations and laws in multiple jurisdictions and changes to such laws and regulations;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changes in foreign tax treaties and policies, changes in the mix of earnings in countries with differing statutory tax rates, changes in the valuation of deferred tax assets and liabilities, changes in tax laws or their interpretations or tax audit implications;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difficulty of enforcing intellectual property and contractual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risk of uncollectible accounts and longer collection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changes in labor conditions and difficulties in staffing our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and costs of designing and implementing an effective control environment across geographic regions.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Because we have operations and assets in foreign jurisdictions, as well as a portion of our contracts and revenues denominated in foreign currencies, and our consolidated financial statements are presented in U.S. dollars, we must translate our foreign assets, liabilities, revenues and expenses into U.S. dollars at applicable exchange rates. Consequently, fluctuations in the value of foreign currencies relative to the U.S. dollar may negatively affect the value of these items in our consolidated financial statements. Our principal currency exposures are to the Canadian dollar and the Euro. To the extent we fail to manage our foreign currency exposure adequately, we may suffer losses in value of our net foreign currency investment, and our business, financial condition, results of operations and cash flows may be negatively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size and related estimates may prove to be inaccurate.</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 independent sources, proprietary research studies and management’s knowledge of the industry. While these estimates are made in good faith and are based on assumptions and estimates we believe to be reasonable, they may not be accurate.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third-party nondisclosure, confidentiality and assignment agreements and confidentiality provisions in third-party agreements and the policing of third party misuses of our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 We also are subject to risks associated with protection of our trademarks and other intellectual property licensed to distributors of our products and of our trade secrets to our third-party contract manufacturers. If our licensed distributors or third-party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market certain of our products pursuant to intellectual property license agreements. These licenses give us the right to use certain names, characters and logos in connection with our products and to sell the products. If we were to breach any material term of these license agreements and not timely cure the breach, the licensor could terminate the agreement. If the licensor were to terminate our rights to use the names, characters and logos for this reason or any other reason, or if a licensor decided not to renew a license agreement upon the expiration of the license term, the loss of such rights could have a material adverse effect on our business.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growth has placed, and we expect that our continued growth may place, a significant demand on our management, personnel, systems and resources. Our continued growth will require an increased investment by us in our third-party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rely on information technology networks and systems to process, transmit and store operating and financial information, to manage and support a variety of business processes and activities and to comply with regulatory, legal and tax requirements. We also depend upon our information technology infrastructure for digital marketing activities and for electronic communications among our locations, personnel, customers, third-party contract manufacturers and suppliers. The importance of such networks and systems has increased as a greater number of our employees work remotely all or part of the time. Our and our third-party manufacturing and distribution facilities and inventory management utilize information technology to increase efficiencies and control costs. Our and our third-party vendors’ information technology systems may be vulnerable to a variety of invasions, interruptions or malfunctions due to events beyond our or their control, including, but not limited to, natural disasters, terrorist attacks, telecommunications failures, power outages, computer viruses, ransomware and malware, hardware or software failures, cybersecurity incidents, hackers and other causes. Such invasions, interruptions or malfunctions could negatively impact our business.</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do not allocate and effectively manage the resources necessary to build and sustain the proper technology infrastructure and to maintain and protect the related automated and manual control processes, or if one of our third-party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w:t>
      </w:r>
    </w:p>
    <w:p>
      <w:pPr>
        <w:spacing w:after="0" w:line="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any of our significant information technology systems suffers severe damage, disruption or shutdown, including by malicious or unintentional actions of contractors or employees or by cyber or ransomware attacks,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are subject to an evolving body of federal, state and foreign laws, regulations, guidelines and principles regarding data privacy, data protection and data security. Several states as well as foreign governments have laws and regulations regulating how businesses collect, use and protect personal information obtained from their data subjects, including the General Data Protection Regulation, the E.U.’s retained version of General Data Protection Regulation, and the California Consumer Privacy Act, as amended by the California Privacy Rights Act, and we could incur substantial fines, other penalties or litigation related to violations of such laws and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reputation and operations.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protein blends, sweeteners and vitamin and mineral blends. In addition, increases in the frequency and severity of extreme weather and natural disasters may result in damage and disruptions to our manufacturing operations and distribution channels or our third-party contract manufacturers’ operations, particularly where a product is primarily sourced from a single location. Also, the impacts of these climate changes may cause unpredictable water availability or exacerbate water scarcity. Water is critical to our business, and the lack of available water of acceptable quality may lead to, among other things, adverse effects on our operations. The increasing concern over climate change and related environmental sustainability matters also may result in more federal, state, local and foreign legal requirements to reduce or mitigate the effects of greenhouse gases or conserve and replenish water. If such laws are enacted, we may experience significant increases in our costs of operation and delivery. Further, our business could be adversely affected if we are unable to effectively address increased concerns from the media, stockholders and other stakeholders on climate change and related environmental sustainability and governance matters. In addition, any failure to achieve goals we may set with respect to reducing our impact on the environment or perception of a failure to act responsibly with respect to the environment can lead to adverse publicity, which could damage our reputation. As a result, climate change could negatively affect our business, financial condition, results of operations and cash flows.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may evaluate potential acquisitions or other strategic transactions.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 Companies or operations we acquire or joint ventures we enter into may not be profitable or may not achieve the anticipated profitability that justify our investments.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depreciation and amortization expenses related to certain tangible and intangible assets and increased operating expenses, all of which could, individually or collectively, adversely affect our business, financial condition, results of operations and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Economic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substantial debt, which could have a negative impact on our financing options and liquidity position and which could adversely affect our business.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significant amount of debt. As of September 30, 2023, we had $865.0 million in aggregate principal amount of total debt. Additionally, our secured revolving credit facility has a remaining borrowing capacity of $225.0 million as of September 30, 2023 (all of which would be secured when drawn).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 particularly if any ratings assigned to our debt securities by ratings organizations were revised downward;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obligations under the terms of our financing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ability to meet expenses and debt service obligations will depend on our future performance, which will be affected by financial, business, economic and other factors, including the impact of pandemics and other outbreaks of contagious diseases, potential changes in consumer and customer preferences and behaviors, the success of product and marketing innovation and pressure from competitors. If we do not generate enough cash to pay our debt service obligations, we may be required to refinance all or part of our existing debt, sell assets, borrow more money or issue additional equity.</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our level of indebtedness, we may be able to incur substantially more debt, which could further exacerbate the risks related to our debt leverage, and we may in any event be required to maintain a minimum level of indebtedness.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 borrow money or guarantee debt; create liens; pay dividends on or redeem or repurchase stock or other securities; make investments and acquisitions; enter into, or permit to exist, contractual limits on the ability of our subsidiaries to pay dividends to us; enter into new lines of business; enter into transactions with affiliates; and sell assets or merge with other companies.</w:t>
      </w:r>
    </w:p>
    <w:p>
      <w:pPr>
        <w:spacing w:after="0" w:line="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Various risks, uncertainties and events beyond our control, including the impact of pandemics and other outbreaks of contagious diseases, could affect our ability to comply with these restrictions and covenants. Failure to comply with any of the restrictions and covenants in our existing or future financing arrangements could result in a default under those arrangements and under other arrangements that may contain cross-default provisions. Our credit agreement contains a covenant that requires us to maintain a total net leverage ratio (as defined in our credit agreement) not to exceed 6.00:1.00, as measured as of the last day of each fiscal quarter. 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Our ability to generate cash depends on many factors beyond our control.</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ability to pay principal and interest on our debt obligations and to fund any planned capital expenditures and other cash needs will depend in part upon the future financial and operating performance of our subsidiaries and upon our ability to renew or refinance borrowings. Prevailing economic conditions and financial, business, our future financial and operating performance, competitive, legislative, regulatory and other factors, many of which are beyond our control, including the impact of pandemics and other outbreaks of contagious diseases, will affect our ability to make these payments.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make payments, refinance our debt or obtain new financing under these circumstances, we may consider other options, including: sales of assets; sale of equity; reductions or delays of capital expenditures, strategic acquisitions, investments and alliances; or negotiations with our lenders to restructure the applicable debt.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 or unfavorable economic conditions, including during periods of high inflation, recessions or other economic disruption, could limit consumer and customer demand for our products, increase our costs or otherwise adversely affect us.</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willingness of consumers to purchase our products depends in part on general or local economic conditions and consumers’ discretionary spending habits. For instance in fiscal 2022 and fiscal 2023, the U.S. experienced significantly heightened inflationary pressures. In periods of adverse or uncertain economic conditions, including during periods of high inflation or recession concerns, consumers may purchase less of our products, purchase more value or private label products or may forgo certain purchases altogether. In addition, our customers may seek to reduce their inventories in response to those economic conditions. In those circumstances, we could experience a reduction in sales. Further, during economic downturns, it may be more difficult to convince consumers to switch to, or continue to use, our brands or convince new users to choose our brands without expensive sampling programs and price promotions. Also, as a result of economic conditions, we may be unable to raise our prices sufficiently to protect profit margins. We experienced inflationary headwinds across our business during fiscal 2022 and fiscal 2023, and we expect certain inflationary pressures to continue into fiscal 2024. This trend could have a materially adverse impact in the future if inflation rates were to significantly exceed our ability to achieve price increases or cost savings. Further, uncertain or unfavorable economic conditions, has and could continue to negatively impact the financial stability of our customers or suppliers, which could lead to increased uncollectible receivables or non-performance. Current global geopolitical tensions, including related to Ukraine and Israel and the Middle East, may exacerbate any economic downturn and inflation. Any of these events could have an adverse effect on our business, financial condition, results of operations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negatively affect our earnings.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2023, the aggregate principal amount of our debt instruments with exposure to interest rate risk was $25.0 million. Higher interest rates will increase the cost of servicing our financial instruments with exposure to interest rate risk and could materially reduce our profitability and cash flows.</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the discontinuation, replacement or reform of the London Interbank Offered Rate (“LIBOR”) could affect interest rates and financing costs. LIBOR was discontinued effective June 2023. Our credit agreement provides for relatively new benchmarks or references for determining interest rates, including the Secured Overnight Financing Rate (“SOFR”) and the Sterling Overnight Index Average (“SONIA”). It is unclear, however, if alternative rates or benchmarks, such as SOFR and SONIA, will be widely adopted, and this uncertainty may impact the liquidity of the SOFR and SONIA loan markets. The new rates may not be as favorable to us as those in effect prior to the discontinuation of LIBOR, and these new rates may be more volatile. Also, there may be uncertainty as to the nature of alternative reference rates or as to the calculation of the applicable interest rate or payment amounts under the terms of an agreement or instrument that utilizes such rate or benchmark. While we do not expect the transition from LIBOR and the risks related thereto to have a material adverse effect on us, it remains uncertain at this time.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borrowing costs and access to capital and credit markets could be adversely affected by a downgrade or potential downgrade of our credit ratings.</w:t>
      </w:r>
    </w:p>
    <w:p>
      <w:pPr>
        <w:spacing w:after="0" w:line="1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Rating agencies routinely evaluate us, and their ratings of our long-term and short-term debt are based upon a number of factors, including our cash generating capability, levels of indebtedness, policies with respect to stockholder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79"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U.S. and global capital and credit market issues, including those that have arisen as a result of heightened inflation and recession or other economic concerns, could negatively affect our liquidity, increase our costs of borrowing and disrupt the operations of our suppliers and customers.</w:t>
      </w:r>
    </w:p>
    <w:p>
      <w:pPr>
        <w:spacing w:after="0" w:line="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In fiscal 2023, the U.S. experienced significantly heightened inflationary pressures and we expect certain inflationary pressures to continue into fiscal 2024. This and other events affecting the credit markets also have had, and may in the future have, an adverse effect on other financial markets in the U.S., which may make it more difficult or costly for us to raise capital through the issuance of common stock or other equity securities or refinance our existing debt, sell our assets or borrow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impairment charges, which may be significant.</w:t>
      </w:r>
    </w:p>
    <w:p>
      <w:pPr>
        <w:spacing w:after="0" w:line="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balance sheet includes intangible assets, including goodwill, trademarks, trade names, customer relationships and other acquired intangibles. Goodwill is expected to contribute indefinitely to our cash flows and is not amortized.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 and amortization (“EBITDA”) and revenue multiples, changes in discount rates based on changes in cost of capital (interest rates, etc.) or the loss or bankruptcy of a significant customer. These factors, along with other internal and external factors, could have a significant negative impact on our fair value determination, which could then result in a material impairment charge recorded in our results of operations. No impairments were recorded in the years ended September 30, 2023, 2022 and 2021. However, we could have impairments in the future.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implementation of business strategies to reduce costs, or unintended consequences of the implementation of such strategies, may adversely affect our business, financial condition, results of operations and cash flows.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Many of our costs, such as freight, raw materials and energy, are outside of our control. Therefore, we must seek to reduce costs in other areas, such as through operating efficiency. If we are not able to complete projects designed to reduce costs and increase operating efficiency on time or within budget, or if the implementation of these projects results in unintended consequences, such as business disruptions, distraction of management and employees or reduced productivity, our business, financial condition, results of operations and cash flows may be adversely impacted. In addition, if the cost-saving initiatives we have implemented, or any future cost-saving initiatives, do not generate the expected cost savings and synergies, our business, financial condition, results of operations and cash flows may be adversely affected.</w:t>
      </w:r>
    </w:p>
    <w:p>
      <w:pPr>
        <w:spacing w:after="0" w:line="70"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have incurred, and we will continue to incur, additional fees, costs and expenses to create and maintain the corporate infrastructure to operate as a public company, and we have and we will continue to experience increased ongoing costs and expenses in connection with being a public company.</w:t>
      </w:r>
    </w:p>
    <w:p>
      <w:pPr>
        <w:spacing w:after="0" w:line="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The services historically provided to us by Post included, but were not limited to, finance, information technology, legal, human resources, quality, supply chain and purchasing functions. Following our IPO, we continued to receive some of these services pursuant to a master services agreement with Post, and in connection with the Spin-off, we, Post, Old BellRing and BellRing LLC entered into an amended and restated master services agreement, which was further amended in fiscal 2023. Under the amended and restated master services agreement, Post continues to provide certain of the above described services, and, in general, the services to be provided by Post will continue for the periods specified in the amended and restated master services agreement, but not past March 2026, subject to any subsequent extension or earlier termination as agreed to by the parties. There can be no assurance that all of the functions provided to us by Post under the amended and restated master services agreement will be successfully executed by Post or that we will not have 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amended and restated master services agreement, we will need to perform these functions ourselves or hire third parties to perform these functions on our behalf.</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operating results may differ significantly from our guidance and our forward-looking statements.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our historical financial statements. It does not extend to any guidance and should not be read to do so.</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overlapping directors and management with Post, which may lead to conflicting interests or the appearance of conflicting interests.</w:t>
      </w:r>
    </w:p>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Certain of our officers and directors, including Robert V. Vitale, who serves as Executive Chairman of our Board of Directors, also serve as officers or directors of Post. Our officers and members of our Board of Directors have fiduciary duties to our stockholders. Likewise, any such persons who serve in similar capacities at Post have fiduciary duties to Post’s shareholders. Therefore, such persons may have conflicts of interest or the appearance of conflicts of interest with respect to matters involving or affecting us and Post. In addition, some of our officers or members of our Board of Directors may own equity or options to purchase equity in Post. Such ownership interests may create, or appear to create, conflicts of interest when the applicable individuals are faced with decisions that could have different implications for us and Post. The appearance of conflicts of interest created by such overlapping relationships also could impair the confidence of our investors.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certificate of incorporation could prevent us from benefiting from corporate opportunities that might otherwise have been available to us.</w:t>
      </w:r>
    </w:p>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certificate of incorporation includes certain provisions regulating and defining the conduct of our affairs to the extent that they may involve Post and its directors, officers, employees, agents and affiliates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Moreover, our certificate of incorporation provides that we renounce any interests or expectancy in corporate opportunities which become known to</w:t>
      </w:r>
    </w:p>
    <w:p>
      <w:pPr>
        <w:spacing w:after="0" w:line="4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of our directors, officers, managers, employees or agents who also are directors, officers,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provisions in our certificate of incorporation will cease to apply at such time as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take certain actions because such actions could jeopardize the tax-free status of the Spin-off, and such restrictions could be significant.</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preserve the tax-free treatment of the Spin-off, for the initial two-year period following the Spin-off, we are prohibited, except in limited circumstances, from taking or failing to take certain actions that would prevent the Spin-off and related transactions from being tax-free, including: (i) issuing any equity securities or securities that could possibly be converted into our equity securities, including as acquisition currency for a merger or acquisition (but excluding certain equity compensation for employees); (ii) redeeming or repurchasing our equity securities or our debt or (iii) entering into any transaction pursuant to which our stock would be acquired, whether by merger or otherwise. These restrictions will not apply if we deliver an unqualified “will”-level tax opinion of a nationally recognized accounting firm or law firm (“BellRing Tax Counsel”) or a ruling from the U.S. Internal Revenue Service (the “IRS”) that the action will not cause such Spin-off to fail to qualify for its intended tax treatment.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responsible for U.S. federal income tax liabilities that relate to the Spin-off.</w:t>
      </w:r>
    </w:p>
    <w:p>
      <w:pPr>
        <w:spacing w:after="0" w:line="117"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The completion of the Spin-off by Post was conditioned on the receipt by Post of an opinion of a nationally recognized accounting firm or law firm (the “distribution tax counsel” and, together with BellRing tax counsel, “tax counsel”) to the effect that the Separation, together with certain contributions made by Post to us, should qualify as a tax-free “reorganization” within the meaning of Sections 368(a) and 355 of the Internal Revenue Code (the “Code”)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the Distribution should qualify as a tax-free distribution eligible for nonrecognition within the meaning of Sections 355 and 361 of the Code. The completion of the Spin-off was also conditioned on the receipt by us of an opinion of BellRing Tax Counsel to the effect that the merger of Merger Sub with and into Old BellRing qualified as a “reorganization” within the meaning of Section 368(a) of the Code or, alternatively, as a transaction qualifying for nonrecognition of gain and loss under Section 351 of the Code. An opinion of tax counsel is not binding on the IRS. Accordingly, the IRS may reach conclusions with respect to the distribution that are different from the conclusions reached in the opinions, and any such differing conclusions may result in U.S. federal income tax liability. The opinions will be based on certain factual statements and representations, which, if incomplete or untrue in any material respect, could alter tax counsel’s conclusions. We are not aware of any facts or circumstances that would cause any such factual statements or the opinion of tax counsel to be incomplete or untrue.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all or a portion of the Spin-off does not qualify as a tax-free transaction for any reason, including because any of the factual statements or representations in the legal opinions are incomplete or untrue, Post may recognize a substantial gain for U.S. federal income tax purposes, and we may incur indemnification or other liabilities to Post as a result.</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 if the Distribution otherwise qualifies as a tax-free transaction for U.S. federal income tax purposes, the Distribution will be taxable to Post (but not to Post shareholders) pursuant to Section 355(e) of the Code if there are (or have been) one or more acquisitions (including issuances), directly or indirectly (including through acquisitions of such stock after the completion of the Transactions), of our stock or the stock of Post, representing 50 percent or more, measured by vote or value, of the stock of any such corporation and the acquisition or acquisitions are deemed to be part of a plan or series of related transactions that include the Distribution. The process for determining whether an acquisition is part of a plan under these rules is complex, inherently factual in nature, and subject to a comprehensive analysis of the facts and circumstances of the particular case. In general, any acquisition of our common stock within two years before or after the Distribution (with exceptions, including public trading by less-than-5 percent stockholders and certain compensatory stock issuances) generally will be presumed to be part of such a plan unless that presumption is rebutted. The resulting tax liability would be substantial.</w:t>
      </w:r>
    </w:p>
    <w:p>
      <w:pPr>
        <w:spacing w:after="0" w:line="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agreed not to enter into certain transactions that could cause any portion of the Distribution to be taxable to Post, including under Section 355(e) of the Code. Pursuant to a tax matters agreement with Post, we have also agreed to indemnify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Post for any tax liabilities resulting from such transactions or other actions we take, and Post has agreed to indemnify us for any tax liabilities resulting from transactions entered into by Post. These obligations may discourage, delay or prevent a change of control of us.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pursuant to the tax matters agreement, if and to the extent the distribution does not qualify as a tax-free transaction, such failure to qualify as a tax-free transaction gives rise to adjustments to the tax basis of assets held by us and our subsidiaries, and we are not required to indemnify Post for any tax liabilities resulting from such failure to qualify as a tax-free transaction, then Post will be entitled to periodic payments from us equal to 85% of the tax savings arising from the aggregate increase to the tax basis of assets held by us and our subsidiaries resulting from such failure and Post and we will negotiate in good faith the terms of a tax receivable agreement to govern the calculation of such payments applying the principles of, and adhering as closely as practicable to, the existing tax receivable agreement between Post and BellRing. Payments under such tax receivable agreement may be substantial, and in certain cases may be accelerated or significantly exceed the actual benefits we realize in respect of the tax attributes subject to the tax receivable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third-party contract manufacturers, as well as new laws or regulations or changes to existing laws or regulations, could adversely affect our business.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subject to a variety of laws and regulations administered by federal, state and local government authorities in the U.S., as well as government authorities outside of the U.S., including requirements related to food safety, quality, manufacturing, processing, storage, marketing, advertising, labeling, distribution and worker health and workplace safety. Our activities, both inside and outside of the U.S., are subject to extensive regulation. In the U.S., we are regulated by, and our activities are affected by, among other federal, state and local authorities and regulations, the FDA, the USDA, the Federal Trade Commission, the Occupational Safety and Health Administration and Proposition 65. In Europe, we are regulated by, among other authorities, the U.K.’s Food Standards Agency, Health and Safety Executive, Environment Agency, Environmental Health, the Information Commissioners Office and the Trading Standards Office and their equivalents in E.U. member states. We also are regulated by similar authorities elsewhere in the world where our products are distributed.</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Governmental regulations also affect taxes and levies, tariffs, import and export restrictions, healthcare costs, energy usage, data privacy and immigration and labor issues, any or all of which may have a direct or indirect effect on our business or the businesses of our customers, suppliers or third-party contract manufacturers. In addition, we could be the target of claims relating to alleged false or deceptive advertising under federal, state and foreign laws and regulations. We also may be impacted by changes to administrative policies, such as business restrictions, tariffs and trade agreements, in markets in which we manufacture, sell or distribute our products.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impact of current laws and regulations, changes in, or changes in interpretations of, these laws or regulations or the introduction of new laws or regulations could increase the costs of doing business for us or our customers or suppliers or third-party contract manufacturers,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It also is possible that federal, state, local or foreign enforcement authorities might take regulatory or enforcement action, which could result in significant fines or penalties</w:t>
      </w:r>
      <w:r>
        <w:rPr>
          <w:rFonts w:ascii="Arial" w:cs="Arial" w:eastAsia="Arial" w:hAnsi="Arial"/>
          <w:sz w:val="17"/>
          <w:szCs w:val="17"/>
          <w:color w:val="212529"/>
        </w:rPr>
        <w:t>, revocations of required licenses or injunctions, as well as potential criminal sanctions</w:t>
      </w:r>
      <w:r>
        <w:rPr>
          <w:rFonts w:ascii="Arial" w:cs="Arial" w:eastAsia="Arial" w:hAnsi="Arial"/>
          <w:sz w:val="17"/>
          <w:szCs w:val="17"/>
          <w:color w:val="auto"/>
        </w:rPr>
        <w:t xml:space="preserve">.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w:t>
      </w:r>
      <w:r>
        <w:rPr>
          <w:rFonts w:ascii="Arial" w:cs="Arial" w:eastAsia="Arial" w:hAnsi="Arial"/>
          <w:sz w:val="17"/>
          <w:szCs w:val="17"/>
          <w:color w:val="212529"/>
        </w:rPr>
        <w:t>Any of these events would negatively impact our revenues and costs of operations.</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may be impacted by changes to administrative policies, such as business restrictions, tariffs and trade agreements, in markets in which we or our third-party contract manufacturers manufacture, sell or distribute our products.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products are regulated by the FDA as dietary supplements, which are subject to FDA regulations and levels of regulatory scrutiny different from those applicable to conventional food. Internationally, the convenient nutrition category is regulated as food and dietary supplements. Such heightened regulatory scrutiny results in increased costs of operations and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potential for delays in product sales. In addition,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litigation and claims may impair our reputation or lead us to incur significant costs.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We are, or may become, party to various lawsuits and claims arising in the normal course of business, which may include lawsuits or claims relating to contracts, third-party contract manufacturers, intellectual property infringement, product recalls, product liability, false or deceptive advertising, employment matters, environmental matters or other aspects of our business. There has been a recent increase in lawsuits filed against food and beverage companies alleging deceptive advertising and labeling. In addition, actions we have taken or may take, or decisions we have made or may make, may result in legal claims or litigation against us. Negative publicity resulting from allegations made in lawsuits or claims asserted against us, whether or not valid, may adversely affect our reputation. In addition, we may be required to pay damage awards or settlements, become subject to injunctions or other equitable remedies, be required to modify our business processes, practices or products or be required to stop selling certain of our products. For instance, one of our operating subsidiaries, Premier Nutrition, LLC, is a defendant in several class action lawsuits related to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product, which it discontinued in the first quarter of fiscal 2023. At September 30, 2023, we had accrued $21.0 million related to these matters. In addition, intellectual property infringement litigation or claims could cause us to cease making, licensing or using products that incorporate the challenged intellectual property, require us to redesign or rebrand our products or packaging, if feasible, or require us to enter into royalty or licensing agreements in order to obtain the right to use a third party’s intellectual property. Any or all of these consequences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various insurance programs in place, the potential liabilities associated with lawsuits and claims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and our contract manufacturers and other vendors and suppliers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 Certain environmental laws and regulations can impose joint and several liability without regard to fault on responsible parties, including past and present owners and operators of sites, related to cleaning up sites at which hazardous materials were disposed of or released. Failure to comply with environmental laws and regulations could result in severe fines and penalties by governments or courts of law. In addition, future laws may more stringently regulate the emission of greenhouse gases, particularly carbon dioxide and methane.</w:t>
      </w:r>
    </w:p>
    <w:p>
      <w:pPr>
        <w:spacing w:after="0" w:line="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Future events, such as new or more stringent environmental laws and regulations, new environmental claims, the discovery of currently unknown environmental conditions requiring responsive action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market price of our common stock could fluctuate significantly for many reasons, including in response to the risk factors listed in this report or for reasons unrelated to our specific performance, such as reports by industry analysts, our failure to meet analysts’ earnings estimates, investor perceptions, or negative developments relating to our customers, competitors or suppliers, as well as general economic and industry conditions.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declare or pay any dividends on our common stock for the foreseeable future.</w:t>
      </w:r>
    </w:p>
    <w:p>
      <w:pPr>
        <w:spacing w:after="0" w:line="11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may retain future earnings, if any, for future operations, expansion and debt repayment. We have not paid cash dividends to date and have no current plans to pay any cash dividends for the foreseeable future. Consequently, our stockholders must rely on sales of their shares of our common stock after price appreciation, which may never occur, as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only way to realize any future gains on their investment. Any future determination to pay dividends, including timing and amount,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Our ability to pay dividends depends on our receipt of cash dividends from our operating subsidiaries and our ability to pay dividends may be further restricted as a result of the laws of our subsidiaries’ jurisdictions of organization or their agreements, including agreements governing indebtedness.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provisions of Delaware law may discourage or prevent strategic transactions, including a takeover of the Company, even if such a transaction would be beneficial to our stockholders.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Provisions contained in our certificate of incorporation and bylaws and provisions of the General Corporation Law of the State of Delaware (the “DGCL”) could delay or prevent a third party from entering into a strategic transaction with us, as applicable, even if such transaction would benefit our stockholders. For example, our certificate of incorporation and bylaws:</w:t>
      </w:r>
    </w:p>
    <w:p>
      <w:pPr>
        <w:spacing w:after="0" w:line="76"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 the members of the Board of Directors into three classes with staggered three-year terms, which may delay or prevent a change of our management or a change on control;</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the issuance of “blank-check” preferred stock that could be issued by us upon approval of the Board of Directors to increase the number of outstanding shares of capital stock, making a takeover more difficult and expensive;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directors may be removed from office only for cause and that any vacancy or newly created directorships on the Board of Directors may only be filled by a majority of directors then in office, which may make it difficult for other stockholders to reconstitute the Board of Directors;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special meetings of the stockholders may be called only upon the request of a majority of the Board of Directors or by the chairman of the Board of Directors or the chief executive officer;</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any action to be taken by stockholders be taken at an annual or special meeting of stockholders;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advance notice to be given by stockholders for any stockholder proposals or director nominees.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the Company.</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certificate of incorporation provides that the Court of Chancery of the State of Delaware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for which the U.S. federal courts have exclusive jurisdiction. Section 22 of the Securities Act creates concurrent jurisdiction for federal and state courts over all Securities Act actions. Accordingly, both state and federal courts have jurisdiction to entertain such claims. However, our certificate of incorporation also provides that U.S. federal courts will, to the fullest extent permitted by law, be the sole and exclusive forum for the resolution of any complaint asserting a cause of action or proceeding arising under the Securities Act. While the Delaware courts have determined that choice of forum provisions are facially valid, a stockholder may nevertheless seek to bring a claim in a venue other than that designated in the Company’s exclusive forum provision. Although our certificate of incorporation contains the exclusive forum provision described above, it is possible that a court could find that such a provision is inapplicable for a particular claim or action or that such provision is unenforceable. The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8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the Company or its directors, officers, or other employees and may discourage these types of lawsuits. Alternatively, if a court were to find the choice of forum provision contained in our certificate of incorporation to be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60"/>
        <w:spacing w:after="0" w:line="375" w:lineRule="auto"/>
        <w:rPr>
          <w:sz w:val="20"/>
          <w:szCs w:val="20"/>
          <w:color w:val="auto"/>
        </w:rPr>
      </w:pPr>
      <w:r>
        <w:rPr>
          <w:rFonts w:ascii="Arial" w:cs="Arial" w:eastAsia="Arial" w:hAnsi="Arial"/>
          <w:sz w:val="18"/>
          <w:szCs w:val="18"/>
          <w:color w:val="auto"/>
        </w:rPr>
        <w:t xml:space="preserve">inapplicable or unenforceable in an action, we may incur additional costs associated with resolving such action in other jurisdictions. </w:t>
      </w:r>
      <w:r>
        <w:rPr>
          <w:rFonts w:ascii="Arial" w:cs="Arial" w:eastAsia="Arial" w:hAnsi="Arial"/>
          <w:sz w:val="18"/>
          <w:szCs w:val="18"/>
          <w:b w:val="1"/>
          <w:bCs w:val="1"/>
          <w:color w:val="auto"/>
        </w:rPr>
        <w:t>General Risks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may adversely affect us, and the IRS or a court may disagree with our tax positions, which may result in adverse effects on our business, financial condition, results of operations and cash flows.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Furthermore, there is no assurance that the IRS or a court will agree with the positions taken by us, in which case tax penalties and interest may be imposed that could adversely affect our business,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depend upon the skills, working relationships and continued services of key personnel, including our senior management team. In addition, our ability to achieve our operating goals depends upon our ability to recruit, hire, retain and develop qualified and diverse personnel to operate and expand our business. We compete with other companies both within and outside of our industry for talented personnel. If we lose key personnel, or one or more members of our senior management team, and we fail to develop adequate succession plans, or if we fail to hire, retain and develop a sufficient number of qualified and diverse employees to operate and expand our business, our business, financial condition, results of operations and cash flows could be harmed.</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dependent upon our employees being able to safely perform their jobs. If we experience workforce disruptions or periods where our employees are unable to safely perform their jobs for any reason, including as a result of illness or restrictions put in place by governmental authorities, our business, financial condition, results of operations and cash flows could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labor-related costs, including costs of medical and other employee health and welfare benefits, may reduce our profitability.</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Inflationary pressures and shortages in the labor market have increased, and could continue to increase, our labor costs, which could negatively impact our profitability. With approximately 420 employees as of November 1, 2023, our profitability 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continue to satisfy the requirements of Section 404 of the Sarbanes-Oxley Act, or our internal control over financial reporting is not effective, the reliability of our financial statements may be questioned, and the price of our common stock could suffer.</w:t>
      </w:r>
    </w:p>
    <w:p>
      <w:pPr>
        <w:spacing w:after="0" w:line="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Section 404 of the Sarbanes-Oxley Act of 2002 (“SOX”) requires any company subject to the reporting requirements of the U.S. securities laws to do a comprehensive evaluation of its and its consolidated subsidiaries’ internal control over financial reporting.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its audit of our internal control over financial reporting.</w:t>
      </w:r>
    </w:p>
    <w:p>
      <w:pPr>
        <w:spacing w:after="0" w:line="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significant deficiencies which may not be remedied in time to meet the deadlines imposed by SOX and SEC rules. If our management cannot favorably assess the effectiveness of our internal control over financial reporting or our independent registered public accounting firm identifies material weaknesses in our internal controls, investor confidence in our financial results may weaken and the price of our common stock may suffer. In addition, in the event we do not maintain effective internal control over financial reporting, we might fail to timely prevent or detect potential financial misstatements. As of September 30, 2023, management determined that our internal control over financial reporting was effective.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6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1C.</w:t>
        <w:tab/>
        <w:t>CYBERSECURITY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Post provides us space for our principal executive offices in St. Louis, Missouri pursuant to the MSA among BellRing Inc., BellRing LLC, BellRing Intermediate Holdings, Inc. and Post. Our other administrative offices, as well as the warehousing, distribution and research and development facilities of our principal operations, are described below. While our products are primarily manufactured by third-party contract manufacturers, we also own one manufacturing facility. For additional information regarding our third party manufacturing network, see “Business - Supply Chain” in Item 1 of this report.</w:t>
      </w:r>
    </w:p>
    <w:p>
      <w:pPr>
        <w:spacing w:after="0" w:line="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lease a research and development facility and administrative office in Emeryville, California. We also lease administrative offices in Dallas, Texas; Rogers, Arkansas; Munich, Germany and Worb, Switzerland. Through third-party logistics firms, we lease warehouse space in Tagelswangen, Switzerland and a distribution center with warehouse space in Kleve, Germany. We also manufacture protein and energy bars and gels and conduct research and development through an owned facility in Voerde, Germany. Management believes our facilities generally are in good operating condition. In conjunction with our arrangements with third-party contract manufacturers, management believes, taken as a whole, our facilities generally are suitable, adequate and of sufficient capacity for our current operations. See “Risk Factors” included in Item 1A of this report for more information about our supply chain.</w:t>
      </w:r>
    </w:p>
    <w:p>
      <w:pPr>
        <w:spacing w:after="0" w:line="1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information required under this Item 3 is set forth in Note 14 within “Notes to Consolidated Financial Statements” included in Part II, Item 8 of this report and is incorporated herein by this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pending as of the filing date of this report or that were resolved during the three months ended September 30, 2023.</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March 10, 2022, our Class A common stock, $0.01 par value per share (“Old BellRing Class A Common Stock”) was traded on the New York Stock Exchange (the “NYSE”) under the trading symbol “BRBR.” On March 10, 2022, the outstanding shares of our Old BellRing Class A Common Stock were converted into BellRing common stock, $0.01 par value per share (“BellRing Common Stock”) and continued to trade on the NYSE under the trading symbol “BRBR”. For additional information, refer to Note 1 within “Notes to Consolidated Financial Statements” in Item 8 of this report. There were approximately 4,131 stockholders of record of our BellRing Common Stock as of November 14, 2023.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not pay cash dividends on our BellRing Common Stock for the foreseeable future. Any future determination to pay dividends, and the amount and timing of any such payment,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under this Item 5 concerning equity compensation plan information is set out below under Item 12 of this report and is incorporated herein by this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information with respect to repurchases of shares of our BellRing Common Stock during the three months ended September 30, 2023 and our BellRing Common Stock repurchase authorization.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Average Price</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Dollar Value of Shares</w:t>
            </w:r>
          </w:p>
        </w:tc>
        <w:tc>
          <w:tcPr>
            <w:tcW w:w="0" w:type="dxa"/>
            <w:vAlign w:val="bottom"/>
          </w:tcPr>
          <w:p>
            <w:pPr>
              <w:spacing w:after="0"/>
              <w:rPr>
                <w:sz w:val="1"/>
                <w:szCs w:val="1"/>
                <w:color w:val="auto"/>
              </w:rPr>
            </w:pPr>
          </w:p>
        </w:tc>
      </w:tr>
      <w:tr>
        <w:trPr>
          <w:trHeight w:val="162"/>
        </w:trPr>
        <w:tc>
          <w:tcPr>
            <w:tcW w:w="392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Period</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1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Paid per Share</w:t>
            </w:r>
          </w:p>
        </w:tc>
        <w:tc>
          <w:tcPr>
            <w:tcW w:w="2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2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that May Yet be Purchased Under</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91"/>
              </w:rPr>
              <w:t>(a)</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Plans or Programs (b)</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Plans or Programs (b)</w:t>
            </w: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2023 - July 31, 2023</w:t>
            </w:r>
          </w:p>
        </w:tc>
        <w:tc>
          <w:tcPr>
            <w:tcW w:w="14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$31,000,428</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August 1, 2023 - August 31, 2023</w:t>
            </w:r>
          </w:p>
        </w:tc>
        <w:tc>
          <w:tcPr>
            <w:tcW w:w="1160" w:type="dxa"/>
            <w:vAlign w:val="bottom"/>
          </w:tcPr>
          <w:p>
            <w:pPr>
              <w:jc w:val="right"/>
              <w:spacing w:after="0"/>
              <w:rPr>
                <w:sz w:val="20"/>
                <w:szCs w:val="20"/>
                <w:color w:val="auto"/>
              </w:rPr>
            </w:pPr>
            <w:r>
              <w:rPr>
                <w:rFonts w:ascii="Arial" w:cs="Arial" w:eastAsia="Arial" w:hAnsi="Arial"/>
                <w:sz w:val="18"/>
                <w:szCs w:val="18"/>
                <w:color w:val="auto"/>
              </w:rPr>
              <w:t>133,487</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38.58</w:t>
            </w:r>
          </w:p>
        </w:tc>
        <w:tc>
          <w:tcPr>
            <w:tcW w:w="2440" w:type="dxa"/>
            <w:vAlign w:val="bottom"/>
          </w:tcPr>
          <w:p>
            <w:pPr>
              <w:jc w:val="right"/>
              <w:spacing w:after="0"/>
              <w:rPr>
                <w:sz w:val="20"/>
                <w:szCs w:val="20"/>
                <w:color w:val="auto"/>
              </w:rPr>
            </w:pPr>
            <w:r>
              <w:rPr>
                <w:rFonts w:ascii="Arial" w:cs="Arial" w:eastAsia="Arial" w:hAnsi="Arial"/>
                <w:sz w:val="18"/>
                <w:szCs w:val="18"/>
                <w:color w:val="auto"/>
              </w:rPr>
              <w:t>133,487</w:t>
            </w:r>
          </w:p>
        </w:tc>
        <w:tc>
          <w:tcPr>
            <w:tcW w:w="2580" w:type="dxa"/>
            <w:vAlign w:val="bottom"/>
          </w:tcPr>
          <w:p>
            <w:pPr>
              <w:jc w:val="right"/>
              <w:spacing w:after="0"/>
              <w:rPr>
                <w:sz w:val="20"/>
                <w:szCs w:val="20"/>
                <w:color w:val="auto"/>
              </w:rPr>
            </w:pPr>
            <w:r>
              <w:rPr>
                <w:rFonts w:ascii="Arial" w:cs="Arial" w:eastAsia="Arial" w:hAnsi="Arial"/>
                <w:sz w:val="18"/>
                <w:szCs w:val="18"/>
                <w:color w:val="auto"/>
              </w:rPr>
              <w:t>$25,850,718</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2023 - September 30, 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67,543</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67,543</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$23,120,318</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201,030</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201,030</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$23,120,318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Does not include broker’s commissions or accrued excise tax.</w:t>
      </w:r>
    </w:p>
    <w:p>
      <w:pPr>
        <w:spacing w:after="0" w:line="113" w:lineRule="exact"/>
        <w:rPr>
          <w:rFonts w:ascii="Arial" w:cs="Arial" w:eastAsia="Arial" w:hAnsi="Arial"/>
          <w:sz w:val="16"/>
          <w:szCs w:val="16"/>
          <w:color w:val="auto"/>
        </w:rPr>
      </w:pPr>
    </w:p>
    <w:p>
      <w:pPr>
        <w:jc w:val="both"/>
        <w:ind w:left="340" w:hanging="332"/>
        <w:spacing w:after="0" w:line="269"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May 3, 2023, the Company’s Board of Directors approved an $80,000,000 repurchase authorization (the “Authorization”) with respect to shares of BellRing Common Stock effective May 3, 2023. The Authorization expires on May 3, 2025. Repurchases may be made from time to time in the open market, private purchases, through forward, derivative, alternative,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performance graph compares the changes for the period beginning October 17, 2019, the first day our common stock began trading on the NYSE, through September 29, 2023 in the cumulative total value of $100 hypothetically invested in each of (i) our publically traded common stock (which included Old BellRing Class A Common Stock prior to March 10, 2022 and BellRing Common Stock subsequent to March 10, 2022); (ii) the Russell 2000 index; and (iii) the S&amp;P 1500 Packaged Foods &amp; Meats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59055</wp:posOffset>
            </wp:positionV>
            <wp:extent cx="5486400" cy="3257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864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332"/>
        <w:spacing w:after="0" w:line="259" w:lineRule="auto"/>
        <w:tabs>
          <w:tab w:leader="none" w:pos="4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invested on October 17, 2019 in stock or index. The cumulative total return of our publicly traded common stock includes the reinvestment of $2.97 in cash paid to holders of our Old BellRing Class A Common Stock in addition to each share of Old BellRing Class A Common Stock converted into BellRing Common Stock on March 10, 2022. For additional information, refer to Note 1 within “Notes to Consolidated Financial Statements” in Item 8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422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rPr>
              <w:t>BellRing Brands, Inc. ($)</w:t>
            </w:r>
          </w:p>
        </w:tc>
        <w:tc>
          <w:tcPr>
            <w:tcW w:w="192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Russell 2000 Index ($)</w:t>
            </w:r>
          </w:p>
        </w:tc>
        <w:tc>
          <w:tcPr>
            <w:tcW w:w="1920" w:type="dxa"/>
            <w:vAlign w:val="bottom"/>
          </w:tcPr>
          <w:p>
            <w:pPr>
              <w:jc w:val="right"/>
              <w:ind w:right="133"/>
              <w:spacing w:after="0"/>
              <w:rPr>
                <w:sz w:val="20"/>
                <w:szCs w:val="20"/>
                <w:color w:val="auto"/>
              </w:rPr>
            </w:pPr>
            <w:r>
              <w:rPr>
                <w:rFonts w:ascii="Arial" w:cs="Arial" w:eastAsia="Arial" w:hAnsi="Arial"/>
                <w:sz w:val="16"/>
                <w:szCs w:val="16"/>
                <w:b w:val="1"/>
                <w:bCs w:val="1"/>
                <w:color w:val="auto"/>
              </w:rPr>
              <w:t>S&amp;P 1500 Packaged</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w w:val="99"/>
              </w:rPr>
              <w:t>Foods &amp; Meats Index ($)</w:t>
            </w: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10/17/2019</w:t>
            </w:r>
          </w:p>
        </w:tc>
        <w:tc>
          <w:tcPr>
            <w:tcW w:w="4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100.00</w:t>
            </w:r>
          </w:p>
        </w:tc>
        <w:tc>
          <w:tcPr>
            <w:tcW w:w="1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9/30/2020</w:t>
            </w:r>
          </w:p>
        </w:tc>
        <w:tc>
          <w:tcPr>
            <w:tcW w:w="4220" w:type="dxa"/>
            <w:vAlign w:val="bottom"/>
          </w:tcPr>
          <w:p>
            <w:pPr>
              <w:jc w:val="right"/>
              <w:ind w:right="92"/>
              <w:spacing w:after="0"/>
              <w:rPr>
                <w:sz w:val="20"/>
                <w:szCs w:val="20"/>
                <w:color w:val="auto"/>
              </w:rPr>
            </w:pPr>
            <w:r>
              <w:rPr>
                <w:rFonts w:ascii="Arial" w:cs="Arial" w:eastAsia="Arial" w:hAnsi="Arial"/>
                <w:sz w:val="18"/>
                <w:szCs w:val="18"/>
                <w:color w:val="auto"/>
              </w:rPr>
              <w:t>125.70</w:t>
            </w:r>
          </w:p>
        </w:tc>
        <w:tc>
          <w:tcPr>
            <w:tcW w:w="1920" w:type="dxa"/>
            <w:vAlign w:val="bottom"/>
          </w:tcPr>
          <w:p>
            <w:pPr>
              <w:jc w:val="right"/>
              <w:ind w:right="52"/>
              <w:spacing w:after="0"/>
              <w:rPr>
                <w:sz w:val="20"/>
                <w:szCs w:val="20"/>
                <w:color w:val="auto"/>
              </w:rPr>
            </w:pPr>
            <w:r>
              <w:rPr>
                <w:rFonts w:ascii="Arial" w:cs="Arial" w:eastAsia="Arial" w:hAnsi="Arial"/>
                <w:sz w:val="18"/>
                <w:szCs w:val="18"/>
                <w:color w:val="auto"/>
              </w:rPr>
              <w:t>99.13</w:t>
            </w:r>
          </w:p>
        </w:tc>
        <w:tc>
          <w:tcPr>
            <w:tcW w:w="192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9/30/2021</w:t>
            </w:r>
          </w:p>
        </w:tc>
        <w:tc>
          <w:tcPr>
            <w:tcW w:w="4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186.36</w:t>
            </w:r>
          </w:p>
        </w:tc>
        <w:tc>
          <w:tcPr>
            <w:tcW w:w="1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146.36</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9/30/2022</w:t>
            </w:r>
          </w:p>
        </w:tc>
        <w:tc>
          <w:tcPr>
            <w:tcW w:w="4220" w:type="dxa"/>
            <w:vAlign w:val="bottom"/>
          </w:tcPr>
          <w:p>
            <w:pPr>
              <w:jc w:val="right"/>
              <w:ind w:right="92"/>
              <w:spacing w:after="0"/>
              <w:rPr>
                <w:sz w:val="20"/>
                <w:szCs w:val="20"/>
                <w:color w:val="auto"/>
              </w:rPr>
            </w:pPr>
            <w:r>
              <w:rPr>
                <w:rFonts w:ascii="Arial" w:cs="Arial" w:eastAsia="Arial" w:hAnsi="Arial"/>
                <w:sz w:val="18"/>
                <w:szCs w:val="18"/>
                <w:color w:val="auto"/>
              </w:rPr>
              <w:t>139.27</w:t>
            </w:r>
          </w:p>
        </w:tc>
        <w:tc>
          <w:tcPr>
            <w:tcW w:w="1920" w:type="dxa"/>
            <w:vAlign w:val="bottom"/>
          </w:tcPr>
          <w:p>
            <w:pPr>
              <w:jc w:val="right"/>
              <w:ind w:right="52"/>
              <w:spacing w:after="0"/>
              <w:rPr>
                <w:sz w:val="20"/>
                <w:szCs w:val="20"/>
                <w:color w:val="auto"/>
              </w:rPr>
            </w:pPr>
            <w:r>
              <w:rPr>
                <w:rFonts w:ascii="Arial" w:cs="Arial" w:eastAsia="Arial" w:hAnsi="Arial"/>
                <w:sz w:val="18"/>
                <w:szCs w:val="18"/>
                <w:color w:val="auto"/>
              </w:rPr>
              <w:t>111.93</w:t>
            </w:r>
          </w:p>
        </w:tc>
        <w:tc>
          <w:tcPr>
            <w:tcW w:w="1920" w:type="dxa"/>
            <w:vAlign w:val="bottom"/>
          </w:tcPr>
          <w:p>
            <w:pPr>
              <w:jc w:val="right"/>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9/29/2023</w:t>
            </w:r>
          </w:p>
        </w:tc>
        <w:tc>
          <w:tcPr>
            <w:tcW w:w="4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278.62</w:t>
            </w:r>
          </w:p>
        </w:tc>
        <w:tc>
          <w:tcPr>
            <w:tcW w:w="1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121.86</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discussion summarizes the significant factors affecting the consolidated operating results, financial condition, liquidity and capital resources of BellRing Brands, Inc. (formerly known as BellRing Distribution, LLC) (“BellRing”) and its consolidated subsidiaries. This discussion should be read in conjunction with the financial statements under Item 8 of this report and the “Cautionary Statement on Forward-Looking Statements” on page 1.</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should be read in conjunction with the discussion and analysis of our fiscal 2022 results compared to our fiscal 2021 results, including any related discussion of fiscal 2021 results and activity, which can be found in Item 7 of Part II under the title “Management’s Discussion and Analysis of Financial Condition and Results of Operations” in our Annual Report on Form 10-K for the year ended September 30, 2022, and such discussion and analysis is incorporated by reference herein.</w:t>
      </w:r>
    </w:p>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Intermediate Holdings, Inc. (formerly known as BellRing Brands, Inc.) (“Old BellRing”) closed its initial public offering (the “IPO”) of 39.4 million shares of its Class A common stock, $0.01 par value per share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second quarter of fiscal 2022, Post completed its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11, 2022, Post transferred 14.8 million shares of its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25, 2022, Post transferred its remaining 4.6 million shares of BellRing Common Stock to certain financial institutions in satisfaction of term loan obligations of Post. In connection with this transaction, BellRing repurchased 0.9 million of the transferred shares from certain of the financial institutions. Post had no ownership of BellRing Common Stock as of September 30, 2023.</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BellRing incurred separation-related expenses in connection with its separation from Post of $0.7 million and $14.5 million during the years ended September 30, 2023 and 2022, respectively. These expenses generally included third-party costs for advisory services, fees charged by other service providers and government filing fees and were included in “Selling, general and administrative expenses” in the Consolidated Statements of Operations.</w:t>
      </w:r>
    </w:p>
    <w:p>
      <w:pPr>
        <w:spacing w:after="0" w:line="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terms “BellRing,” “we,” “our,” “us,” “the Company” or “our Company” generally refer to Old BellRing and its consolidated subsidiaries during the periods prior to the Spin-off and to us and our consolidated subsidiaries during the periods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are a consumer products holding company operating in the global convenient nutrition category and are a provider of ready-to-drink (“RTD”) protein shakes, other RTD beverages and powders. We have a single operating and reportable segment, with our principal products being protein-based consumer goods. Our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Company Trends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the convergence of several factors to support the continued growth of the convenient nutrition category, including:</w:t>
      </w:r>
    </w:p>
    <w:p>
      <w:pPr>
        <w:spacing w:after="0" w:line="10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17" w:lineRule="exact"/>
        <w:rPr>
          <w:rFonts w:ascii="Arial" w:cs="Arial" w:eastAsia="Arial" w:hAnsi="Arial"/>
          <w:sz w:val="18"/>
          <w:szCs w:val="18"/>
          <w:color w:val="auto"/>
        </w:rPr>
      </w:pPr>
    </w:p>
    <w:p>
      <w:pPr>
        <w:ind w:left="340" w:right="1940" w:hanging="8"/>
        <w:spacing w:after="0" w:line="422" w:lineRule="auto"/>
        <w:tabs>
          <w:tab w:leader="none" w:pos="6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rise in snacking and the desire for products that can be consumed on-the-go as nutritious snacks or meal replacements. Nonetheless, the consumer food and beverage industry faces a number of challenges and uncertainties, including:</w:t>
      </w: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highly competitive nature of the industry, which involves competition from a host of nutritional food and beverage companies, including manufacturers of other branded food and beverage products as well as manufacturers of private label and store brand products;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changing consumer preferences which require food manufacturers to identify changing preferences and to offer products that appeal to consumers;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chain challenges, including labor shortages and equipment delays, which have delayed capacity expansion across the broader third-party aseptic processing contract manufacturer network and are expected to continue into fiscal 2024;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inflationary pressures (see “Market Trends” below for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in the past, and expect to continue to experience, seasonal fluctuations in our sales and operating profit margins because of customer spending patterns and timing of our key retailers’ promotional activity. Historically, our first fiscal quarter is seasonally low for all brands driven by a slowdown of consumption of our products during the holiday season. Sales are typically higher throughout the remainder of the fiscal year as a result of promotional activity at key retailers as well as organic growth of the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fiscal 2023 and 2022, input cost inflation, including raw material, packaging and manufacturing costs, impacted our supply chain and put downward pressure on profit margins. As a result, we have taken pricing actions on nearly all products. We expect inflationary pressures on protein costs to ease in fiscal 2024, while other costs, such as packaging and manufacturing, to continue to face inflationary pressures in fiscal 2024. Inflation could have a materially adverse impact on our business in the future if inflation rates were to significantly exceed our ability to achieve price increases or cost savings or if such price increases impact demand for our products.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additional discussion, refer to “Liquidity and Capital Resources” within this section, as well as “Cautionary Statement on Forward-Looking Statements”on page 1 of this report and “Risk Factors” in Part I of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years ended September 30, 2023 and 2022, net sales and/or operating profit were impacted by the following items:</w:t>
      </w:r>
    </w:p>
    <w:p>
      <w:pPr>
        <w:spacing w:after="0" w:line="117" w:lineRule="exact"/>
        <w:rPr>
          <w:sz w:val="20"/>
          <w:szCs w:val="20"/>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accelerated amortization expense of $7.1 million for the year ended September 30, 2023 related to the discontinuance of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business in North America;</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separation-related expenses in connection with our separation from Post of $0.7 million and $14.5 million for the years ended September 30, 2023 and 2022, respectively; and</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 million and $8.0 million of expense for the years ended September 30, 2023 and 2022, respectively, related to provisions for legal matters. For additional information, refer to Note 14 within “Notes to Consolidated Financial Statements” in Item 8 of this report.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refer to “Results of Operations” within this section.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Year Ended</w:t>
            </w:r>
          </w:p>
        </w:tc>
        <w:tc>
          <w:tcPr>
            <w:tcW w:w="180" w:type="dxa"/>
            <w:vAlign w:val="bottom"/>
          </w:tcPr>
          <w:p>
            <w:pPr>
              <w:spacing w:after="0"/>
              <w:rPr>
                <w:sz w:val="16"/>
                <w:szCs w:val="16"/>
                <w:color w:val="auto"/>
              </w:rPr>
            </w:pPr>
          </w:p>
        </w:tc>
        <w:tc>
          <w:tcPr>
            <w:tcW w:w="2280" w:type="dxa"/>
            <w:vAlign w:val="bottom"/>
            <w:gridSpan w:val="3"/>
            <w:vMerge w:val="restart"/>
          </w:tcPr>
          <w:p>
            <w:pPr>
              <w:jc w:val="right"/>
              <w:ind w:right="795"/>
              <w:spacing w:after="0"/>
              <w:rPr>
                <w:sz w:val="20"/>
                <w:szCs w:val="20"/>
                <w:color w:val="auto"/>
              </w:rPr>
            </w:pPr>
            <w:r>
              <w:rPr>
                <w:rFonts w:ascii="Arial" w:cs="Arial" w:eastAsia="Arial" w:hAnsi="Arial"/>
                <w:sz w:val="16"/>
                <w:szCs w:val="16"/>
                <w:b w:val="1"/>
                <w:bCs w:val="1"/>
                <w:color w:val="auto"/>
              </w:rPr>
              <w:t>Change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22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Dollars</w:t>
            </w:r>
          </w:p>
        </w:tc>
        <w:tc>
          <w:tcPr>
            <w:tcW w:w="14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and refinancing of debt, net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Net sales increased $295.3 million, or 22%, during the year ended September 30, 2023 compared to the prior year.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$275.7 million, or 25%, on 11% higher volumes. Average net selling prices increased in the year ended September 30, 2023 due to targeted price increases taken to mitigate inflation. Volumes increased due to higher production, distribution gains and the reintroduction of certain RTD shake flavors.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up $22.8 million, or 11%, primarily driven by higher average net selling prices. Average net selling prices increased in the year ended September 30, 2023 due to targeted price increases, partially offset by increased promotional spending. In addition,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volumes increased 4% primarily driven by distribution gains. Sales of all other products were down $3.2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Operating profit increased $74.9 million, or 35%, during the year ended September 30, 2023 compared to the prior year. This increase was primarily driven by higher net sales, as previously discussed, and $13.8 million of lower costs related to the separation from Post. These positive impacts were partially offset by higher net product costs of $87.3 million primarily driven by unfavorable raw material and manufacturing costs, slightly offset by lower freight costs. In addition, we incurred the following higher expenses; (i) advertising expenses of $18.3 million, (ii) employee-related expenses of $9.2 million, (iii) professional fees of $8.3 million, and (iv) accelerated amortization expense of $7.1 million related to the discontinuance of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business in North America.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Interest expense, net increased $17.7 million during the year ended September 30, 2023 compared to the prior year. This increase was primarily due to higher average outstanding principal amounts of debt, primarily resulting from the Spin-off, and a higher weighted-average interest rate compared to the prior year. The weighted-average interest rate on our total outstanding debt increased to 7.2% for the year ended September 30, 2023 from 6.2% for the year ended September 30, 2022, primarily driven by the issuance of our 7.00% Senior Notes during the second quarter of fiscal 2022. See Note 13 within “Notes to Consolidated Financial Statements” for additional information on our debt.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and Refinancing of Debt, Net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September 30, 2022, we recognized a $17.6 million loss related to the termination of our Old Credit Agreement (as defined in “Liquidity and Capital Resources”). This loss included (i) a $6.9 million write-off of unamortized discounts and debt extinguishment fees, (ii) a $6.1 million write-off of unamortized net hedging losses recorded within accumulated other comprehensive income or loss related to the Term B Facility (as defined in “Liquidity and Capital Resources”) and (iii) a $4.6 million write-off of debt issuance costs and deferred financing fees. See Note 13 within “Notes to Consolidated Financial Statements” for additional information on our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effective income tax rate for fiscal 2023 was 24.9% compared to 20.3% for fiscal 2022. The following table presents the reconciliation of income tax expense with amounts computed at the United States (“U.S.”) federal statutory tax rate.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rPr>
              <w:t>Year Ended September 30,</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 at federal statutory rate (21%)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Income tax expense attributable to redeemable noncontrolling interest</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effect on federal tax</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(none in excess of 5% of computed tax)</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our effective income tax rate for fiscal 2023 compared to the prior year was primarily due to us reporting 100% of the income, gain, loss and deduction of BellRing LLC in the periods subsequent to the Spin-off, partially offset by higher separation-related expenses incurred in connection with the Spin-off in the prior year that were treated as non-deductible.</w:t>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10, 2022, in connection with the Transaction Agreement, we issued the 7.00% Senior Notes to Post as partial non-cash consideration for the Contribution in connection with the Distribution. Post subsequently delivered the 7.00% Senior Notes to certain financial institutions in satisfaction of term loan obligations of Post in an equal principal amount.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10, 2022, in connection with the Transaction Agreement, we entered into a credit agreement (as amended, the “Credit Agreement”), which provides for a revolving credit facility in an aggregate principal amount of $250.0 million (the “Revolving Credit Facility”), with commitments to be made available to us in U.S. Dollars, Euros and United Kingdom Pounds Sterling. The outstanding amounts under the Credit Agreement must be repaid on or before March 10, 2027.</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Transaction Agreement, BellRing LLC had entered into a credit agreement on October 21, 2019 (as subsequently amended, the “Old Credit Agreement”) which provided for debt facilities consisting of a $700.0 million term B loan facility (the “Term B Facility”) and a $200.0 million revolving credit facility (the “Old Revolving Credit Facility”). On March 10, 2022, with certain of the proceeds from the debt financing transactions described above, BellRing LLC repaid the aggregate outstanding principal balance of $519.8 million on the Term B Facility and terminated all obligations and commitments under the Old Credit Agreement.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years ended September 30, 2023 and 2022, we borrowed $115.0 million and $164.0 million, respectively, under the Revolving Credit Facility and repaid $189.0 million and $65.0 million, respectively, under the Revolving Credit Facility. We had $225.0 million and $151.0 million of borrowing capacity as of September 30, 2023 and 2022, respectively. There were no outstanding letters of credit under the Revolving Credit Facility as of September 30, 2023 or 2022. Subsequent to September 30, 2023, we repaid an additional $25.0 million under the Revolving Credit Facility, which reduced the outstanding borrowings under the Revolving Credit Facility to zero.</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Letters of credit are available under the Revolving Credit Facility in an aggregate amount of up to $20.0 million. 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September 30, 2023, we repurchased 4.2 million shares of BellRing Common Stock at an average share price of $29.56 per share and at a total cost, including accrued excise tax and broker’s commissions, of $126.3 million.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year ended September 30, 2022, prior to the Spin-Off, we repurchased 0.8 million shares of Old BellRing Class A Common Stock at an average share price of $23.34 per share and at a total cost, including broker’s commissions, of $18.1 million. In connection with the Spin-off, 0.8 million shares of Old BellRing Class A Common Stock held in treasury stock immediately prior to the Merger effective time were cancelled pursuant to the Transaction Agreement. During the year ended September 30, 2022, subsequent to the Spin-off, we repurchased 1.1 million shares of BellRing Common Stock at an average share price of $23.17 per share and at a total cost, including broker’s commissions, of $24.7 million.</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on the Spin-off, Credit Agreement and share repurchases, see Notes 1, 13 and 16 within “Notes to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Short-term financing needs primarily consist of working capital requirements and interest payments on our 7.00% Senior Notes and Revolving Credit Facility. Long-term financing needs include the repayment of our 7.00% Senior Notes and Revolving Credit Facility.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for fiscal 2024.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requirements under our various contractual obligations and commitments include:</w:t>
      </w:r>
    </w:p>
    <w:p>
      <w:pPr>
        <w:spacing w:after="0" w:line="117"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Debt Obligations and Interest Payments </w:t>
      </w:r>
      <w:r>
        <w:rPr>
          <w:rFonts w:ascii="Arial" w:cs="Arial" w:eastAsia="Arial" w:hAnsi="Arial"/>
          <w:sz w:val="18"/>
          <w:szCs w:val="18"/>
          <w:color w:val="auto"/>
        </w:rPr>
        <w:t>— See Note 13 within “Notes to Consolidated Financial Statements” for additional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the timing of expected future principal and interest payments.</w:t>
      </w:r>
    </w:p>
    <w:p>
      <w:pPr>
        <w:spacing w:after="0" w:line="62"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See Note 11 within “Notes to Consolidated Financial Statements” for additional information on our operating leases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expected future payments.</w:t>
      </w:r>
    </w:p>
    <w:p>
      <w:pPr>
        <w:spacing w:after="0" w:line="62" w:lineRule="exact"/>
        <w:rPr>
          <w:rFonts w:ascii="Arial" w:cs="Arial" w:eastAsia="Arial" w:hAnsi="Arial"/>
          <w:sz w:val="18"/>
          <w:szCs w:val="18"/>
          <w:b w:val="1"/>
          <w:bCs w:val="1"/>
          <w:color w:val="auto"/>
        </w:rPr>
      </w:pPr>
    </w:p>
    <w:p>
      <w:pPr>
        <w:jc w:val="both"/>
        <w:ind w:left="660" w:hanging="328"/>
        <w:spacing w:after="0" w:line="25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 Purchase obligations are legally binding agreements to purchase goods, services or equipment that specify all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including: fixed or minimum quantities to be purchased and/or penalties imposed for failing to meet contracted minimum purchase quantities (such as “take-or-pay” contracts); fixed, minimum or variable price provisions; and the approximate timing of the transaction. As of September 30, 2023, the Company had total purchase commitments of $1,487.7 million (with $459.6 million due in fiscal 2024) which extend through fiscal 2033.</w:t>
      </w:r>
    </w:p>
    <w:p>
      <w:pPr>
        <w:spacing w:after="0" w:line="79"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 Other liabilities include obligations associated with certain employee benefit programs, provisions for legal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benefits and various other long-term liabilities, all of which have some inherent uncertainty as to the amount and timing of payments and were reflected on our Consolidated Balance Sheets as of September 30,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 cash flow data, which is discussed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Year Ended September 30,</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30"/>
        </w:trPr>
        <w:tc>
          <w:tcPr>
            <w:tcW w:w="8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20" w:type="dxa"/>
            <w:vAlign w:val="bottom"/>
          </w:tcPr>
          <w:p>
            <w:pPr>
              <w:ind w:left="10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provided by operating activities for the year ended September 30, 2023 increased $194.6 million compared to the prior year. The increase was primarily due to lapping larger cash outflows in the prior year related to the rebuild of powder finished goods from previous supply-constrained levels, partially offset by input cost inflation. The increase was incrementally driven by higher net earnings and favorable changes related to fluctuations in the timing of sales and collections of trade receivables. These positive impacts were partially offset by increased tax payments (net of refunds) of $26.3 million and increased interest payments of $21.6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both the years ended September 30, 2023 and 2022 was $1.8 million and related to capital expenditures in each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2023</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Cash used in financing activities for the year ended September 30, 2023 was $201.7 million. We paid $125.5 million, including broker’s commissions, for the repurchase of Common Stock and borrowed and repaid $115.0 million and $189.0 million, respectively, under the Revolving Credit Facility.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2022</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Cash used in financing activities for the year ended September 30, 2022 was $135.0 million. We repaid the outstanding principal balance of the Term B Facility of $609.9 million, repaid $65.0 million under the Revolving Credit Facility and paid $115.5 million to Old BellRing Class A common stockholders pursuant to the Merger. In addition, we paid $11.9 million of debt issuance costs, debt extinguishment costs and deferred financing fees related to the issuance of the 7.00% Senior Notes and the Revolving Credit Facility, and we paid $42.8 million, including broker’s commissions, for the repurchase of Common Stock. We received $550.4 million of cash from Post in connection with the Spin-off, which was partially offset by cash distributions to Post of $3.2 million related to quarterly tax distributions pursuant to BellRing LLC’s amended and restated limited liability company agreement prior to the Spin-off. Additionally, we borrowed $164.0 million under the Revolving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September 30, 2023, and we do not believe non-compliance is reasonably likely in the foreseeable future.</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on the amount as specified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COMMODITY TRENDS</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exposed to price fluctuations primarily from purchases of ingredients and packaging materials, energy and other inputs. Our principal ingredients are milk-based, whey-based and soy-based proteins, protein blends, sweeteners and vitamin and mineral blends. Our principal packaging materials consist of aseptic foil and plastic lined cardboard cartons, flexible and rigid plastic film and containers, beverage packaging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may attempt to offset the effect of increased costs by raising prices to our customers. However, for competitive reasons, we may not be able to pass along the full effect of increases in raw materials and other input costs as we incur them. See “Market Trends” section above for additional information regarding inflationary pressures on our commodity purchases.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sales and costs of our foreign operations are denominated in Euros. Consequently, profits from these operations are impacted by fluctuations in the value of this currency relative to the U.S. Dollar. We incur gains and losses within our stockholders’ equity due to the translation of our financial statements from foreign currencies into U.S. Dollars. Our income statement trends may be impacted by the translation of the income statements of our foreign operations into U.S. Dollars. The exchange rates used to translate our foreign sales into U.S. Dollars positively affected net sales by less than 1% during the year ended September 30, 2023, and did not have a material impact on our operating profit or net earnings during the year ended September 30,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significant accounting policies are described in Note 2 within “Notes to Consolidated Financial Statements.” Our critical accounting estimates are those that involve a significant amount of estimation uncertainty and have a meaningful impact on the reporting of our financial condition and results of operations.</w:t>
      </w:r>
    </w:p>
    <w:p>
      <w:pPr>
        <w:spacing w:after="0" w:line="7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Revenue Recognition, Allowance for Trade Promotions </w:t>
      </w:r>
      <w:r>
        <w:rPr>
          <w:rFonts w:ascii="Arial" w:cs="Arial" w:eastAsia="Arial" w:hAnsi="Arial"/>
          <w:sz w:val="16"/>
          <w:szCs w:val="16"/>
          <w:color w:val="auto"/>
        </w:rPr>
        <w:t>— The recognition of certain variable trade promotions, which are treated as a reduction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requires significant management judgment regarding estimated purchase volumes and program participation. Estimates are based on contractual provisions, redemption rate assumptions and our assessment of current market provisions. Redemption rate assumptions are based on historical results of similar promotions on a deal-by-deal basis, adjusted for current expectations of promotion performance based on the current market. We review and update estimates of variable consideration quarterly. Uncertainties related to the estimates of variable consideration are resolved in a short time frame and do not require any additional constraint on variable consideration. Less than 1% of our annual net sales represent variable consideration that will be resolved in the subsequent period. Based on historical experience, we do not believe that there will be significant changes to our estimates of variable consideration when any uncertainties are resolved with customers. However, significant changes in our estimates could have a material impact on our results of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considered all new accounting pronouncements and have concluded there are no new pronouncements that had or will have a material impact on our results of operations, comprehensive income, financial condition, cash flows, shareholders’ equity or related disclosures based on current information.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is exposed to market risk from commodity prices, foreign currency exchange rates and interest rates, among others. For additional discussion of these risks, refer to “Cautionary Statement on Forward-Looking Statements” on page 1 and “Risk Factors” in Item 1A of Part I of this report.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both September 30, 2023 and 2022, the Company had outstanding principal value indebtedness of $840.0 million related to its 7.00% Senior Notes. Additionally, the Company had an aggregate principal amount of $25.0 million and $99.0 million outstanding under its Revolving Credit Facility as of September 30, 2023 and 2022, respectively. Borrowings under the Revolving Credit Facility bear interest at variable rates.</w:t>
      </w:r>
    </w:p>
    <w:p>
      <w:pPr>
        <w:spacing w:after="0" w:line="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2023 and 2022, the fair value of the Company’s debt, excluding any borrowings under its Revolving Credit Facility, was $830.0 million and $767.4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$19 million and $17 million as of September 30, 2023 and 2022, respectively. A hypothetical 10% increase in interest rates would have had an immaterial impact on both interest expense and interest paid during both the years ended September 30, 2023 and 2022. For additional information regarding the Company’s debt, see Note 13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09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39"/>
        </w:trPr>
        <w:tc>
          <w:tcPr>
            <w:tcW w:w="1096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9680" w:type="dxa"/>
            <w:vAlign w:val="bottom"/>
          </w:tcPr>
          <w:p>
            <w:pPr>
              <w:ind w:left="2740"/>
              <w:spacing w:after="0"/>
              <w:rPr>
                <w:sz w:val="20"/>
                <w:szCs w:val="20"/>
                <w:color w:val="auto"/>
              </w:rPr>
            </w:pPr>
            <w:r>
              <w:rPr>
                <w:rFonts w:ascii="Arial" w:cs="Arial" w:eastAsia="Arial" w:hAnsi="Arial"/>
                <w:sz w:val="18"/>
                <w:szCs w:val="18"/>
                <w:b w:val="1"/>
                <w:bCs w:val="1"/>
                <w:color w:val="auto"/>
              </w:rPr>
              <w:t>INDEX TO FINANCIAL STATEMENTS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10960" w:type="dxa"/>
            <w:vAlign w:val="bottom"/>
            <w:gridSpan w:val="2"/>
          </w:tcPr>
          <w:p>
            <w:pPr>
              <w:ind w:left="20"/>
              <w:spacing w:after="0"/>
              <w:rPr>
                <w:sz w:val="20"/>
                <w:szCs w:val="20"/>
                <w:color w:val="auto"/>
              </w:rPr>
            </w:pPr>
            <w:r>
              <w:rPr>
                <w:rFonts w:ascii="Arial" w:cs="Arial" w:eastAsia="Arial" w:hAnsi="Arial"/>
                <w:sz w:val="18"/>
                <w:szCs w:val="18"/>
                <w:b w:val="1"/>
                <w:bCs w:val="1"/>
                <w:color w:val="auto"/>
              </w:rPr>
              <w:t>Audited Consolidated Financial Statements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5"/>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Report of Independent Registered Public Accounting Firm (PCAOB ID 238)</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Consolidated Statements of Operations for the Fiscal Years Ended September 30, 2023, 2022 and 2021</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44</w:t>
            </w:r>
          </w:p>
        </w:tc>
        <w:tc>
          <w:tcPr>
            <w:tcW w:w="100" w:type="dxa"/>
            <w:vAlign w:val="bottom"/>
            <w:tcBorders>
              <w:top w:val="single" w:sz="8" w:color="CCEEFF"/>
            </w:tcBorders>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Income for the Fiscal Years Ended September 30, 2023, 2022 and 2021</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Consolidated Balance Sheets as of September 30, 2023 and 2022</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46</w:t>
            </w:r>
          </w:p>
        </w:tc>
        <w:tc>
          <w:tcPr>
            <w:tcW w:w="100" w:type="dxa"/>
            <w:vAlign w:val="bottom"/>
            <w:tcBorders>
              <w:top w:val="single" w:sz="8" w:color="CCEEFF"/>
            </w:tcBorders>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for the Fiscal Years Ended September 30, 2023, 2022 and 2021</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Consolidated Statements of Stockholders’ Deficit for the Fiscal Years Ended September 30, 2023, 2022 and 2021</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48</w:t>
            </w:r>
          </w:p>
        </w:tc>
        <w:tc>
          <w:tcPr>
            <w:tcW w:w="100" w:type="dxa"/>
            <w:vAlign w:val="bottom"/>
            <w:tcBorders>
              <w:top w:val="single" w:sz="8" w:color="CCEEFF"/>
            </w:tcBorders>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148"/>
        </w:trPr>
        <w:tc>
          <w:tcPr>
            <w:tcW w:w="10960" w:type="dxa"/>
            <w:vAlign w:val="bottom"/>
            <w:tcBorders>
              <w:top w:val="single" w:sz="8" w:color="CCEEFF"/>
            </w:tcBorders>
            <w:gridSpan w:val="2"/>
          </w:tcPr>
          <w:p>
            <w:pPr>
              <w:ind w:left="5540"/>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BellRing Brands,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audited the accompanying consolidated balance sheets of BellRing Brands, Inc. and its subsidiaries (the “Company”) as of September 30, 2023 and 2022, and the related consolidated statements of operations, of comprehensive income, of stockholders' deficit and of cash flows for each of the three years in the period ended September 30, 2023, including the related notes (collectively referred to as the “consolidated financial statements”). We also have audited the Company's internal control over financial reporting as of September 30, 2023, based on criteria established in Internal Control - Integrated Framework (2013) issued by the Committee of Sponsoring Organizations of the Treadway Commission (COSO).</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September 30, 2023 and 2022, and the results of its operations and its cash flows for each of the three years in the period ended September 30, 2023 in conformity with accounting principles generally accepted in the United States of America. Also in our opinion, the Company maintained, in all material respects, effective internal control over financial reporting as of September 30, 2023, based on criteria established in Internal Control - Integrated Framework (2013)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net- Allowance for Trade Promotions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described in Note 2 to the consolidated financial statements, many of the Company's contracts with customers include some form of variable or fixed consideration. The most common forms of variable and fixed consideration are trade promotions, rebates and discount programs. These programs resulted in an allowance for trade promotions of $15.8 million which is reflected as a reduction of Receivables, net as of September 30, 2023.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principal consideration for our determination that performing procedures relating to receivables, net - allowance for trade promotions is a critical audit matter is the matter involved significant audit effort in performing procedures related to management’s allowance for trade promotions.</w:t>
      </w:r>
    </w:p>
    <w:p>
      <w:pPr>
        <w:spacing w:after="0" w:line="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and valuation of the allowance for trade promotions. These procedures also included, among others (i) testing management’s process for determining the allowance for trade promotions;</w:t>
      </w:r>
    </w:p>
    <w:p>
      <w:pPr>
        <w:spacing w:after="0" w:line="2" w:lineRule="exact"/>
        <w:rPr>
          <w:sz w:val="20"/>
          <w:szCs w:val="20"/>
          <w:color w:val="auto"/>
        </w:rPr>
      </w:pPr>
    </w:p>
    <w:p>
      <w:pPr>
        <w:ind w:right="20" w:firstLine="8"/>
        <w:spacing w:after="0" w:line="260" w:lineRule="auto"/>
        <w:tabs>
          <w:tab w:leader="none" w:pos="2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appropriateness of the methodology; and (iii) testing the accuracy and relevance of underlying data used to determine the allowance for trade promotions by examining customer agreements and sales data on a test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2023</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Other operating income, net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and refinancing of debt, net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Common Stock:</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70"/>
        </w:trPr>
        <w:tc>
          <w:tcPr>
            <w:tcW w:w="7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of Common Stock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r>
    </w:tbl>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Reclassifications to net earnings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Tax expense on other comprehensive income (loss):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 to net earnings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w w:val="98"/>
              </w:rPr>
              <w:t>Total Other Comprehensive Income Including Redeemable Noncontrolling Interest</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Available to Common Stockholders</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166.7</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2022</w:t>
            </w:r>
          </w:p>
        </w:tc>
      </w:tr>
      <w:tr>
        <w:trPr>
          <w:trHeight w:val="212"/>
        </w:trPr>
        <w:tc>
          <w:tcPr>
            <w:tcW w:w="846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203.3</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r>
      <w:tr>
        <w:trPr>
          <w:trHeight w:val="229"/>
        </w:trPr>
        <w:tc>
          <w:tcPr>
            <w:tcW w:w="8460" w:type="dxa"/>
            <w:vAlign w:val="bottom"/>
          </w:tcPr>
          <w:p>
            <w:pPr>
              <w:ind w:left="3640"/>
              <w:spacing w:after="0"/>
              <w:rPr>
                <w:sz w:val="20"/>
                <w:szCs w:val="20"/>
                <w:color w:val="auto"/>
              </w:rPr>
            </w:pPr>
            <w:r>
              <w:rPr>
                <w:rFonts w:ascii="Arial" w:cs="Arial" w:eastAsia="Arial" w:hAnsi="Arial"/>
                <w:sz w:val="18"/>
                <w:szCs w:val="18"/>
                <w:b w:val="1"/>
                <w:bCs w:val="1"/>
                <w:color w:val="auto"/>
              </w:rPr>
              <w:t>LIABILITIES AND 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8460" w:type="dxa"/>
            <w:vAlign w:val="bottom"/>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46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1,083.4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Preferred stock, $0.01 par value; 50,000,000 shares authorized, zero shares issued and outstanding in each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460" w:type="dxa"/>
            <w:vAlign w:val="bottom"/>
          </w:tcPr>
          <w:p>
            <w:pPr>
              <w:ind w:left="140"/>
              <w:spacing w:after="0" w:line="176" w:lineRule="exact"/>
              <w:rPr>
                <w:sz w:val="20"/>
                <w:szCs w:val="20"/>
                <w:color w:val="auto"/>
              </w:rPr>
            </w:pPr>
            <w:r>
              <w:rPr>
                <w:rFonts w:ascii="Arial" w:cs="Arial" w:eastAsia="Arial" w:hAnsi="Arial"/>
                <w:sz w:val="18"/>
                <w:szCs w:val="18"/>
                <w:color w:val="auto"/>
                <w:w w:val="89"/>
              </w:rPr>
              <w:t>Common stock; $0.01 par value; 500,000,000 shares authorized in each year, 136,553,891 and 136,362,928 shares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8460" w:type="dxa"/>
            <w:vAlign w:val="bottom"/>
          </w:tcPr>
          <w:p>
            <w:pPr>
              <w:ind w:left="140"/>
              <w:spacing w:after="0"/>
              <w:rPr>
                <w:sz w:val="20"/>
                <w:szCs w:val="20"/>
                <w:color w:val="auto"/>
              </w:rPr>
            </w:pPr>
            <w:r>
              <w:rPr>
                <w:rFonts w:ascii="Arial" w:cs="Arial" w:eastAsia="Arial" w:hAnsi="Arial"/>
                <w:sz w:val="18"/>
                <w:szCs w:val="18"/>
                <w:color w:val="auto"/>
              </w:rPr>
              <w:t>issued, respectively; 131,245,350 and 135,295,583 shares outstanding, respectively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(355.6)</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5,308,541 and 1,067,345 shares, respectively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Deficit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r>
      <w:tr>
        <w:trPr>
          <w:trHeight w:val="223"/>
        </w:trPr>
        <w:tc>
          <w:tcPr>
            <w:tcW w:w="8460" w:type="dxa"/>
            <w:vAlign w:val="bottom"/>
          </w:tcPr>
          <w:p>
            <w:pPr>
              <w:ind w:left="360"/>
              <w:spacing w:after="0"/>
              <w:rPr>
                <w:sz w:val="20"/>
                <w:szCs w:val="20"/>
                <w:color w:val="auto"/>
              </w:rPr>
            </w:pPr>
            <w:r>
              <w:rPr>
                <w:rFonts w:ascii="Arial" w:cs="Arial" w:eastAsia="Arial" w:hAnsi="Arial"/>
                <w:sz w:val="18"/>
                <w:szCs w:val="18"/>
                <w:b w:val="1"/>
                <w:bCs w:val="1"/>
                <w:color w:val="auto"/>
              </w:rPr>
              <w:t>Total Liabilities and Stockholders’ Deficit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176"/>
        </w:trPr>
        <w:tc>
          <w:tcPr>
            <w:tcW w:w="7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Adjustments to reconcile net earnings including redeemable noncontrolling interest to net cash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extinguishment and refinancing of debt, net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Decrease (increase) in receivables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 (increase) in 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(Increase) decrease in prepaid expenses and 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Increase in accounts payable and other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 in non-current liabilities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6"/>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merger consideration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Purchases of treasury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Payments of debt issuance, extinguishment and refinancing costs and deferred financing fees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Distributions from (to) Post Holdings, Inc., net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information: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issued to Post Holdings, Inc. in connection with Spin-off</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6"/>
                <w:szCs w:val="16"/>
                <w:b w:val="1"/>
                <w:bCs w:val="1"/>
                <w:color w:val="auto"/>
                <w:w w:val="99"/>
              </w:rPr>
              <w:t>As of and for the Year Ended September 30,</w:t>
            </w: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and end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Spin-off</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(2,179.0)</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available to common stockholders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Distributions to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Impact of Spin-off</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hedges, net of tax</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000" w:type="dxa"/>
            <w:vAlign w:val="bottom"/>
          </w:tcPr>
          <w:p>
            <w:pPr>
              <w:ind w:left="24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40"/>
              <w:spacing w:after="0"/>
              <w:rPr>
                <w:sz w:val="20"/>
                <w:szCs w:val="20"/>
                <w:color w:val="auto"/>
              </w:rPr>
            </w:pPr>
            <w:r>
              <w:rPr>
                <w:rFonts w:ascii="Arial" w:cs="Arial" w:eastAsia="Arial" w:hAnsi="Arial"/>
                <w:sz w:val="18"/>
                <w:szCs w:val="18"/>
                <w:color w:val="auto"/>
              </w:rPr>
              <w:t>End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Impact of Spin-off</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b w:val="1"/>
                <w:bCs w:val="1"/>
                <w:color w:val="auto"/>
              </w:rPr>
              <w:t>Total Stockholders’ Deficit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(3,062.8)</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1"/>
        </w:trPr>
        <w:tc>
          <w:tcPr>
            <w:tcW w:w="70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Preferred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and end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Common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Spin-off</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Purchases of treasury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bl>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information or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Intermediate Holdings, Inc. (formerly known as BellRing Brands, Inc.) (“Old BellRing”) closed its initial public offering (the “IPO”) of 39.4 million shares of its Class A common stock, $0.01 par value per share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second quarter of fiscal 2022, Post completed its distribution of 80.1% of its ownership interest in BellRing Brands, Inc. (formerly known as BellRing Distribution, LLC) (“BellRing”) to Post’s shareholders. On March 9, 2022, pursuant to the Transaction Agreement and Plan of Merger, dated as of October 26, 2021 (as amended by Amendment No.1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13).</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11, 2022, Post transferred 14.8 million shares of its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25, 2022, Post transferred its remaining 4.6 million shares of BellRing Common Stock to certain financial institutions in satisfaction of term loan obligations of Post. In connection with this transaction, BellRing repurchased 0.9 million of the transferred shares from certain of the financial institutions. Post had no ownership of BellRing Common Stock as of September 30, 2023.</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incurred separation-related expenses of $0.7, $14.5 and $0.2 during the years ended September 30, 2023, 2022 and 2021, respectively, in connection with its separation from Post. These expenses generally included third-party costs for advisory services, fees charged by other service providers and government filing fees and were included in “Selling, general and administrative expenses” in the Consolidated Statements of Operations.</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term “Company” generally refers to Old BellRing and its consolidated subsidiaries during the periods prior to the Spin-off and to BellRing and its consolidated subsidiaries during the periods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is a consumer products holding company operating in the global convenient nutrition category and is a provider of ready-to-drink (“RTD”) protein shakes, other RTD beverages and powders. The Company has a single operating and reportable segment, with its principal products being protein-based consumer goods.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Prior to the Spin-off, the financial results of BellRing LLC and its subsidiaries were consolidated with Old BellRing,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 portion of the consolidated net earnings of BellRing LLC was allocated to the redeemable noncontrolling interest (the “NCI”). The calculation of the NCI was based on Post’s ownership percentage of BellRing LLC units during each period prior to the Spin-off and reflected the entitlement of Post to a portion of the consolidated net earnings of BellRing LLC prior to the Spin-off.</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periods subsequent to the Spin-off, any remaining ownership of BellRing by Post no longer represented a NCI to the Company (see Note 6). All intercompany balances and transactions have been eliminated. See Note 5 for further information on transactions with Post included in these financial statements. Certain reclassifications have been made to previously reported financial information to conform to the current year presentation.</w:t>
      </w:r>
    </w:p>
    <w:p>
      <w:pPr>
        <w:spacing w:after="0" w:line="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Use of Estimates and Allocations </w:t>
      </w:r>
      <w:r>
        <w:rPr>
          <w:rFonts w:ascii="Arial" w:cs="Arial" w:eastAsia="Arial" w:hAnsi="Arial"/>
          <w:sz w:val="18"/>
          <w:szCs w:val="18"/>
          <w:color w:val="auto"/>
        </w:rPr>
        <w:t>— The consolidated financial statements of the Company are prepared in conformity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allowance for trade promotions. Actual results could differ from those estimates.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include all highly liquid investments with original maturities of less than three months.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and 2022, the Company had $48.4 and $35.8, respectively, in available cash, of which 3.6% and 20.9%, respectively, was outside of the United States (the “U.S.”). The Company’s intention is to reinvest these funds indefinitely.</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Receivables </w:t>
      </w:r>
      <w:r>
        <w:rPr>
          <w:rFonts w:ascii="Arial" w:cs="Arial" w:eastAsia="Arial" w:hAnsi="Arial"/>
          <w:sz w:val="17"/>
          <w:szCs w:val="17"/>
          <w:color w:val="auto"/>
        </w:rPr>
        <w:t>— Receivables are reported at net realizable value. This value includes appropriate allowances for credit losses, cash discounts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which the Company does not ultimately expect to collect. To calculate the allowance for credit losses, the Company estimates uncollectible amounts based on a review of past due balances, historical loss information and an evaluation of customer accounts for potential future losses. A receivable is considered past due if payments have not been received within the agreed upon invoice terms. Receivables are written off against the allowance when deemed to be uncollectible based upon the Company’s evaluation of the customer’s solvency. As of September 30, 2023 and 2022, the Company did not have off-balance sheet credit exposure related to its customers.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generally valued at the lower of cost (determined on a first-in, first-out basis) or net realizable value. Reported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reduced by an allowance for obsolete product and packaging materials based on a review of inventories on hand compared to estimated future usage and sales.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Restructuring Expenses </w:t>
      </w:r>
      <w:r>
        <w:rPr>
          <w:rFonts w:ascii="Arial" w:cs="Arial" w:eastAsia="Arial" w:hAnsi="Arial"/>
          <w:sz w:val="17"/>
          <w:szCs w:val="17"/>
          <w:color w:val="auto"/>
        </w:rPr>
        <w:t>— Restructuring charges principally consist of severance and other employee separation costs. The Company recognizes</w:t>
      </w:r>
      <w:r>
        <w:rPr>
          <w:rFonts w:ascii="Arial" w:cs="Arial" w:eastAsia="Arial" w:hAnsi="Arial"/>
          <w:sz w:val="17"/>
          <w:szCs w:val="17"/>
          <w:i w:val="1"/>
          <w:iCs w:val="1"/>
          <w:color w:val="auto"/>
        </w:rPr>
        <w:t xml:space="preserve"> </w:t>
      </w:r>
      <w:r>
        <w:rPr>
          <w:rFonts w:ascii="Arial" w:cs="Arial" w:eastAsia="Arial" w:hAnsi="Arial"/>
          <w:sz w:val="17"/>
          <w:szCs w:val="17"/>
          <w:color w:val="auto"/>
        </w:rPr>
        <w:t>restructuring obligations and liabilities for exit and disposal activities at fair value in the period the liability is incurred. Employee severance costs are expensed when they become probable and reasonably estimable under established severance plans. Restructuring charges were included in “Selling, general and administrative expenses” in the Consolidated Statements of Operations. The Company incurred restructuring charges of $4.7 during the year ended September 30, 2021. No restructuring charges were incurred during the years ended September 30, 2023 or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Property </w:t>
      </w:r>
      <w:r>
        <w:rPr>
          <w:rFonts w:ascii="Arial" w:cs="Arial" w:eastAsia="Arial" w:hAnsi="Arial"/>
          <w:sz w:val="17"/>
          <w:szCs w:val="17"/>
          <w:color w:val="auto"/>
        </w:rPr>
        <w:t>— 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3 to 10 years for machinery and equipment; 1 to 33 years for buildings, building improvements and leasehold improvements; and 1 to 5 years for software. Total depreciation expense was $1.7, $1.6 and $2.5 in fiscal 2023, 2022 and 2021, respectively. Any gains and losses incurred on the sale or disposal of assets are included in “Other operating income, net” in the Consolidated Statements of Operations. Ordinary repair and maintenance costs are accounted for under the direct expensing method. Property consisted of: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Property,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both September 30, 2023 and 2022, the majority of the Company’s tangible long-lived assets were located in Europe and had a net carrying value of $7.1 and $6.0, respectively; the remainder were located in the U.S.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Goodwill represents the excess of the cost of acquired businesses over the fair market value of their identifiable net assets.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conducts a goodwill impairment assessment during the fourth quarter of each fiscal year following the annual forecasting process, or more frequently if facts and circumstances indicate that goodwill may be impaired. The goodwill impairment assessment performed may be either qualitative or quantitative; however, if adverse qualitative trends are identified that could negatively impact the fair value of the business, a quantitative goodwill impairment test is performed. The goodwill impairment qualitative assessment requires an analysis to determine if it is more likely than not that the fair value of a reporting unit is less than its carrying amount.</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qualitative goodwill impairment test requires an entity to evaluate various events, circumstances and factors, such as macroeconomic conditions, sensitivity of valuation inputs utilized in the Company’s most recent quantitative goodwill impairment test, industry trends and results of operations of the entity, to determine whether it is more likely than not that the fair value of a reporting unit is less than its carrying amount. Metrics such as the gross domestic product growth rate and inflation rate, the discount rate and the terminal growth rate utilized in previous quantitative goodwill impairment tests, peer multiples and category trends and actual results compared to forecast are evaluated by management to identify adverse trends that could negatively impact the fair value of the reporting unit.</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adverse qualitative trends are identified that could negatively impact the fair value of a reporting unit, a quantitative goodwill impairment test is performed. The quantitative goodwill impairment test requires an entity to compare the fair value of each reporting unit with its carrying amount. 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two reporting units, which have been identified at a level below the operating segment level; however, only one reporting unit had a goodwill balance as of September 30, 2023, 2022 and 2021. In fiscal 2023, 2022 and 2021, the Company performed a qualitative impairment test and determined there were no indicators, including adverse trends in the business, that would indicate it was more likely than not that the fair value of the reporting unit was less than its carrying amount. The Company last performed a quantitative impairment test in fiscal 2019. The Company did not record a goodwill impairment charge during the years ended September 30, 2023, 2022 or 2021, as the reporting unit with goodwill passed the qualitative impairment test.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Consolidated Balance Sheets at both the beginning and end of the years ended September 30, 2023 and 2022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r>
      <w:tr>
        <w:trPr>
          <w:trHeight w:val="248"/>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 Intangible assets consist primarily of definite-lived customer relationships, trademarks and brands. Amortization expense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definite-lived intangible assets, which is provided on a straight-line basis (as it approximates the economic benefit) over the estimated useful lives of the assets, was $26.6, $19.7 and $51.2 in fiscal 2023, 2022 and 2021, respectively. For the definite-lived intangible assets recorded as of September 30, 2023, amortization expense is expected to be $35.0 in fiscal 2024 and $17.0 per year for fiscal 2025 through fiscal 2028. Intangible assets consisted of:</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2023</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2022</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3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Arial" w:cs="Arial" w:eastAsia="Arial" w:hAnsi="Arial"/>
                <w:sz w:val="16"/>
                <w:szCs w:val="16"/>
                <w:b w:val="1"/>
                <w:bCs w:val="1"/>
                <w:color w:val="auto"/>
              </w:rPr>
              <w:t>Net</w:t>
            </w:r>
          </w:p>
        </w:tc>
      </w:tr>
      <w:tr>
        <w:trPr>
          <w:trHeight w:val="213"/>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2023, the Company approved a plan to discontinue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business in North America</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the discontinuance, the Company updated the useful lives of the customer relationships and trademark associated with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business in North America to reflect the remaining period in which the Company expects to sell existing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 inventory in North America. Accelerated amortization of $7.1 was recorded during the year ended September 30, 2023 resulting from the updated useful lives of the customer relationships and trademark associated with the </w:t>
      </w:r>
      <w:r>
        <w:rPr>
          <w:rFonts w:ascii="Arial" w:cs="Arial" w:eastAsia="Arial" w:hAnsi="Arial"/>
          <w:sz w:val="17"/>
          <w:szCs w:val="17"/>
          <w:i w:val="1"/>
          <w:iCs w:val="1"/>
          <w:color w:val="auto"/>
        </w:rPr>
        <w:t xml:space="preserve">PowerBar </w:t>
      </w:r>
      <w:r>
        <w:rPr>
          <w:rFonts w:ascii="Arial" w:cs="Arial" w:eastAsia="Arial" w:hAnsi="Arial"/>
          <w:sz w:val="17"/>
          <w:szCs w:val="17"/>
          <w:color w:val="auto"/>
        </w:rPr>
        <w:t>business in North America. The net carrying value of the customer relationships and trademark associated with the</w:t>
      </w:r>
      <w:r>
        <w:rPr>
          <w:rFonts w:ascii="Arial" w:cs="Arial" w:eastAsia="Arial" w:hAnsi="Arial"/>
          <w:sz w:val="17"/>
          <w:szCs w:val="17"/>
          <w:i w:val="1"/>
          <w:iCs w:val="1"/>
          <w:color w:val="auto"/>
        </w:rPr>
        <w:t xml:space="preserve"> PowerBar </w:t>
      </w:r>
      <w:r>
        <w:rPr>
          <w:rFonts w:ascii="Arial" w:cs="Arial" w:eastAsia="Arial" w:hAnsi="Arial"/>
          <w:sz w:val="17"/>
          <w:szCs w:val="17"/>
          <w:color w:val="auto"/>
        </w:rPr>
        <w:t>business in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were $6.4 and $11.6, respectively, which are expected to be fully amortized by December 31, 2023.</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December 2020, the Company finalized its plan to discontinue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and related sales of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products. In connection with the discontinuance, the Company updated the useful lives of the customer relationships and trademark associated with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to reflect the remaining period in which the Company continued to sell existing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product inventory. Accelerated amortization of $29.9 was recorded during the year ended September 30, 2021 resulting from the updated useful lives of the customer relationships and trademark associated with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which were fully amortized and written off as of September 30, 2021.</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Recoverability of Assets </w:t>
      </w:r>
      <w:r>
        <w:rPr>
          <w:rFonts w:ascii="Arial" w:cs="Arial" w:eastAsia="Arial" w:hAnsi="Arial"/>
          <w:sz w:val="17"/>
          <w:szCs w:val="17"/>
          <w:color w:val="auto"/>
        </w:rPr>
        <w:t>— The Company continually evaluates whether events or circumstances have occurred which might impair the recoverability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carrying value of its assets, including property, identifiable intangibles, goodwill and right-of-use (“ROU”) assets. Definite-lived assets (groups) are tested for recoverability whenever events or changes in circumstances indicate that the carrying amount of an asset (group) may not be recoverable or the estimated useful life is no longer appropriate. The Company groups assets at the lowest level for which cash flows are separately identifiable. If circumstances require that a definite-lived asset (group) be tested for possible impairment, the Company will compare the undiscounted cash flows expected to be generated by the asset (group) to the carrying amount of the asset (group). If the carrying amount of the asset (group) is not recoverable on an undiscounted cash flow basis, an impairment is recognized to the extent that the carrying amount of the asset (group) exceeds its fair value. There were no impairments recorded on the Company’s definite-lived assets (groups) in fiscal 2023, 2022 or 2021.</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In the ordinary course of business, the Company is exposed to commodity price risks relating to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materials and supplies, interest rate risks relating to variable rate debt and foreign currency exchange rate risks. The Company may utilize derivative instruments, including futures contracts, option contracts and swaps to manage certain of these exposures by hedging when it is practical to do so. The Company does not hold or issue financial instruments for speculative or trading purposes.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derivative programs may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All derivatives are recognized on the balance sheet at fair value. For derivatives that qualify for hedge accounting, the derivative is designated as a hedge on the date in which the derivative contract is entered. Derivatives could be designated as a hedge of the variability of cash flows to be received or paid related to a recognized asset or liability (cash flow hedge). Derivatives may also be considered natural hedging instruments, where changes in their fair values act as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economic offsets to changes in fair values of the underlying hedged items and are not designated for hedge accounting. The Company does not have any derivatives currently designated as hedging instruments under Accounting Standards Codification (“ASC”) Topic 815, “Derivatives and Hedging.”</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previous cash flow hedges that were designated for hedge accounting, gains and losses were recorded in other comprehensive income (“OCI”) and were reclassified to the Consolidated Statements of Operations in conjunction with the recognition of the underlying hedged item. Changes in the fair value of derivatives that are not designated for hedge accounting are recognized immediately in the Consolidated Statements of Operations. Cash flows from derivatives that were designated as hedges and cash flows from derivatives that are not designated as hedges are classified in the same category on the Consolidated Statements of Cash Flows as the items being hedged or on a basis consistent with the nature of the instruments. The Company held no material derivative financial instruments as of September 30, 2023 or 2022.</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Company leases office space, certain warehouses and equipment primarily through operating lease agreements. The Company has no</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finance lease agreements. 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are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lease arrangements that do not provide an implicit interest rate, an incremental borrowing rate (“IBR”) is applied in determining the present value of future payments. The Company’s IBR is selected based upon information available at the lease commencement date.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as “Other assets,” and lease liabilities are recorded as “Other current liabilities” and “Other liabilities” on the Consolidated Balance Sheets. Operating lease expense is recognized on a straight-line basis over the lease term and is included in “Selling, general and administrative expenses” in the Consolidated Statements of Operations. Costs associated with finance leases and lease income do not have a material impact on the Company’s financial statements.</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 The Company recognizes revenue when performance obligations have been satisfied by transferring control of the goods to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Many of the Company’s contracts with customers include some form of variable or fixed consideration. The most common forms of variable and fixed consideration are trade promotions, rebates and discount programs. As of September 30, 2023 and 2022, these programs resulted in an allowance for trade promotions of $15.8 and $12.6, respectively, which were recorded as a reduction of “Receivables, net” on the Consolidated Balance Sheets.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 The majority of trade promotions are redeemed in the form of invoice credits against trade receivables.</w:t>
      </w:r>
    </w:p>
    <w:p>
      <w:pPr>
        <w:spacing w:after="0" w:line="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Cost of goods sold includes, among other things, inbound and outbound freight costs and depreciation expense related to assets</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production, while storage and other warehousing costs are included in “Selling,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 the Consolidated Statements of Operations. Storage and other warehousing costs totaled $20.1, $16.6 and $17.0 in fiscal 2023, 2022 and 2021, respectively.</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Advertising costs are expensed as incurred, except for costs of producing media advertising such as television commercials or magazine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online advertisements, which are deferred until the first time the advertising takes place and amortized over the period the advertising runs. The amounts reported as assets on the Consolidated Balance Sheets as “Prepaid expenses and other current assets” were immaterial as of both September 30, 2023 and 2022.</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the cost of employee services received in exchange for awards of equity instruments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grant-date fair value of the equity award. The cost for an equity award is recognized ratably over the period during which an employee is required to provide service in exchange for the award — the requisite service period (usually the vesting period). Any forfeitures of stock-based awards are recorded as they occur. See Note 15 for disclosures related to stock-based compensation.</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is estimated based on income taxes in each jurisdiction and includes the effects of both current tax</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incurred due to an underpayment of income taxes is classified as income tax expense.</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Immediately prior to the Spin-off, Old BellRing held 28.5% of the economic interest in BellRing LLC (see Note 1), which, as a result of the IPO and formation transactions, was treated as a partnership for U.S. federal income tax purposes. As a partnership, BellRing LLC was itself generally not subject to U.S. federal income tax under current U.S. tax laws. Old BellRing was subject to U.S. federal income taxes, in addition to state and local income taxes, with respect to its 28.5% distributive share of the items of income, gain, loss and deduction of BellRing LLC. Old BellRing was also subject to taxes in foreign jurisdictions. Subsequent to the Spin-off, the Company reported 100% of the income, gain, loss and deduction of BellRing LLC for U.S. federal, state, and local income tax purposes. See Note 7 for disclosures related to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that had or will have a material impact on the Company’s results of operations, comprehensive income, financial condition, cash flows, stockholders’ equity or disclosures based on current information</w:t>
      </w:r>
      <w:r>
        <w:rPr>
          <w:rFonts w:ascii="Arial" w:cs="Arial" w:eastAsia="Arial" w:hAnsi="Arial"/>
          <w:sz w:val="18"/>
          <w:szCs w:val="18"/>
          <w:color w:val="EE2724"/>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Powders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1,247.1</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revenues were primarily generated by sales within the U.S.; foreign sales were 10.5%, 11.3% and 11.7% of total fiscal 2023, 2022 and 2021 net sales, respectively. The largest concentration of foreign sales in fiscal 2023 and 2022 was within Canada, which accounted for 40.8% and 35.4% of total foreign sales, respectively. The largest concentration of foreign sales in fiscal 2021 was within Europe (with no individual countries within Europe accounting for a significant portion of total foreign sales), which accounted for 34.1% of total foreign net sales. Sales are attributed to individual countries based on the address to which the product is shipped.</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Three customers individually accounted for more than 10% of total net sales in the year ended September 30, 2023 and two customers individually accounted for more than 10% of total net sales in each of the years ended September 30, 2022 and 2021. One customer accounted for 33.9%, 31.9% and 31.5% of total net sales in the years ended September 30, 2023, 2022 and 2021, respectively. A second customer accounted for 30.0%, 31.6% and 33.8% of total net sales in the years ended September 30, 2023, 2022 and 2021, respectively. A third customer accounted for 11.4% of total net sales in the year ended September 30, 2023 but did not account for more than 10% of total net sales in the years ended September 30, 2022 or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Both prior to and subsequent to the Spin-off, transactions with Post were considered related party transactions as certain of the Company’s directors continue to serve as officers or directors of Post.</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a series of agreements with Post which are intended to govern the ongoing relationship between the Company and Post. Prior to the Spin-off, these agreements included the amended and restated limited liability company agreement of BellRing LLC (the “BellRing LLC Agreement”), an employee matters agreement, an investor rights agreement, a tax matters agreement, a tax receivable agreement and a master service agreement, among others. In connection with the Spin-off, the Company and Post amended and restated the master services agreement (the “MSA”) and the employee matters agreement and entered into a new tax matters agreement (the “Tax Matters Agreement”). The previous investor rights agreement between the Company and Post was terminated, and the Company and Post entered into a new registration rights agreement. Additionally, the Company entered into a Co-Packing Agreement (as defined below) with a wholly-owned subsidiary of Post in fiscal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MSA and other related party transactions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uses certain functions and services performed by Post under the MSA. These functions and services include finance, internal audit, treasury, information technology support, insurance and tax matters, the use of office and/or data center space, payroll processing services and tax compliance services. Prior to the Spin-off, Post also provided legal services to the Company. The MSA was amended and restated upon completion of the Spin-off to provide for similar services following the Spin-off and such other services as BellRing and Post may agree. The MSA was further amended on August 4, 2023 to modify the scope and pricing, and extended the term of certain services provided under it, none of which modifications are expected to materially increase the aggregate fees payable under the MSA. During the years ended September 30, 2023, 2022 and 2021, MSA fees were $4.0, $4.6 and $2.2, respectively. MSA fees were reported in “Selling, general and administrative expenses” in the Consolidated Statements of Operations.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sells certain products to, purchases certain products from and licenses certain intellectual property to and from Post and its subsidiaries based upon prices governed by agreements between the Company and Post and its subsidiaries, consistent with prices of similar arm's-length transactions. During each of the years ended September 30, 2023, 2022 and 2021, net sales to, purchases from and royalties paid to and received from Post and its subsidiaries were immaterial.</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had immaterial receivables, payables and other current liabilities with Post at both September 30, 2023 and 2022 related to sales, royalty income, purchases, MSA fees and royalty expense with Post and its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Co-Packaging Agreement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30, 2022, Premier Nutrition Company, LLC (“Premier Nutrition”), a subsidiary of the Company, entered into a co-packing agreement with Comet Processing, Inc. (“Comet”), a wholly-owned subsidiary of Post (the “Co-Packing Agreement”). Under the Co-Packing Agreement, Comet will manufacture for Premier Nutrition, and Premier Nutrition will purchase from Comet, certain RTD shakes. During the year ended September 30, 2023, Premier Nutrition incurred $2.5 related to reimbursable start-up costs pursuant to the Co-Packing Agreement. As of September 30, 2023, these costs had not yet been paid and were included in “Accounts payable” on the Consolidated Balance Sheets. There were no purchases of RTD shakes from Comet during the year ended September 30,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Agreements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Prior to the Spin-off, BellRing LLC made payments to Post related to quarterly tax distributions and state corporate tax withholdings made pursuant to the terms of the BellRing LLC Agreement. During the years ended September 30, 2022 and 2021, BellRing LLC paid $3.2 and $20.4, respectively, to Post related to quarterly tax distributions and zero and $4.2, respectively, for state corporate tax withholdings on behalf of Post.</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and upon completion of the Spin-off, the Company entered into the Tax Matters Agreement by and among Post, BellRing and Old BellRing. The Tax Matters Agreement (i) governs the parties’ respective rights, responsibilities and obligations with respect to taxes, including taxes arising in the ordinary course of business and taxes, if any, that may be incurred if the Distribution fails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8"/>
        <w:spacing w:after="0" w:line="308" w:lineRule="auto"/>
        <w:tabs>
          <w:tab w:leader="none" w:pos="2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taxes attributable to a failure of the Spin-off to qualify as tax-free, to the extent incurred by any action or failure to take any action within the control of Post. There were no amounts incurred by BellRing or Post under the Tax Matters Agreement during the years ended September 30, 2023 or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Prior to the IPO, the Company’s employees participated in various Post long-term incentive plans which issued awards connected to Post common stock (“Post Equity Awards”). Subsequent to the IPO, BellRing employees were no longer eligible to receive new issuances of Post Equity Awards; however, BellRing employees continued to vest in any issued and outstanding Post Equity Awards, pursuant to the terms of the awards, and the Company incurred pass-through charges from Post relating to these awards. During each of the years ended September 30, 2023, 2022 and 2021, total compensation cost related to the Post Equity Awards recognized by the Company was immaterial, and all Post Equity Awards had vested as of September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REDEEMABLE NONCONTROLLING INTEREST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 share of Old BellRing Class A Common Stock for one BellRing LLC unit, subject to customary redemption rate adjustments for stock splits, stock dividends and reclassification or (ii) cash (based on the market price of the shares of Old BellRing Class A Common Stock).</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Post’s ownership of BellRing LLC units prior to the Spin-off represented a NCI to the Company, which was classified outside of permanent stockholders’ equity as the BellRing LLC units were redeemable at the option of Post, through Post’s ownership of Old BellRing Class B Common Stock (see Note 1). The carrying amount of the NCI was the greater of: (i) the initial carrying amount, increased or decreased for the NCI’s share of net income or loss, other comprehensive income or loss and distributions or dividends or (ii) the redemption value. Changes in the redemption value of the NCI were recorded to “Additional paid-in capital”, to the extent available, and “Accumulated deficit” on the Consolidated Balance Sheets.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Immediately prior to the Spin-off, Old BellRing owned 28.5% of the outstanding BellRing LLC units. Prior to the Spin-off, the financial results of BellRing LLC and its subsidiaries were consolidated with Old BellRing, and the portion of the consolidated net earnings of BellRing LLC to which Post was entitled was allocated to the NCI during each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following the Spin-off, Post owned 14.2% of the BellRing Common Stock, which did not represent a controlling interest in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Spin-off, the carrying amount of the NCI was reduced to zero immediately following the Spin-off.</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prior to the Spin-off. There were no changes to the Company’s NCI for the year ended September 30, 2023 as the carrying amount of the NCI was reduced to zero immediately following the Spin-off.</w:t>
      </w:r>
    </w:p>
    <w:p>
      <w:pPr>
        <w:spacing w:after="0" w:line="99"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As of and for the</w:t>
      </w:r>
    </w:p>
    <w:p>
      <w:pPr>
        <w:ind w:left="8940"/>
        <w:spacing w:after="0"/>
        <w:rPr>
          <w:sz w:val="20"/>
          <w:szCs w:val="20"/>
          <w:color w:val="auto"/>
        </w:rPr>
      </w:pPr>
      <w:r>
        <w:rPr>
          <w:rFonts w:ascii="Arial" w:cs="Arial" w:eastAsia="Arial" w:hAnsi="Arial"/>
          <w:sz w:val="16"/>
          <w:szCs w:val="16"/>
          <w:b w:val="1"/>
          <w:bCs w:val="1"/>
          <w:color w:val="auto"/>
        </w:rPr>
        <w:t>Year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Net earnings attributable to NCI</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NCI</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w:t>
            </w:r>
          </w:p>
        </w:tc>
      </w:tr>
      <w:tr>
        <w:trPr>
          <w:trHeight w:val="230"/>
        </w:trPr>
        <w:tc>
          <w:tcPr>
            <w:tcW w:w="8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Impact of Spin-off</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effects of changes in NCI on the Company’s equity prior to the Spin-off. There were no transfers to or from NCI for the year ended September 30, 2023 as the carrying amount of the NCI was reduced to zero immediately following the Spin-off.</w:t>
      </w:r>
    </w:p>
    <w:p>
      <w:pPr>
        <w:spacing w:after="0" w:line="99"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As of and for the</w:t>
      </w:r>
    </w:p>
    <w:p>
      <w:pPr>
        <w:ind w:left="8940"/>
        <w:spacing w:after="0"/>
        <w:rPr>
          <w:sz w:val="20"/>
          <w:szCs w:val="20"/>
          <w:color w:val="auto"/>
        </w:rPr>
      </w:pPr>
      <w:r>
        <w:rPr>
          <w:rFonts w:ascii="Arial" w:cs="Arial" w:eastAsia="Arial" w:hAnsi="Arial"/>
          <w:sz w:val="16"/>
          <w:szCs w:val="16"/>
          <w:b w:val="1"/>
          <w:bCs w:val="1"/>
          <w:color w:val="auto"/>
        </w:rPr>
        <w:t>Year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stockholders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460" w:type="dxa"/>
            <w:vAlign w:val="bottom"/>
          </w:tcPr>
          <w:p>
            <w:pPr>
              <w:ind w:left="40"/>
              <w:spacing w:after="0"/>
              <w:rPr>
                <w:sz w:val="20"/>
                <w:szCs w:val="20"/>
                <w:color w:val="auto"/>
              </w:rPr>
            </w:pPr>
            <w:r>
              <w:rPr>
                <w:rFonts w:ascii="Arial" w:cs="Arial" w:eastAsia="Arial" w:hAnsi="Arial"/>
                <w:sz w:val="18"/>
                <w:szCs w:val="18"/>
                <w:color w:val="auto"/>
              </w:rPr>
              <w:t>Transfers (from) to NCI:</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equity as a result of redemption value adjustment to NCI</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w:t>
            </w:r>
          </w:p>
        </w:tc>
      </w:tr>
      <w:tr>
        <w:trPr>
          <w:trHeight w:val="229"/>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Increase in equity as a result of the Spin-off</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from net earnings available to common stockholders and transfers (from) to NCI</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Spin-off, Old BellRing held an economic interest in BellRing LLC (see Note 1) which, as a result of the IPO and formation transactions, was treated as a partnership for U.S. federal income tax purposes. As a partnership, BellRing LLC was itself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Subsequent to the Spin-off, the Company reported 100% of the income, gain, loss and deduction of BellRing LLC for U.S. federal, state and local income tax purposes.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expense (benefit) for income taxes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7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70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effective income tax rate for fiscal 2023 was 24.9% compared to 20.3% for fiscal 2022 and 7.1% for fiscal 2021. The increase in the effective income tax rate compared to fiscal 2022 and 2021 was primarily due to the change in tax expense allocation related to the Spin-off. After the Spin-off, the Company reported 100% of the income, gain, loss and deduction of BellRing LLC for U.S. federal, state, and local income tax purposes, whereas, prior to the Spin-off in the second quarter of fiscal 2022, the Company reported Old BellRing’s share of such activity. This increase was partially offset by higher separation-related expenses incurred in connection with the Spin-off in fiscal 2022 that were treated as non-deductible.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income tax expense with amounts computed at the federal statutory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 at federal statutory rate (21%)</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Income tax expense attributable to NCI</w:t>
            </w:r>
          </w:p>
        </w:tc>
        <w:tc>
          <w:tcPr>
            <w:tcW w:w="8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effect on federal tax</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8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(none in excess of 5% of computed tax)</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000" w:type="dxa"/>
            <w:vAlign w:val="bottom"/>
          </w:tcPr>
          <w:p>
            <w:pPr>
              <w:ind w:left="240"/>
              <w:spacing w:after="0"/>
              <w:rPr>
                <w:sz w:val="20"/>
                <w:szCs w:val="20"/>
                <w:color w:val="auto"/>
              </w:rPr>
            </w:pPr>
            <w:r>
              <w:rPr>
                <w:rFonts w:ascii="Arial" w:cs="Arial" w:eastAsia="Arial" w:hAnsi="Arial"/>
                <w:sz w:val="18"/>
                <w:szCs w:val="18"/>
                <w:b w:val="1"/>
                <w:bCs w:val="1"/>
                <w:color w:val="auto"/>
              </w:rPr>
              <w:t>Income tax expense</w:t>
            </w:r>
          </w:p>
        </w:tc>
        <w:tc>
          <w:tcPr>
            <w:tcW w:w="88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
        </w:trPr>
        <w:tc>
          <w:tcPr>
            <w:tcW w:w="7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6"/>
                <w:szCs w:val="16"/>
                <w:b w:val="1"/>
                <w:bCs w:val="1"/>
                <w:color w:val="auto"/>
                <w:w w:val="90"/>
              </w:rPr>
              <w:t>September 30, 2023</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6"/>
                <w:szCs w:val="16"/>
                <w:b w:val="1"/>
                <w:bCs w:val="1"/>
                <w:color w:val="auto"/>
                <w:w w:val="89"/>
              </w:rPr>
              <w:t>September 30, 2022</w:t>
            </w:r>
          </w:p>
        </w:tc>
        <w:tc>
          <w:tcPr>
            <w:tcW w:w="78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Liabilities</w:t>
            </w:r>
          </w:p>
        </w:tc>
        <w:tc>
          <w:tcPr>
            <w:tcW w:w="240" w:type="dxa"/>
            <w:vAlign w:val="bottom"/>
          </w:tcPr>
          <w:p>
            <w:pPr>
              <w:spacing w:after="0"/>
              <w:rPr>
                <w:sz w:val="18"/>
                <w:szCs w:val="18"/>
                <w:color w:val="auto"/>
              </w:rPr>
            </w:pPr>
          </w:p>
        </w:tc>
        <w:tc>
          <w:tcPr>
            <w:tcW w:w="780" w:type="dxa"/>
            <w:vAlign w:val="bottom"/>
          </w:tcPr>
          <w:p>
            <w:pPr>
              <w:jc w:val="right"/>
              <w:ind w:right="291"/>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6"/>
                <w:szCs w:val="16"/>
                <w:b w:val="1"/>
                <w:bCs w:val="1"/>
                <w:color w:val="auto"/>
                <w:w w:val="99"/>
              </w:rPr>
              <w:t>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Liabilities</w:t>
            </w:r>
          </w:p>
        </w:tc>
        <w:tc>
          <w:tcPr>
            <w:tcW w:w="2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Net</w:t>
            </w:r>
          </w:p>
        </w:tc>
      </w:tr>
      <w:tr>
        <w:trPr>
          <w:trHeight w:val="22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awards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Accrued vacation, incentive and severance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ind w:left="140"/>
              <w:spacing w:after="0"/>
              <w:rPr>
                <w:sz w:val="20"/>
                <w:szCs w:val="20"/>
                <w:color w:val="auto"/>
              </w:rPr>
            </w:pPr>
            <w:r>
              <w:rPr>
                <w:rFonts w:ascii="Arial" w:cs="Arial" w:eastAsia="Arial" w:hAnsi="Arial"/>
                <w:sz w:val="18"/>
                <w:szCs w:val="18"/>
                <w:b w:val="1"/>
                <w:bCs w:val="1"/>
                <w:color w:val="auto"/>
              </w:rPr>
              <w:t>Total deferred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No provision has been made for income taxes on undistributed earnings of consolidated foreign subsidiaries of $2.8 and $1.7 at September 30, 2023 and 2022, respectively, as it is the Company’s intention to indefinitely reinvest undistributed earnings of its foreign subsidiaries. It is not practicable to estimate the additional income taxes and applicable foreign withholdings that would be payable on the remittance of such undistributed earnings.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fiscal 2023, 2022 and 2021, foreign income (loss) before income taxes was $2.0, $1.1 and $(1.9),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both September 30, 2023 and 2022, the Company had net unrecognized tax benefits of $1.5. There was no unrecognized tax benefits activity during the years ended September 30, 2023, 2022 or 2021. The amount of the net unrecognized tax benefits that, if recognized, would directly affect the effective tax rate was $1.5 at September 30, 2023. No material changes to unrecognized tax benefits at September 30, 2023 are expected to be recognized within the next twelve months.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computes tax-related interest and penalties as the difference between the tax position recognized for financial reporting purposes and the amount previously taken on the Company’s tax returns and classifies these amounts as components of income tax (benefit) expense. During each of the years ended September 30, 2023, 2022 and 2021, expenses recorded related to interest and penalties were immaterial, and the Company had immaterial interest and penalty accruals at both September 30, 2023 and 2022.</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2020 through September 30, 2022 are generally open and subject to examination by the tax authorities in each respective jurisdiction.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Spin-off, basic earnings per share was based on the average number of shares of Old BellRing Class A Common Stock outstanding during the year.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diluted net earnings per share of Old BellRing Class A Common Stock attributable to NCI, to the extent it was dilutive.</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Subsequent to the Spin-off, basic earnings per share is based on the average number of shares of BellRing Common Stock outstanding during the year.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has not been presented for any years.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stockholders for basic earnings per share</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stockholders for diluted earnings per share</w:t>
            </w:r>
          </w:p>
        </w:tc>
        <w:tc>
          <w:tcPr>
            <w:tcW w:w="84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in millions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Weighted-average shares for basic earnings per share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00" w:type="dxa"/>
            <w:vAlign w:val="bottom"/>
          </w:tcPr>
          <w:p>
            <w:pPr>
              <w:ind w:left="200"/>
              <w:spacing w:after="0"/>
              <w:rPr>
                <w:sz w:val="20"/>
                <w:szCs w:val="20"/>
                <w:color w:val="auto"/>
              </w:rPr>
            </w:pPr>
            <w:r>
              <w:rPr>
                <w:rFonts w:ascii="Arial" w:cs="Arial" w:eastAsia="Arial" w:hAnsi="Arial"/>
                <w:sz w:val="18"/>
                <w:szCs w:val="18"/>
                <w:color w:val="auto"/>
              </w:rPr>
              <w:t>Performance-based restricted stock units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earnings per share</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5"/>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Common Stock</w:t>
            </w: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0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Common Stock</w:t>
            </w:r>
          </w:p>
        </w:tc>
        <w:tc>
          <w:tcPr>
            <w:tcW w:w="840" w:type="dxa"/>
            <w:vAlign w:val="bottom"/>
            <w:tcBorders>
              <w:bottom w:val="single" w:sz="8" w:color="auto"/>
            </w:tcBorders>
          </w:tcPr>
          <w:p>
            <w:pPr>
              <w:jc w:val="right"/>
              <w:ind w:right="652"/>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r>
      <w:tr>
        <w:trPr>
          <w:trHeight w:val="21"/>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details the securities that have been excluded from the calculation of weighted-average shares for diluted earnings per share as they were anti-dilutive.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180" w:type="dxa"/>
            <w:vAlign w:val="bottom"/>
            <w:tcBorders>
              <w:bottom w:val="single" w:sz="8" w:color="auto"/>
            </w:tcBorders>
            <w:gridSpan w:val="5"/>
          </w:tcPr>
          <w:p>
            <w:pPr>
              <w:ind w:left="1160"/>
              <w:spacing w:after="0"/>
              <w:rPr>
                <w:sz w:val="20"/>
                <w:szCs w:val="20"/>
                <w:color w:val="auto"/>
              </w:rPr>
            </w:pPr>
            <w:r>
              <w:rPr>
                <w:rFonts w:ascii="Arial" w:cs="Arial" w:eastAsia="Arial" w:hAnsi="Arial"/>
                <w:sz w:val="16"/>
                <w:szCs w:val="16"/>
                <w:b w:val="1"/>
                <w:bCs w:val="1"/>
                <w:color w:val="auto"/>
                <w:w w:val="99"/>
              </w:rPr>
              <w:t>Year Ended September 30,</w:t>
            </w:r>
          </w:p>
        </w:tc>
        <w:tc>
          <w:tcPr>
            <w:tcW w:w="940" w:type="dxa"/>
            <w:vAlign w:val="bottom"/>
            <w:tcBorders>
              <w:bottom w:val="single" w:sz="8" w:color="auto"/>
            </w:tcBorders>
          </w:tcPr>
          <w:p>
            <w:pPr>
              <w:spacing w:after="0"/>
              <w:rPr>
                <w:sz w:val="18"/>
                <w:szCs w:val="18"/>
                <w:color w:val="auto"/>
              </w:rPr>
            </w:pP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SUPPLEMENTAL OPERATIONS STATEMENT AND CASH FLOW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expenses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Income taxes paid (a)</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192" w:lineRule="exact"/>
        <w:rPr>
          <w:sz w:val="20"/>
          <w:szCs w:val="20"/>
          <w:color w:val="auto"/>
        </w:rPr>
      </w:pPr>
    </w:p>
    <w:p>
      <w:pPr>
        <w:ind w:left="340" w:hanging="332"/>
        <w:spacing w:after="0" w:line="275"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Subsequent to the Spin-off, the Company reported 100% of the income, gain, loss and deduction of BellRing LLC. See Note 7 for additional information on the Company’s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BALANCE SHEET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Inventories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Raw materials and supplies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Accounts Payable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legal matters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10 years and most leases provide the Company with the option to exercise one or more renewal terms.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2022</w:t>
            </w: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4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8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8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of the Company’s operating lease liabilities as of September 30, 2023 are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660" w:type="dxa"/>
            <w:vAlign w:val="bottom"/>
            <w:shd w:val="clear" w:color="auto" w:fill="CCEEFF"/>
          </w:tcPr>
          <w:p>
            <w:pPr>
              <w:spacing w:after="0"/>
              <w:rPr>
                <w:sz w:val="19"/>
                <w:szCs w:val="19"/>
                <w:color w:val="auto"/>
              </w:rPr>
            </w:pPr>
          </w:p>
        </w:tc>
        <w:tc>
          <w:tcPr>
            <w:tcW w:w="212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591"/>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Fiscal 2027</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1"/>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Less: Implied interest</w:t>
            </w:r>
          </w:p>
        </w:tc>
        <w:tc>
          <w:tcPr>
            <w:tcW w:w="6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71"/>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591"/>
              <w:spacing w:after="0"/>
              <w:rPr>
                <w:sz w:val="20"/>
                <w:szCs w:val="20"/>
                <w:color w:val="auto"/>
              </w:rPr>
            </w:pPr>
            <w:r>
              <w:rPr>
                <w:rFonts w:ascii="Arial" w:cs="Arial" w:eastAsia="Arial" w:hAnsi="Arial"/>
                <w:sz w:val="18"/>
                <w:szCs w:val="18"/>
                <w:color w:val="auto"/>
                <w:w w:val="87"/>
              </w:rPr>
              <w:t>8.2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0"/>
              </w:rPr>
              <w:t>The following table presents supplemental information related to the Company’s operating leases.</w:t>
            </w: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4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6"/>
                <w:szCs w:val="16"/>
                <w:b w:val="1"/>
                <w:bCs w:val="1"/>
                <w:color w:val="auto"/>
                <w:w w:val="97"/>
              </w:rPr>
              <w:t>Year Ended September 30,</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2023</w:t>
            </w:r>
          </w:p>
        </w:tc>
        <w:tc>
          <w:tcPr>
            <w:tcW w:w="1720" w:type="dxa"/>
            <w:vAlign w:val="bottom"/>
            <w:gridSpan w:val="3"/>
          </w:tcPr>
          <w:p>
            <w:pPr>
              <w:jc w:val="center"/>
              <w:ind w:left="314"/>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expense</w:t>
            </w:r>
          </w:p>
        </w:tc>
        <w:tc>
          <w:tcPr>
            <w:tcW w:w="4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91"/>
              </w:rPr>
              <w:t>$3.1</w:t>
            </w:r>
          </w:p>
        </w:tc>
        <w:tc>
          <w:tcPr>
            <w:tcW w:w="2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8"/>
                <w:szCs w:val="18"/>
                <w:color w:val="auto"/>
                <w:w w:val="91"/>
              </w:rPr>
              <w:t>$3.7</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Variable lease expense</w:t>
            </w:r>
          </w:p>
        </w:tc>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0.9</w:t>
            </w:r>
          </w:p>
        </w:tc>
        <w:tc>
          <w:tcPr>
            <w:tcW w:w="1720" w:type="dxa"/>
            <w:vAlign w:val="bottom"/>
            <w:gridSpan w:val="3"/>
          </w:tcPr>
          <w:p>
            <w:pPr>
              <w:jc w:val="center"/>
              <w:ind w:left="314"/>
              <w:spacing w:after="0"/>
              <w:rPr>
                <w:sz w:val="20"/>
                <w:szCs w:val="20"/>
                <w:color w:val="auto"/>
              </w:rPr>
            </w:pPr>
            <w:r>
              <w:rPr>
                <w:rFonts w:ascii="Arial" w:cs="Arial" w:eastAsia="Arial" w:hAnsi="Arial"/>
                <w:sz w:val="18"/>
                <w:szCs w:val="18"/>
                <w:color w:val="auto"/>
                <w:w w:val="95"/>
              </w:rPr>
              <w:t>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1"/>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w:t>
            </w:r>
          </w:p>
        </w:tc>
        <w:tc>
          <w:tcPr>
            <w:tcW w:w="660" w:type="dxa"/>
            <w:vAlign w:val="bottom"/>
          </w:tcPr>
          <w:p>
            <w:pPr>
              <w:spacing w:after="0"/>
              <w:rPr>
                <w:sz w:val="20"/>
                <w:szCs w:val="20"/>
                <w:color w:val="auto"/>
              </w:rPr>
            </w:pPr>
            <w:r>
              <w:rPr>
                <w:rFonts w:ascii="Arial" w:cs="Arial" w:eastAsia="Arial" w:hAnsi="Arial"/>
                <w:sz w:val="18"/>
                <w:szCs w:val="18"/>
                <w:color w:val="auto"/>
              </w:rPr>
              <w:t>4 years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jc w:val="right"/>
              <w:ind w:right="710"/>
              <w:spacing w:after="0"/>
              <w:rPr>
                <w:sz w:val="20"/>
                <w:szCs w:val="20"/>
                <w:color w:val="auto"/>
              </w:rPr>
            </w:pPr>
            <w:r>
              <w:rPr>
                <w:rFonts w:ascii="Arial" w:cs="Arial" w:eastAsia="Arial" w:hAnsi="Arial"/>
                <w:sz w:val="18"/>
                <w:szCs w:val="18"/>
                <w:color w:val="auto"/>
              </w:rPr>
              <w:t>4 years</w:t>
            </w:r>
          </w:p>
        </w:tc>
        <w:tc>
          <w:tcPr>
            <w:tcW w:w="1060" w:type="dxa"/>
            <w:vAlign w:val="bottom"/>
          </w:tcPr>
          <w:p>
            <w:pPr>
              <w:ind w:left="1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incremental borrowing rate</w:t>
            </w:r>
          </w:p>
        </w:tc>
        <w:tc>
          <w:tcPr>
            <w:tcW w:w="66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2"/>
              </w:rPr>
              <w:t>4.8%</w:t>
            </w:r>
          </w:p>
        </w:tc>
        <w:tc>
          <w:tcPr>
            <w:tcW w:w="172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87"/>
              </w:rPr>
              <w:t>4.6%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7"/>
              </w:rPr>
              <w:t>4.3%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Operating cash flows for amounts included in the measurement of the Company’s operating lease liabilities for the years ended September 30, 2023, 2022 and 2021 were $2.4, $2.2 and $3.0, respectively. Short-term lease expense for the years ended September 30, 2023, 2022 and 2021 was immaterial. ROU assets obtained in exchange for operating lease liabilities during the years ended September 30, 2023, 2022 and 2021 were immaterial.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financial assets and liabilities include cash and cash equivalents, receivables and accounts payable for which the carrying value approximates fair value due to their short maturities (less than 12 months). The Company does not record its current portion of long-term debt and long-term debt at fair value on the Consolidated Balance Sheets. The fair value of any outstanding borrowings under the Revolving Credit Facility (as defined in Note 13) as of September 30, 2023 and 2022 approximated its carrying value. Based on market rates, the fair value (Level 2) of the Company’s debt, excluding any borrowings under the Revolving Credit Facility, was $830.0 and $767.4 as of September 30, 2023 and 2022, respectively.</w:t>
      </w:r>
    </w:p>
    <w:p>
      <w:pPr>
        <w:spacing w:after="0" w:line="5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Certain assets and liabilities, including property, goodwill and other intangible assets, are measured at fair value on a non-recurring basis. No impairment charges were recorded for property, goodwill or other intangible assets during the years ended September 30, 2023, 2022 or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“Long-term debt” on the Consolidated Balance Sheets are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Senior Notes maturing in March 2030</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r>
      <w:tr>
        <w:trPr>
          <w:trHeight w:val="223"/>
        </w:trPr>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principal amount of debt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865.0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 net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8"/>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Long-term debt</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856.8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March 10, 2022, pursuant to the Transaction Agreement, the Company issued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41"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and began on September 15, 2022. The 7.00% Senior Notes are senior unsecured obligations of BellRing and are guaranteed by BellRing’s existing and subsequently acquired or organized direct and indirect wholly-owned domestic subsidiaries (other than immaterial subsidiaries, certain excluded subsidiaries and subsidiaries the Company designates as unrestricted subsidiaries). The maturity date of the 7.00% Senior Notes is March 15, 2030.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10, 2022, pursuant to the Transaction Agreement,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Borrowings under the Revolving Credit Facility bear interest at an annual rate equal to: (i) in the case of loans denominated in U.S. Dollars, at the Company’s option, the base rate (as defined in the Credit Agreement) plus a margin which will range from 2.00% to 2.75% depending on the Company’s secured net leverage ratio (as defined in the Credit Agreement), or the adjusted term SOFR rate (as defined in the Credit Agreement) for the applicable interest period plus a margin which will range from 3.00% to 3.75% depending on the Company’s secured net leverage ratio; (ii) in the case of loans denominated in Euros, the adjusted Eurodollar rate (as defined in the Credit Agreement) for the applicable interest period plus a margin which will range from 3.00% to 3.75% depending on the Company’s secured net leverage ratio; and (iii) in the case of loans denominated in U.K. Pounds Sterling, the adjusted daily simple RFR (as defined in the Credit Agreement) plus a margin which will range from 3.00% to 3.75% depending on the Company’s secured net leverage ratio. Facility fees on the daily unused amount of commitments under the Revolving Credit Facility will accrue at rates ranging from 0.25% to 0.375% per annum, depending on the Company’s secured net leverage ratio.</w:t>
      </w:r>
    </w:p>
    <w:p>
      <w:pPr>
        <w:spacing w:after="0" w:line="7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The Company incurred $1.5 of financing fees in connection with the Revolving Credit Facility, which were deferred and are being amortized to interest expense over the term of the Revolving Credit Facility. During the years ended September 30, 2023 and 2022, the Company borrowed $115.0 and $164.0 under the Revolving Credit Facility, respectively, and repaid $189.0 and $65.0 under the Revolving Credit Facility, respectively. The interest rate on the utilized portion of the Revolving Credit Facility was 8.42% as of September 30, 2023 and ranged from 5.95% to 8.25% as of September 30, 2022. The available borrowing capacity under the Revolving Credit Facility was $225.0 and $151.0 as of September 30, 2023 and 2022, respectively. There were no outstanding letters of credit as of September 30, 2023 or 2022.</w:t>
      </w:r>
    </w:p>
    <w:p>
      <w:pPr>
        <w:spacing w:after="0" w:line="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is required to maintain a total net leverage ratio (as defined in the Credit Agreement) not to exceed 6.00:1.00, measured as of the last day of each fiscal quarter. The total net leverage ratio of the Company did not exceed this threshold as of September 30, 2023.</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Credit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26, 2021, BellRing LLC entered into a second amendment to the Old Credit Agreement (the “Amendment”). In connection with the Amendment, BellRing LLC paid debt refinancing fees of $1.6 in the year ended September 30, 2021, which were included in “Loss on extinguishment and refinancing of debt, net” in the Consolidated Statements of Operations.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10, 2022, with certain of the proceeds from the transactions related to the Spin-off, BellRing LLC repaid the aggregate outstanding principal balance of $519.8 on its Term B Facility and terminated all obligations and commitments under the Old Credit Agreement. The Company recorded a loss of $17.6 in the year ended September 30, 2022, which was included in “Loss on extinguishment and refinancing of debt, net” in the Consolidated Statements of Operations. This loss included (i) a $6.9 write-off of unamortized discounts and debt extinguishment fees, (ii) a $6.1 write-off of unamortized net hedging losses recorded within accumulated OCI related to the Term B Facility and (iii) a $4.6 write-off of debt issuance costs and deferred financing fees. Following the termination of the Old Credit Agreement, BellRing LLC and the guarantors had no further obligations under the Old Credit Agreement and the related guarantees other than customary indemnification obligations which continue.</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 B Facility required quarterly scheduled amortization payments of $8.75 which began on March 31, 2020. Interest was paid on each Interest Payment Date (as defined in the Old Credit Agreement) during each of the periods prior to the termination of the Old Credit Agreement. The Term B Facility contained customary mandatory payment provisions, and during the year ended September 30, 2022 and prior to the termination of the Old Credit Agreement, the Company repaid $81.4 on its Term B Facility as a mandatory prepayment from fiscal 2021 excess cash flow (as defined in the Old Credit Agreement), which was in addition to the scheduled amortization payments. During the year ended September 30, 2021, the Company repaid $28.8 on its Term B Facility as a mandatory prepayment from fiscal 2020 excess cash flow (as defined in the Old Credit Agreement), which was in addition to the scheduled amortization payments.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September 30, 2021, BellRing LLC borrowed $20.0 under the Old Revolving Credit Facility and repaid $50.0 under the Old Revolving Credit Facility. There were no borrowings under or repayments on the Old Revolving Credit Facility during the year ended September 30, 2022, prior to the facility being terminated.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340"/>
              <w:spacing w:after="0"/>
              <w:rPr>
                <w:sz w:val="20"/>
                <w:szCs w:val="20"/>
                <w:color w:val="auto"/>
              </w:rPr>
            </w:pPr>
            <w:r>
              <w:rPr>
                <w:rFonts w:ascii="Arial" w:cs="Arial" w:eastAsia="Arial" w:hAnsi="Arial"/>
                <w:sz w:val="18"/>
                <w:szCs w:val="18"/>
                <w:color w:val="auto"/>
                <w:w w:val="97"/>
              </w:rPr>
              <w:t>As of September 30, 2023, expected principal payments on the Company’s debt for the next five fiscal years were:</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35"/>
        </w:trPr>
        <w:tc>
          <w:tcPr>
            <w:tcW w:w="9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Estimated future interest payments on the Company’s debt through fiscal 2028 are expected to be $303.2 (with $61.5 expected in fiscal 2024) based on the interest rates at September 30,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 delivered its verdict in favor of plaintiff in June 2022. In August 2022, the Court entered a judgment in that case in favor of plaintiff in the amount of $12.9, which includes statutory damages and prejudgment interest. In October 2022, each plaintiff and Premier Nutrition filed Notices of Appeal to the Ninth Circuit, which appeals are pending. The other eight Related Federal Actions remain pending, and the court has certified individual state classes in each of those cases (except New Mexico).</w:t>
      </w:r>
    </w:p>
    <w:p>
      <w:pPr>
        <w:spacing w:after="0" w:line="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Following the federal district court’s denial of Premier Nutrition’s motion to permanently enjoin the Alameda action under the doctrine of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Premier Nutrition appealed to the Ninth Circuit, which affirmed the district court decision. In March 2023, the Alameda Superior Court granted in part and denied in part Premier Nutrition’s motion for judgment based on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and in May 2023, the Court reaffirmed its ruling. In July 2023, Premier Nutrition filed a petition for writ of mandamus in the California Court of Appeal, which writ is pending. In July 2023, Plaintiff moved to certify the case as a class action, which remains pending. This case was previously set for trial in September 2023, together with Alameda County case set forth in the immediately succeeding paragraph, but the court separated them. Trial is anticipated in calendar year 2024.</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on July 7, 2023, which motion remains pending. This case was set for trial in September 2023, but has been rescheduled to begin on December 15, 2023.</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During the years ended September 30, 2023 and 2022, the Company expensed $5.0 and $7.5, respectively, related to the legal matter and plaintiff legal fees in connection with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which was included in “Selling, general and administrative expenses” on the Consolidated Statements of Operations. Other than legal fees, no expense related to this litigation was incurred during the year ended September 30, 2021. At September 30, 2023 and 2022, the Company had an estimated liability of $21.0 and $16.0, respectively, related to these matters that was included in “Other current liabilities” on the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Protein Products Class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7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Company filed its motion to dismiss this case in August 2023. The Court has set a hearing for December 1, 2023 on this motion. The Company intends to vigorously defend the case, 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41" w:lineRule="exact"/>
        <w:rPr>
          <w:sz w:val="20"/>
          <w:szCs w:val="20"/>
          <w:color w:val="auto"/>
        </w:rPr>
      </w:pPr>
    </w:p>
    <w:p>
      <w:pPr>
        <w:ind w:firstLine="324"/>
        <w:spacing w:after="0" w:line="375" w:lineRule="auto"/>
        <w:rPr>
          <w:sz w:val="20"/>
          <w:szCs w:val="20"/>
          <w:color w:val="auto"/>
        </w:rPr>
      </w:pPr>
      <w:r>
        <w:rPr>
          <w:rFonts w:ascii="Arial" w:cs="Arial" w:eastAsia="Arial" w:hAnsi="Arial"/>
          <w:sz w:val="18"/>
          <w:szCs w:val="18"/>
          <w:color w:val="auto"/>
        </w:rPr>
        <w:t xml:space="preserve">Other than legal fees, no expense related to the Protein Products Class Lawsuit was incurred during the years ended September 30, 2023, 2022 or 2021. </w:t>
      </w:r>
      <w:r>
        <w:rPr>
          <w:rFonts w:ascii="Arial" w:cs="Arial" w:eastAsia="Arial" w:hAnsi="Arial"/>
          <w:sz w:val="18"/>
          <w:szCs w:val="18"/>
          <w:i w:val="1"/>
          <w:iCs w:val="1"/>
          <w:color w:val="auto"/>
        </w:rPr>
        <w:t>California Proposition 65 Notice re Lead in Protein Products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June 7, 2023, the Fitzgerald Joseph LLP law firm (the same firm that filed the Protein Products Class Litigation)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legal fees, no expense related to the Protein Products Prop 65 Notice was incurred during the years ended September 30, 2023, 2022 or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fourth quarter of fiscal 2022, a voluntary product recall was initiated by one of the Company’s contract manufacturers which produces RTD shakes for Premier Nutrition. The recall covered the Company’s products produced from December 8, 2021 through July 9, 2022 at one of the contract manufacturer’s facilities. The recall did not have a material impact on the Company’s consolidated financial condition, results of operations or cash flow.</w:t>
      </w:r>
    </w:p>
    <w:p>
      <w:pPr>
        <w:spacing w:after="0" w:line="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employees participate in the BellRing Brands, Inc. Long-Term Incentive Plan (the “BellRing Long-Term Incentive Plan”). Awards issued under the BellRing Long-Term Incentive Plan have a maximum term of 10 years, provided, however, that the Corporate Governance and Compensation Committee of BellRing’s Board of Directors may, in its discretion, grant awards with a longer term to participants who are located outside of the U.S. At September 30, 2023 there were 1.4 million shares available to be issued for stock-based compensation awards under the BellRing Long-Term Incentive Plan.</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connection with the Spin-off and the related Merger, all outstanding unexercised and unexpired options to purchase shares of Old BellRing Class A Common Stock, outstanding restricted stock units with respect to shares of Old BellRing Class A Common Stock and other equity awards with respect to shares of Old BellRing Class A Common Stock outstanding under the BellRing Long-Term Incentive Plan (the “Equity Awards”), whether or not exercisable or vested, were assumed by BellRing based on the terms and subject to the conditions set forth in the Transaction Agreement. Additionally, the Board of Directors of BellRing approved adjustments to the terms of the outstanding Equity Awards to preserve the intrinsic value of the awards. The adjustments to the Equity Awards were based on the volume weighted average price of Old BellRing Class A Common Stock during the five trading day period prior to and including March 10, 2022 and the volume weighted average price of BellRing Common Stock during the five trading day period immediately following March 10, 2022. The Equity Award adjustments made in connection with the Spin-off had an immaterial impact on the Company’s Consolidated Statements of Operations for the years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years ended September 30, 2023, 2022 and 2021, total compensation cost for BellRing’s non-cash stock-based compensation awards recognized was $14.2, $9.8 and $4.6, respectively, and the related recognized deferred tax benefit was $1.6, $1.2 and $0.3, respectively. See Note 7 for discussion related to income taxes. As of September 30, 2023, the total compensation cost related to BellRing’s non-vested awards not yet recognized was $19.5, which is expected to be recognized over a weighted-average period of 1.3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stock options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88"/>
              </w:rPr>
              <w:t>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88"/>
              </w:rPr>
              <w:t>Exercise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options or where otherwise indicated</w:t>
            </w:r>
          </w:p>
        </w:tc>
        <w:tc>
          <w:tcPr>
            <w:tcW w:w="14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Stock Options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2"/>
              </w:rPr>
              <w:t>Price Per</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482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Share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258,987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 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258,987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2023</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195,562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17.67</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6.69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each stock option was estimated on the date of grant using the Black-Scholes Model. The Company used the simplified method for estimating a stock option term as it did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 ended September 30, 2021 are summarized in the table below. There were no stock options granted during the years ended September 30, 2023 or 2022.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5000" w:type="dxa"/>
            <w:vAlign w:val="bottom"/>
            <w:shd w:val="clear" w:color="auto" w:fill="CCEEFF"/>
          </w:tcPr>
          <w:p>
            <w:pPr>
              <w:jc w:val="center"/>
              <w:ind w:left="3410"/>
              <w:spacing w:after="0"/>
              <w:rPr>
                <w:sz w:val="20"/>
                <w:szCs w:val="20"/>
                <w:color w:val="auto"/>
              </w:rPr>
            </w:pPr>
            <w:r>
              <w:rPr>
                <w:rFonts w:ascii="Arial" w:cs="Arial" w:eastAsia="Arial" w:hAnsi="Arial"/>
                <w:sz w:val="18"/>
                <w:szCs w:val="18"/>
                <w:color w:val="auto"/>
                <w:w w:val="87"/>
              </w:rPr>
              <w:t>6.5</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5000" w:type="dxa"/>
            <w:vAlign w:val="bottom"/>
          </w:tcPr>
          <w:p>
            <w:pPr>
              <w:jc w:val="center"/>
              <w:ind w:left="3410"/>
              <w:spacing w:after="0"/>
              <w:rPr>
                <w:sz w:val="20"/>
                <w:szCs w:val="20"/>
                <w:color w:val="auto"/>
              </w:rPr>
            </w:pPr>
            <w:r>
              <w:rPr>
                <w:rFonts w:ascii="Arial" w:cs="Arial" w:eastAsia="Arial" w:hAnsi="Arial"/>
                <w:sz w:val="18"/>
                <w:szCs w:val="18"/>
                <w:color w:val="auto"/>
                <w:w w:val="90"/>
              </w:rPr>
              <w:t>38.5%</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000" w:type="dxa"/>
            <w:vAlign w:val="bottom"/>
            <w:shd w:val="clear" w:color="auto" w:fill="CCEEFF"/>
          </w:tcPr>
          <w:p>
            <w:pPr>
              <w:jc w:val="center"/>
              <w:ind w:left="3410"/>
              <w:spacing w:after="0"/>
              <w:rPr>
                <w:sz w:val="20"/>
                <w:szCs w:val="20"/>
                <w:color w:val="auto"/>
              </w:rPr>
            </w:pPr>
            <w:r>
              <w:rPr>
                <w:rFonts w:ascii="Arial" w:cs="Arial" w:eastAsia="Arial" w:hAnsi="Arial"/>
                <w:sz w:val="18"/>
                <w:szCs w:val="18"/>
                <w:color w:val="auto"/>
                <w:w w:val="92"/>
              </w:rPr>
              <w:t>0.6%</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5000" w:type="dxa"/>
            <w:vAlign w:val="bottom"/>
          </w:tcPr>
          <w:p>
            <w:pPr>
              <w:jc w:val="center"/>
              <w:ind w:left="341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5000" w:type="dxa"/>
            <w:vAlign w:val="bottom"/>
            <w:shd w:val="clear" w:color="auto" w:fill="CCEEFF"/>
          </w:tcPr>
          <w:p>
            <w:pPr>
              <w:jc w:val="center"/>
              <w:ind w:left="3410"/>
              <w:spacing w:after="0"/>
              <w:rPr>
                <w:sz w:val="20"/>
                <w:szCs w:val="20"/>
                <w:color w:val="auto"/>
              </w:rPr>
            </w:pPr>
            <w:r>
              <w:rPr>
                <w:rFonts w:ascii="Arial" w:cs="Arial" w:eastAsia="Arial" w:hAnsi="Arial"/>
                <w:sz w:val="18"/>
                <w:szCs w:val="18"/>
                <w:color w:val="auto"/>
                <w:w w:val="93"/>
              </w:rPr>
              <w:t>$7.79</w:t>
            </w: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total intrinsic value of stock options exercised was $0.1 in the year ended September 30, 2022, and the Company received proceeds from the exercise of stock options of $0.5 during the year ended September 30, 2022. There were no stock options exercised during the years ended September 30, 2023 or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RSUs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Value Per</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207,224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465,231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grant date fair value of each RSU was determined based upon the closing price of the Company’s common stock on the date of grant. The weighted-average grant date fair value of nonvested RSUs was $24.06, $21.23 and $19.85 at September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30, 2023, 2022 and 2021, respectively. The total vest date fair value of RSUs that vested during fiscal 2023, 2022 and 2021 was $7.8, $5.2 and $3.0,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 (“PRSUs”)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PRSUs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PRSUs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Value Per</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176,062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551,281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years ended September 30, 2023 and 2022, the Company granted PRSUs to certain employees and directors. These awards will be earned by comparing BellRing’s total shareholder return (“TSR”) during a period of approximately three years to the respective TSRs of companies in a performance peer group. Based upon BellRing’s ranking in its performance peer group when comparing TSRs, a recipient of the PRSU grant may earn a total award ranging from 0% to 260% of the target award. The fair value of each PRSU was estimated on the grant date using a Monte Carlo simulation.</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assumptions for PRSUs granted during the years ended September 30, 2023 and 2022 are summarized in the table below. There were no PRSUs granted during the year ended September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46.8%</w:t>
            </w:r>
          </w:p>
        </w:tc>
        <w:tc>
          <w:tcPr>
            <w:tcW w:w="1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49.6%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PRSU)</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$42.33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STOCKHOLDERS’ DEFICIT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repurchases of BellRing Common Stock subsequent to the Spin-off.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Shares repurchased </w:t>
            </w:r>
            <w:r>
              <w:rPr>
                <w:rFonts w:ascii="Arial" w:cs="Arial" w:eastAsia="Arial" w:hAnsi="Arial"/>
                <w:sz w:val="18"/>
                <w:szCs w:val="18"/>
                <w:i w:val="1"/>
                <w:iCs w:val="1"/>
                <w:color w:val="auto"/>
              </w:rPr>
              <w:t>(in millions)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Average price per share (a)</w:t>
            </w:r>
          </w:p>
        </w:tc>
        <w:tc>
          <w:tcPr>
            <w:tcW w:w="920" w:type="dxa"/>
            <w:vAlign w:val="bottom"/>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29.56</w:t>
            </w:r>
          </w:p>
        </w:tc>
        <w:tc>
          <w:tcPr>
            <w:tcW w:w="10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 repurchase cost (b)</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108"/>
        </w:trPr>
        <w:tc>
          <w:tcPr>
            <w:tcW w:w="8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price per share excludes accrued excise tax and broker’s commissions, which are included in “Total share repurchase cost” within this table.</w:t>
      </w:r>
    </w:p>
    <w:p>
      <w:pPr>
        <w:spacing w:after="0" w:line="113"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“Purchases of treasury stock” in the Consolidated Statements of Cash Flows for the year ended September 30, 2023 excluded $0.8 of accrued excise tax that had not been paid as of September 30, 2023 and was included in “Other current liabilities” on the Consolidated Balance Sheets at September 30,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summarizes the Company’s repurchases of Old BellRing Class A Common Stock during the year ended September 30, 2022 prior to the Spin-off. There were no repurchases of Old BellRing Class A Common Stock by the Company during the year ended September 30,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Shares repurchased </w:t>
            </w:r>
            <w:r>
              <w:rPr>
                <w:rFonts w:ascii="Arial" w:cs="Arial" w:eastAsia="Arial" w:hAnsi="Arial"/>
                <w:sz w:val="18"/>
                <w:szCs w:val="18"/>
                <w:i w:val="1"/>
                <w:iCs w:val="1"/>
                <w:color w:val="auto"/>
              </w:rPr>
              <w:t>(in millions)</w:t>
            </w:r>
          </w:p>
        </w:tc>
        <w:tc>
          <w:tcPr>
            <w:tcW w:w="4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Average price per share (a)</w:t>
            </w:r>
          </w:p>
        </w:tc>
        <w:tc>
          <w:tcPr>
            <w:tcW w:w="42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 repurchase costs</w:t>
            </w:r>
          </w:p>
        </w:tc>
        <w:tc>
          <w:tcPr>
            <w:tcW w:w="4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price per share excludes broker’s commissions, which are included in “Total share repurchase cost” within this table.</w:t>
      </w:r>
    </w:p>
    <w:p>
      <w:pPr>
        <w:spacing w:after="0" w:line="1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Spin-off, 0.8 million shares of Old BellRing Class A Common Stock held in treasury stock immediately prior to the Merger effective time were cancelled pursuant to the Transaction Agreement.</w:t>
      </w:r>
    </w:p>
    <w:p>
      <w:pPr>
        <w:spacing w:after="0" w:line="166" w:lineRule="exact"/>
        <w:rPr>
          <w:sz w:val="20"/>
          <w:szCs w:val="20"/>
          <w:color w:val="auto"/>
        </w:rPr>
      </w:pPr>
    </w:p>
    <w:p>
      <w:pPr>
        <w:ind w:right="9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with the Executive Chairman, Chief Executive Officer (“CEO”) and Chief Financial Officer (“CFO”) of the Company, has evaluated the effectiveness of our disclosure controls and procedures (as defined in Rules 13a-15(e) and 15d-15(e) under the Securities Exchange Act of 1934, as amended (the “Exchange Act”)) as of September 30, 2023. Based on that evaluation, our Executive Chairman, CEO and CFO concluded that, as of September 30, 2023, the Company's disclosure controls and procedures were effective to provide reasonable assurance of achieving the desired control objectives.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of September 30, 2023, management conducted an assessment of the effectiveness of the Company’s internal control over financial reporting based upon the criteria set forth by the Committee of Sponsoring Organizations of the Treadway Commission (COSO)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management’s assessment utilizing these criteria, our management concluded that, as of September 30, 2023,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September 30, 2023 has been audited by PricewaterhouseCoopers LLP, an independent registered public accounting firm, as stated in its report, which appears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Based on management’s evaluation, there were no changes in our internal control over financial reporting that occurred during the quarter ended September 30, 2023 that have materially affected, or are reasonably likely to materially affect, our internal control over financial reporting.</w:t>
      </w:r>
    </w:p>
    <w:p>
      <w:pPr>
        <w:spacing w:after="0" w:line="1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 10b5-1 and Non-Rule 10b5-1 Trading Arrangements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September 30, 2023, no director or “officer,” as defined in Rule 16a-1(f) under the Securities Exchange Act of 1934, as amended, of the Company adopted or terminated a “Rule 10b5-1 trading arrangement” or “non-Rule 10b5-1 trading arrangement,” as each term is defined in Item 408 of Regulation S-K.</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Fonterra (USA) Inc. Agreements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Premier Nutrition Company, LLC (“Premier Nutrition”), a subsidiary of the Company, executed a master purchase commitment (“Master Purchase Commitment”), effective as of July 1, 2023, with Fonterra (USA) Inc. (“Fonterra”), pursuant to an Amended and Restated Master Supply Agreement between Premier Nutrition and Fonterra dated as of July 1, 2023 (“Master Supply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Master Purchase Commitment, Fonterra will supply milk protein concentrate (“Product”) to Premier Nutrition, and Premier Nutrition is required to purchase, pursuant to purchase orders, a minimum amount of Product every six months. Premier Nutrition has the right (but not the obligation) to order quantities in excess of such amount on a spot basis as agreed by the parties, and the Master Purchase Commitment also contains provisions describing the determination of the prices for the Product. The Master Supply Agreement contains provisions regarding the product specifications and quality standards for the Product, the rights of a party in the event the other party does not comply with its obligations under the Master Supply Agreement or the Master Purchase Commitment (or other purchase orders between the parties) and other customary contractual terms and conditions.</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Master Purchase Commitment runs for an initial term of five years, with subsequent renewals for periods of a minimum of two years upon the mutual agreement of the parties at least twelve months in advance of the expiration of the then-current term. The Master Supply Agreement runs for an initial term of five years and will automatically renew for additional periods of five years unless a party determines not to renew upon at least twelve months prior notice.</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 of the Master Supply Agreement and Master Purchase Commitment does not purport to be complete and is qualified in its entirety by reference to such agreements, which are included as Exhibit 10.21 and Exhibit 10.22, respectively, to this Annual Report. Certain portions of these documents that constitute confidential information have been redacted in accordance with Regulation S-K, Item 601(b)(10)</w:t>
      </w:r>
    </w:p>
    <w:p>
      <w:pPr>
        <w:spacing w:after="0" w:line="161" w:lineRule="exact"/>
        <w:rPr>
          <w:sz w:val="20"/>
          <w:szCs w:val="20"/>
          <w:color w:val="auto"/>
        </w:rPr>
      </w:pPr>
    </w:p>
    <w:p>
      <w:pPr>
        <w:ind w:right="288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2024 Annual Meeting of Stockholders to be filed with the Securities and Exchange Commission within 120 days of the year ended September 30, 2023 (the “2024 Proxy Statement”) is hereby incorporated by reference.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executive officers of the Company is included in the “Information about our Executive Officers” section under “Business” in Item 1 of this report.</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amends the Code of Conduct or waivers of compliance are granted and it is determined that such amendments or waivers are subject to the disclosure provisions of Item 5.05 of Form 8-K, the Company will post such amendments or waivers on its website or in a report on Form 8-K.</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information required by this Item, appearing under the headings “Compensation of Officers and Directors,” “Compensation Committee Interlocks and Insider Participation” and “Corporate Governance and Compensation Committee Report” in the 2024 Proxy Statement, is hereby incorporated by reference. The information contained in “Corporate Governance and Compensation Committee Report” in the 2024 Proxy Statement shall not be deemed to be “filed” with the Securities and Exchange Commission or subject to the liabilities of the Securities Exchange Act of 1934, as amended (the “Exchange Act”), except to the extent that the Company specifically incorporates such information into a document filed under the Securities Act of 1933, as amended, or the Exchange Act.</w:t>
      </w:r>
    </w:p>
    <w:p>
      <w:pPr>
        <w:spacing w:after="0" w:line="18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appearing under the headings “Security Ownership of Certain Stockholders” and “Compensation of Officers and Directors - Equity Compensation Plan Information” in the 2024 Proxy Statement, is hereby incorporated by reference.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required by this Item, appearing under the headings “Certain Relationships and Related Transactions” and “Corporate Governance - Director Independence and Role of the Independent Lead Director” in the 2024 Proxy Statement, is hereby incorporated by reference.</w:t>
      </w:r>
    </w:p>
    <w:p>
      <w:pPr>
        <w:spacing w:after="0" w:line="1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required by this Item, appearing under the heading “Ratification of Appointment of Independent Registered Public Accounting Firm” in the 2024 Proxy Statement,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Documents filed as a part of this report:</w:t>
      </w:r>
    </w:p>
    <w:p>
      <w:pPr>
        <w:spacing w:after="0" w:line="11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following are filed as a part of this document under Item 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September 30, 2023, 2022 and 2021</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September 30, 2023, 2022 and 2021</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Balance Sheets at September 30, 2023 and 2022</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September 30, 2023, 2022 and 2021</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Statements of Stockholders’ Deficit for the years ended September 30, 2023, 2022 and 2021</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 None. Schedules not included have been omitted because they are not applicable or not material or the required information is shown in the financial statements or notes thereto.</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See the following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8"/>
                <w:szCs w:val="18"/>
                <w:color w:val="auto"/>
              </w:rPr>
            </w:pPr>
          </w:p>
        </w:tc>
        <w:tc>
          <w:tcPr>
            <w:tcW w:w="9040" w:type="dxa"/>
            <w:vAlign w:val="bottom"/>
            <w:gridSpan w:val="39"/>
          </w:tcPr>
          <w:p>
            <w:pPr>
              <w:spacing w:after="0"/>
              <w:rPr>
                <w:sz w:val="20"/>
                <w:szCs w:val="20"/>
                <w:color w:val="auto"/>
              </w:rPr>
            </w:pPr>
            <w:r>
              <w:rPr>
                <w:rFonts w:ascii="Arial" w:cs="Arial" w:eastAsia="Arial" w:hAnsi="Arial"/>
                <w:sz w:val="16"/>
                <w:szCs w:val="16"/>
                <w:b w:val="1"/>
                <w:bCs w:val="1"/>
                <w:color w:val="auto"/>
              </w:rPr>
              <w:t>Description</w:t>
            </w:r>
          </w:p>
        </w:tc>
      </w:tr>
      <w:tr>
        <w:trPr>
          <w:trHeight w:val="186"/>
        </w:trPr>
        <w:tc>
          <w:tcPr>
            <w:tcW w:w="1100" w:type="dxa"/>
            <w:vAlign w:val="bottom"/>
            <w:tcBorders>
              <w:top w:val="single" w:sz="8" w:color="auto"/>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*2.1</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40" w:type="dxa"/>
            <w:vAlign w:val="bottom"/>
            <w:tcBorders>
              <w:top w:val="single" w:sz="8" w:color="auto"/>
            </w:tcBorders>
            <w:gridSpan w:val="39"/>
            <w:shd w:val="clear" w:color="auto" w:fill="CCEEFF"/>
          </w:tcPr>
          <w:p>
            <w:pPr>
              <w:spacing w:after="0" w:line="18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Transaction Agreement and Plan of Merger, dated as of October 26, 2021, by and among Post Holdings, Inc., BellRing</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56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Brands, Inc., BellRing Distribution, LLC and BellRing Merger Sub Corporation (Incorporated by reference to Exhibit</w:t>
              </w:r>
            </w:hyperlink>
          </w:p>
        </w:tc>
        <w:tc>
          <w:tcPr>
            <w:tcW w:w="260" w:type="dxa"/>
            <w:vAlign w:val="bottom"/>
            <w:tcBorders>
              <w:top w:val="single" w:sz="8" w:color="CCEEFF"/>
            </w:tcBorders>
            <w:gridSpan w:val="5"/>
            <w:shd w:val="clear" w:color="auto" w:fill="CCEEFF"/>
          </w:tcPr>
          <w:p>
            <w:pPr>
              <w:jc w:val="right"/>
              <w:ind w:right="60"/>
              <w:spacing w:after="0" w:line="156" w:lineRule="exact"/>
              <w:rPr>
                <w:rFonts w:ascii="Arial" w:cs="Arial" w:eastAsia="Arial" w:hAnsi="Arial"/>
                <w:sz w:val="18"/>
                <w:szCs w:val="18"/>
                <w:color w:val="0000FF"/>
                <w:w w:val="71"/>
              </w:rPr>
            </w:pPr>
            <w:hyperlink r:id="rId91">
              <w:r>
                <w:rPr>
                  <w:rFonts w:ascii="Arial" w:cs="Arial" w:eastAsia="Arial" w:hAnsi="Arial"/>
                  <w:sz w:val="18"/>
                  <w:szCs w:val="18"/>
                  <w:color w:val="0000FF"/>
                  <w:w w:val="71"/>
                </w:rPr>
                <w:t>2.1</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rPr>
            </w:pPr>
            <w:hyperlink r:id="rId91">
              <w:r>
                <w:rPr>
                  <w:rFonts w:ascii="Arial" w:cs="Arial" w:eastAsia="Arial" w:hAnsi="Arial"/>
                  <w:sz w:val="18"/>
                  <w:szCs w:val="18"/>
                  <w:color w:val="0000FF"/>
                </w:rPr>
                <w:t>to the Company’s Form 8-K filed on October 27, 2021)</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7"/>
              </w:rPr>
              <w:t>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6"/>
              </w:rPr>
            </w:pPr>
            <w:hyperlink r:id="rId92">
              <w:r>
                <w:rPr>
                  <w:rFonts w:ascii="Arial" w:cs="Arial" w:eastAsia="Arial" w:hAnsi="Arial"/>
                  <w:sz w:val="18"/>
                  <w:szCs w:val="18"/>
                  <w:color w:val="0000FF"/>
                  <w:w w:val="96"/>
                </w:rPr>
                <w:t>Amendment No. 1 to Transaction Agreement and Plan of Merger, dated as of February 28, 2022, by and among Post</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21"/>
          </w:tcPr>
          <w:p>
            <w:pPr>
              <w:spacing w:after="0" w:line="15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Holdings, Inc., BellRing Brands, Inc., BellRing Distribution, LLC and BellRing Merger Sub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20" w:type="dxa"/>
            <w:vAlign w:val="bottom"/>
            <w:gridSpan w:val="13"/>
          </w:tcPr>
          <w:p>
            <w:pPr>
              <w:ind w:left="20"/>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by</w:t>
              </w:r>
            </w:hyperlink>
          </w:p>
        </w:tc>
      </w:tr>
      <w:tr>
        <w:trPr>
          <w:trHeight w:val="169"/>
        </w:trPr>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92">
              <w:r>
                <w:rPr>
                  <w:rFonts w:ascii="Arial" w:cs="Arial" w:eastAsia="Arial" w:hAnsi="Arial"/>
                  <w:sz w:val="18"/>
                  <w:szCs w:val="18"/>
                  <w:color w:val="0000FF"/>
                </w:rPr>
                <w:t>reference to Exhibit 2.1 to the Company’s Form 8-K filed on February 28, 2022)</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3.1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BellRing Brands, Inc. Certificate of Incorporation (Incorporated by reference to Exhibit 3.1 to the Company’s Second Form</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0000FF"/>
              <w:bottom w:val="single" w:sz="8" w:color="0000FF"/>
            </w:tcBorders>
            <w:gridSpan w:val="6"/>
            <w:shd w:val="clear" w:color="auto" w:fill="CCEEFF"/>
          </w:tcPr>
          <w:p>
            <w:pPr>
              <w:spacing w:after="0" w:line="15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8-K filed on March 10, 2022)</w:t>
              </w:r>
            </w:hyperlink>
          </w:p>
        </w:tc>
        <w:tc>
          <w:tcPr>
            <w:tcW w:w="6880" w:type="dxa"/>
            <w:vAlign w:val="bottom"/>
            <w:tcBorders>
              <w:top w:val="single" w:sz="8" w:color="0000FF"/>
              <w:bottom w:val="single" w:sz="8" w:color="CCEEFF"/>
            </w:tcBorders>
            <w:gridSpan w:val="3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bottom w:val="single" w:sz="8" w:color="0000FF"/>
            </w:tcBorders>
            <w:gridSpan w:val="39"/>
          </w:tcPr>
          <w:p>
            <w:pPr>
              <w:spacing w:after="0" w:line="189"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BellRing Brands, Inc. Bylaws (Incorporated by reference to Exhibit 3.2 to the Company’s Second Form 8-K filed on March</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gridSpan w:val="4"/>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10, 2022)</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rFonts w:ascii="Arial" w:cs="Arial" w:eastAsia="Arial" w:hAnsi="Arial"/>
                <w:sz w:val="18"/>
                <w:szCs w:val="18"/>
                <w:color w:val="0000FF"/>
              </w:rPr>
            </w:pPr>
            <w:hyperlink r:id="rId95">
              <w:r>
                <w:rPr>
                  <w:rFonts w:ascii="Arial" w:cs="Arial" w:eastAsia="Arial" w:hAnsi="Arial"/>
                  <w:sz w:val="18"/>
                  <w:szCs w:val="18"/>
                  <w:color w:val="0000FF"/>
                </w:rPr>
                <w:t>Indenture, dated March 10, 2022, by and among BellRing Brands, Inc. (formerly BellRing Distribution, LLC) and</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37"/>
            <w:shd w:val="clear" w:color="auto" w:fill="CCEEFF"/>
          </w:tcPr>
          <w:p>
            <w:pPr>
              <w:spacing w:after="0" w:line="15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Computershare Trust Company, N.A., as trustee (Incorporated by reference to Exhibit 4.1 to the Company’s Second Form</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0000FF"/>
              <w:bottom w:val="single" w:sz="8" w:color="0000FF"/>
            </w:tcBorders>
            <w:gridSpan w:val="6"/>
            <w:shd w:val="clear" w:color="auto" w:fill="CCEEFF"/>
          </w:tcPr>
          <w:p>
            <w:pPr>
              <w:spacing w:after="0" w:line="169"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8-K filed on March 10, 2022)</w:t>
              </w:r>
            </w:hyperlink>
          </w:p>
        </w:tc>
        <w:tc>
          <w:tcPr>
            <w:tcW w:w="6840" w:type="dxa"/>
            <w:vAlign w:val="bottom"/>
            <w:tcBorders>
              <w:top w:val="single" w:sz="8" w:color="0000FF"/>
              <w:bottom w:val="single" w:sz="8" w:color="CCEEFF"/>
            </w:tcBorders>
            <w:gridSpan w:val="30"/>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bottom w:val="single" w:sz="8" w:color="0000FF"/>
            </w:tcBorders>
            <w:gridSpan w:val="39"/>
          </w:tcPr>
          <w:p>
            <w:pPr>
              <w:spacing w:after="0" w:line="189"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Form of Note (Incorporated by reference to Exhibit A to Exhibit 4.1 to the Company’s Second Form 8-K filed on March 10,</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2022)</w:t>
              </w:r>
            </w:hyperlink>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sz w:val="20"/>
                <w:szCs w:val="20"/>
                <w:color w:val="auto"/>
              </w:rPr>
            </w:pPr>
            <w:r>
              <w:rPr>
                <w:rFonts w:ascii="Arial" w:cs="Arial" w:eastAsia="Arial" w:hAnsi="Arial"/>
                <w:sz w:val="18"/>
                <w:szCs w:val="18"/>
                <w:color w:val="0000FF"/>
              </w:rPr>
              <w:t>Description of Company’s Registered Securities</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88"/>
              </w:rPr>
              <w:t>†10.1</w:t>
            </w: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Amended BellRing Brands, Inc. 2019 Long-Term Incentive Plan (Incorporated by referenced to Exhibit 10.1 to the</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Company’s Form 10-Q filed on February 7, 2023)</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Arial" w:cs="Arial" w:eastAsia="Arial" w:hAnsi="Arial"/>
                <w:sz w:val="18"/>
                <w:szCs w:val="18"/>
                <w:color w:val="auto"/>
                <w:w w:val="88"/>
              </w:rPr>
              <w:t>†10.2</w:t>
            </w: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rFonts w:ascii="Arial" w:cs="Arial" w:eastAsia="Arial" w:hAnsi="Arial"/>
                <w:sz w:val="18"/>
                <w:szCs w:val="18"/>
                <w:color w:val="0000FF"/>
                <w:w w:val="97"/>
              </w:rPr>
            </w:pPr>
            <w:hyperlink r:id="rId97">
              <w:r>
                <w:rPr>
                  <w:rFonts w:ascii="Arial" w:cs="Arial" w:eastAsia="Arial" w:hAnsi="Arial"/>
                  <w:sz w:val="18"/>
                  <w:szCs w:val="18"/>
                  <w:color w:val="0000FF"/>
                  <w:w w:val="97"/>
                </w:rPr>
                <w:t>Form of Omnibus Amendment to Restricted Stock Unit Agreement (Incorporated by referenced to Exhibit 10.2 to the</w:t>
              </w:r>
            </w:hyperlink>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300" w:type="dxa"/>
            <w:vAlign w:val="bottom"/>
            <w:tcBorders>
              <w:top w:val="single" w:sz="8" w:color="0000FF"/>
              <w:bottom w:val="single" w:sz="8" w:color="0000FF"/>
            </w:tcBorders>
            <w:gridSpan w:val="9"/>
            <w:shd w:val="clear" w:color="auto" w:fill="CCEEFF"/>
          </w:tcPr>
          <w:p>
            <w:pPr>
              <w:spacing w:after="0" w:line="15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Company’s Form 10-Q filed on May 6, 2022)</w:t>
              </w:r>
            </w:hyperlink>
          </w:p>
        </w:tc>
        <w:tc>
          <w:tcPr>
            <w:tcW w:w="518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88"/>
              </w:rPr>
              <w:t>†10.3</w:t>
            </w: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5"/>
              </w:rPr>
            </w:pPr>
            <w:hyperlink r:id="rId98">
              <w:r>
                <w:rPr>
                  <w:rFonts w:ascii="Arial" w:cs="Arial" w:eastAsia="Arial" w:hAnsi="Arial"/>
                  <w:sz w:val="18"/>
                  <w:szCs w:val="18"/>
                  <w:color w:val="0000FF"/>
                  <w:w w:val="95"/>
                </w:rPr>
                <w:t>Form of Omnibus Amendment to Performance Restricted Stock Unit Agreement (Incorporated by referenced to Exhibit</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Form 10-Q filed on May 6, 2022)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Arial" w:cs="Arial" w:eastAsia="Arial" w:hAnsi="Arial"/>
                <w:sz w:val="18"/>
                <w:szCs w:val="18"/>
                <w:color w:val="auto"/>
                <w:w w:val="88"/>
              </w:rPr>
              <w:t>†10.4</w:t>
            </w: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Form of Omnibus Amendment to Non-Qualified Stock Option Agreement (Incorporated by referenced to Exhibit 10.4 to</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the Company’s Form 10-Q filed on May 6, 2022)</w:t>
              </w:r>
            </w:hyperlink>
          </w:p>
        </w:tc>
        <w:tc>
          <w:tcPr>
            <w:tcW w:w="514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88"/>
              </w:rPr>
              <w:t>†10.5</w:t>
            </w: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8"/>
              </w:rPr>
            </w:pPr>
            <w:hyperlink r:id="rId100">
              <w:r>
                <w:rPr>
                  <w:rFonts w:ascii="Arial" w:cs="Arial" w:eastAsia="Arial" w:hAnsi="Arial"/>
                  <w:sz w:val="18"/>
                  <w:szCs w:val="18"/>
                  <w:color w:val="0000FF"/>
                  <w:w w:val="98"/>
                </w:rPr>
                <w:t>Form of BellRing Brands, Inc. Executive Chairman Restricted Stock Unit Agreement (Incorporated by referenced to</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Exhibit 10.5 to the Company’s Form 10-Q filed on May 6, 2022)</w:t>
              </w:r>
            </w:hyperlink>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Arial" w:cs="Arial" w:eastAsia="Arial" w:hAnsi="Arial"/>
                <w:sz w:val="18"/>
                <w:szCs w:val="18"/>
                <w:color w:val="auto"/>
                <w:w w:val="88"/>
              </w:rPr>
              <w:t>†10.6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0" w:type="dxa"/>
            <w:vAlign w:val="bottom"/>
            <w:gridSpan w:val="38"/>
            <w:shd w:val="clear" w:color="auto" w:fill="CCEEFF"/>
          </w:tcPr>
          <w:p>
            <w:pPr>
              <w:spacing w:after="0" w:line="189" w:lineRule="exact"/>
              <w:rPr>
                <w:rFonts w:ascii="Arial" w:cs="Arial" w:eastAsia="Arial" w:hAnsi="Arial"/>
                <w:sz w:val="18"/>
                <w:szCs w:val="18"/>
                <w:color w:val="0000FF"/>
                <w:w w:val="98"/>
              </w:rPr>
            </w:pPr>
            <w:hyperlink r:id="rId101">
              <w:r>
                <w:rPr>
                  <w:rFonts w:ascii="Arial" w:cs="Arial" w:eastAsia="Arial" w:hAnsi="Arial"/>
                  <w:sz w:val="18"/>
                  <w:szCs w:val="18"/>
                  <w:color w:val="0000FF"/>
                  <w:w w:val="98"/>
                </w:rPr>
                <w:t>Form of BellRing Brands, Inc. Executive Chairman Performance Restricted Stock Unit Agreement (Incorporated by</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referenced to Exhibit 10.6 to the Company’s Form 10-Q filed on May 6, 2022)</w:t>
              </w:r>
            </w:hyperlink>
          </w:p>
        </w:tc>
        <w:tc>
          <w:tcPr>
            <w:tcW w:w="240" w:type="dxa"/>
            <w:vAlign w:val="bottom"/>
            <w:tcBorders>
              <w:top w:val="single" w:sz="8" w:color="CCEEFF"/>
            </w:tcBorders>
            <w:gridSpan w:val="4"/>
            <w:shd w:val="clear" w:color="auto" w:fill="CCEEFF"/>
          </w:tcPr>
          <w:p>
            <w:pPr>
              <w:spacing w:after="0"/>
              <w:rPr>
                <w:sz w:val="13"/>
                <w:szCs w:val="13"/>
                <w:color w:val="auto"/>
              </w:rPr>
            </w:pPr>
          </w:p>
        </w:tc>
        <w:tc>
          <w:tcPr>
            <w:tcW w:w="1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88"/>
              </w:rPr>
              <w:t>†10.7</w:t>
            </w: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Amended and Restated Lock-Up Agreement, dated as of May 5, 2022, by and between BellRing Brands, Inc. and Robert V.</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Vitale (Incorporated by referenced to Exhibit 10.7 to the Company’s Form 10-Q filed on May 6,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69" w:lineRule="exact"/>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10.8</w:t>
            </w: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69"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Amended BellRing Brands, Inc. Deferred Compensation Plan For Directors (Incorporated by referenced to Exhibit 10.8 to</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the Company’s Form 10-Q filed on May 6, 2022)</w:t>
              </w:r>
            </w:hyperlink>
          </w:p>
        </w:tc>
        <w:tc>
          <w:tcPr>
            <w:tcW w:w="526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88"/>
              </w:rPr>
              <w:t>†10.9</w:t>
            </w: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Form of Severance and Change in Control Agreement (Incorporated by referenced to Exhibit 10.9 to the Company’s Form</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10-Q filed on May 6, 2022)</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89" w:lineRule="exact"/>
              <w:rPr>
                <w:sz w:val="20"/>
                <w:szCs w:val="20"/>
                <w:color w:val="auto"/>
              </w:rPr>
            </w:pPr>
            <w:r>
              <w:rPr>
                <w:rFonts w:ascii="Arial" w:cs="Arial" w:eastAsia="Arial" w:hAnsi="Arial"/>
                <w:sz w:val="18"/>
                <w:szCs w:val="18"/>
                <w:color w:val="auto"/>
                <w:w w:val="90"/>
              </w:rPr>
              <w:t>†10.10</w:t>
            </w: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sz w:val="20"/>
                <w:szCs w:val="20"/>
                <w:color w:val="auto"/>
              </w:rPr>
            </w:pPr>
            <w:r>
              <w:rPr>
                <w:rFonts w:ascii="Arial" w:cs="Arial" w:eastAsia="Arial" w:hAnsi="Arial"/>
                <w:sz w:val="18"/>
                <w:szCs w:val="18"/>
                <w:color w:val="0000FF"/>
              </w:rPr>
              <w:t>Form of Indemnification Agreement</w:t>
            </w: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87"/>
              </w:rPr>
              <w:t>†10.11</w:t>
            </w: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5"/>
              </w:rPr>
            </w:pPr>
            <w:hyperlink r:id="rId105">
              <w:r>
                <w:rPr>
                  <w:rFonts w:ascii="Arial" w:cs="Arial" w:eastAsia="Arial" w:hAnsi="Arial"/>
                  <w:sz w:val="18"/>
                  <w:szCs w:val="18"/>
                  <w:color w:val="0000FF"/>
                  <w:w w:val="95"/>
                </w:rPr>
                <w:t>BellRing Brands, Inc. Senior Management Bonus Program (Incorporated by reference to Exhibit 10.1 to the Company’s</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Form 8-K filed on November 22,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89" w:lineRule="exact"/>
              <w:rPr>
                <w:sz w:val="20"/>
                <w:szCs w:val="20"/>
                <w:color w:val="auto"/>
              </w:rPr>
            </w:pPr>
            <w:r>
              <w:rPr>
                <w:rFonts w:ascii="Arial" w:cs="Arial" w:eastAsia="Arial" w:hAnsi="Arial"/>
                <w:sz w:val="18"/>
                <w:szCs w:val="18"/>
                <w:color w:val="auto"/>
                <w:w w:val="90"/>
              </w:rPr>
              <w:t>†10.12</w:t>
            </w: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Form of Non-Qualified Stock Option Agreement (Incorporated by reference to Exhibit 10.3 to the Company’s Form 8-K</w:t>
              </w:r>
            </w:hyperlink>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filed on November 22, 2019)</w:t>
              </w:r>
            </w:hyperlink>
          </w:p>
        </w:tc>
        <w:tc>
          <w:tcPr>
            <w:tcW w:w="6920" w:type="dxa"/>
            <w:vAlign w:val="bottom"/>
            <w:tcBorders>
              <w:top w:val="single" w:sz="8" w:color="0000FF"/>
              <w:bottom w:val="single" w:sz="8" w:color="CCEEFF"/>
            </w:tcBorders>
            <w:gridSpan w:val="3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0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90"/>
              </w:rPr>
              <w:t>†10.13</w:t>
            </w:r>
          </w:p>
        </w:tc>
        <w:tc>
          <w:tcPr>
            <w:tcW w:w="20" w:type="dxa"/>
            <w:vAlign w:val="bottom"/>
          </w:tcPr>
          <w:p>
            <w:pPr>
              <w:spacing w:after="0"/>
              <w:rPr>
                <w:sz w:val="16"/>
                <w:szCs w:val="16"/>
                <w:color w:val="auto"/>
              </w:rPr>
            </w:pPr>
          </w:p>
        </w:tc>
        <w:tc>
          <w:tcPr>
            <w:tcW w:w="9040" w:type="dxa"/>
            <w:vAlign w:val="bottom"/>
            <w:gridSpan w:val="39"/>
          </w:tcPr>
          <w:p>
            <w:pPr>
              <w:spacing w:after="0" w:line="189"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Form of Director Restricted Stock Unit Agreement (Incorporated by reference to Exhibit 10.4 to the Company’s Form 8-K</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filed on November 22, 2019)</w:t>
              </w:r>
            </w:hyperlink>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*10.14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39"/>
            <w:shd w:val="clear" w:color="auto" w:fill="CCEEFF"/>
          </w:tcPr>
          <w:p>
            <w:pPr>
              <w:spacing w:after="0" w:line="189"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Amended and Restated Master Services Agreement, dated March 10, 2022, by and among Post Holdings, Inc., BellRing</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Intermediate Holdings, Inc., BellRing Brands, Inc. and BellRing Brands, LLC (Incorporated by reference to Exhibit 10.1</w:t>
              </w:r>
            </w:hyperlink>
          </w:p>
        </w:tc>
        <w:tc>
          <w:tcPr>
            <w:tcW w:w="380" w:type="dxa"/>
            <w:vAlign w:val="bottom"/>
            <w:tcBorders>
              <w:top w:val="single" w:sz="8" w:color="CCEEFF"/>
            </w:tcBorders>
            <w:gridSpan w:val="12"/>
            <w:shd w:val="clear" w:color="auto" w:fill="CCEEFF"/>
          </w:tcPr>
          <w:p>
            <w:pPr>
              <w:ind w:left="100"/>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to</w:t>
              </w:r>
            </w:hyperlink>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32"/>
            <w:shd w:val="clear" w:color="auto" w:fill="CCEEFF"/>
          </w:tcPr>
          <w:p>
            <w:pPr>
              <w:spacing w:after="0" w:line="169" w:lineRule="exact"/>
              <w:rPr>
                <w:rFonts w:ascii="Arial" w:cs="Arial" w:eastAsia="Arial" w:hAnsi="Arial"/>
                <w:sz w:val="18"/>
                <w:szCs w:val="18"/>
                <w:color w:val="0000FF"/>
              </w:rPr>
            </w:pPr>
            <w:hyperlink r:id="rId108">
              <w:r>
                <w:rPr>
                  <w:rFonts w:ascii="Arial" w:cs="Arial" w:eastAsia="Arial" w:hAnsi="Arial"/>
                  <w:sz w:val="18"/>
                  <w:szCs w:val="18"/>
                  <w:color w:val="0000FF"/>
                </w:rPr>
                <w:t>the Company’s Second Form 8-K filed on March 10, 2022)</w:t>
              </w:r>
            </w:hyperlink>
          </w:p>
        </w:tc>
        <w:tc>
          <w:tcPr>
            <w:tcW w:w="140" w:type="dxa"/>
            <w:vAlign w:val="bottom"/>
            <w:tcBorders>
              <w:top w:val="single" w:sz="8" w:color="CCEEFF"/>
            </w:tcBorders>
            <w:gridSpan w:val="7"/>
            <w:shd w:val="clear" w:color="auto" w:fill="CCEEFF"/>
          </w:tcPr>
          <w:p>
            <w:pPr>
              <w:spacing w:after="0"/>
              <w:rPr>
                <w:sz w:val="14"/>
                <w:szCs w:val="14"/>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91"/>
        </w:trPr>
        <w:tc>
          <w:tcPr>
            <w:tcW w:w="1100" w:type="dxa"/>
            <w:vAlign w:val="bottom"/>
          </w:tcPr>
          <w:p>
            <w:pPr>
              <w:jc w:val="center"/>
              <w:spacing w:after="0" w:line="191" w:lineRule="exact"/>
              <w:rPr>
                <w:sz w:val="20"/>
                <w:szCs w:val="20"/>
                <w:color w:val="auto"/>
              </w:rPr>
            </w:pPr>
            <w:r>
              <w:rPr>
                <w:rFonts w:ascii="Arial" w:cs="Arial" w:eastAsia="Arial" w:hAnsi="Arial"/>
                <w:sz w:val="18"/>
                <w:szCs w:val="18"/>
                <w:color w:val="auto"/>
                <w:w w:val="95"/>
              </w:rPr>
              <w:t>*10.15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39"/>
          </w:tcPr>
          <w:p>
            <w:pPr>
              <w:spacing w:after="0" w:line="191" w:lineRule="exact"/>
              <w:rPr>
                <w:rFonts w:ascii="Arial" w:cs="Arial" w:eastAsia="Arial" w:hAnsi="Arial"/>
                <w:sz w:val="18"/>
                <w:szCs w:val="18"/>
                <w:u w:val="single" w:color="auto"/>
                <w:color w:val="0000FF"/>
                <w:w w:val="93"/>
              </w:rPr>
            </w:pPr>
            <w:hyperlink r:id="rId109">
              <w:r>
                <w:rPr>
                  <w:rFonts w:ascii="Arial" w:cs="Arial" w:eastAsia="Arial" w:hAnsi="Arial"/>
                  <w:sz w:val="18"/>
                  <w:szCs w:val="18"/>
                  <w:u w:val="single" w:color="auto"/>
                  <w:color w:val="0000FF"/>
                  <w:w w:val="93"/>
                </w:rPr>
                <w:t>Amendment to Amended and Restated Master Services Agreement, dated August 4, 2023, by and among Post Holdings,</w:t>
              </w:r>
            </w:hyperlink>
          </w:p>
        </w:tc>
      </w:tr>
    </w:tbl>
    <w:p>
      <w:pPr>
        <w:ind w:left="1320" w:right="120"/>
        <w:spacing w:after="0" w:line="233"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Inc., BellRing Intermediate Holdings, Inc., BellRing Brands, Inc. and BellRing Brands, LLC (Incorporated by reference to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Exhibit 10.23 to the Company’s Form 10-Q filed on August 8, 2023)</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41" w:right="129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9060" w:type="dxa"/>
            <w:vAlign w:val="bottom"/>
            <w:gridSpan w:val="30"/>
          </w:tcPr>
          <w:p>
            <w:pPr>
              <w:spacing w:after="0"/>
              <w:rPr>
                <w:sz w:val="20"/>
                <w:szCs w:val="20"/>
                <w:color w:val="auto"/>
              </w:rPr>
            </w:pPr>
            <w:r>
              <w:rPr>
                <w:rFonts w:ascii="Arial" w:cs="Arial" w:eastAsia="Arial" w:hAnsi="Arial"/>
                <w:sz w:val="16"/>
                <w:szCs w:val="16"/>
                <w:b w:val="1"/>
                <w:bCs w:val="1"/>
                <w:color w:val="auto"/>
              </w:rPr>
              <w:t>Description</w:t>
            </w:r>
          </w:p>
        </w:tc>
      </w:tr>
      <w:tr>
        <w:trPr>
          <w:trHeight w:val="185"/>
        </w:trPr>
        <w:tc>
          <w:tcPr>
            <w:tcW w:w="1100" w:type="dxa"/>
            <w:vAlign w:val="bottom"/>
            <w:tcBorders>
              <w:top w:val="single" w:sz="8" w:color="auto"/>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88"/>
              </w:rPr>
              <w:t>10.16</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9060" w:type="dxa"/>
            <w:vAlign w:val="bottom"/>
            <w:tcBorders>
              <w:top w:val="single" w:sz="8" w:color="auto"/>
            </w:tcBorders>
            <w:gridSpan w:val="30"/>
            <w:shd w:val="clear" w:color="auto" w:fill="CCEEFF"/>
          </w:tcPr>
          <w:p>
            <w:pPr>
              <w:spacing w:after="0" w:line="186" w:lineRule="exact"/>
              <w:rPr>
                <w:rFonts w:ascii="Arial" w:cs="Arial" w:eastAsia="Arial" w:hAnsi="Arial"/>
                <w:sz w:val="18"/>
                <w:szCs w:val="18"/>
                <w:color w:val="0000FF"/>
                <w:w w:val="94"/>
              </w:rPr>
            </w:pPr>
            <w:hyperlink r:id="rId111">
              <w:r>
                <w:rPr>
                  <w:rFonts w:ascii="Arial" w:cs="Arial" w:eastAsia="Arial" w:hAnsi="Arial"/>
                  <w:sz w:val="18"/>
                  <w:szCs w:val="18"/>
                  <w:color w:val="0000FF"/>
                  <w:w w:val="94"/>
                </w:rPr>
                <w:t>Registration Rights Agreement, dated March 10, 2022, by and among BellRing Brands, Inc. (formerly known as BellRing</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7"/>
              </w:rPr>
            </w:pPr>
            <w:hyperlink r:id="rId111">
              <w:r>
                <w:rPr>
                  <w:rFonts w:ascii="Arial" w:cs="Arial" w:eastAsia="Arial" w:hAnsi="Arial"/>
                  <w:sz w:val="18"/>
                  <w:szCs w:val="18"/>
                  <w:color w:val="0000FF"/>
                  <w:w w:val="97"/>
                </w:rPr>
                <w:t>Distribution, LLC), Post Holdings, Inc. and the other stockholders party thereto from time to time (Incorporated by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828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rPr>
            </w:pPr>
            <w:hyperlink r:id="rId111">
              <w:r>
                <w:rPr>
                  <w:rFonts w:ascii="Arial" w:cs="Arial" w:eastAsia="Arial" w:hAnsi="Arial"/>
                  <w:sz w:val="18"/>
                  <w:szCs w:val="18"/>
                  <w:color w:val="0000FF"/>
                </w:rPr>
                <w:t>reference to Exhibit 10.2 to the Company’s Second Form 8-K filed on March 10, 2022)</w:t>
              </w:r>
            </w:hyperlink>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5"/>
              </w:rPr>
              <w:t>*10.17</w:t>
            </w:r>
          </w:p>
        </w:tc>
        <w:tc>
          <w:tcPr>
            <w:tcW w:w="220" w:type="dxa"/>
            <w:vAlign w:val="bottom"/>
          </w:tcPr>
          <w:p>
            <w:pPr>
              <w:spacing w:after="0"/>
              <w:rPr>
                <w:sz w:val="16"/>
                <w:szCs w:val="16"/>
                <w:color w:val="auto"/>
              </w:rPr>
            </w:pPr>
          </w:p>
        </w:tc>
        <w:tc>
          <w:tcPr>
            <w:tcW w:w="9060" w:type="dxa"/>
            <w:vAlign w:val="bottom"/>
            <w:gridSpan w:val="30"/>
          </w:tcPr>
          <w:p>
            <w:pPr>
              <w:spacing w:after="0" w:line="189"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Amended and Restated Employee Matters Agreement, dated March 10, 2022, by and among Post Holdings, Inc., BellRing</w:t>
              </w:r>
            </w:hyperlink>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2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Intermediate Holdings, Inc. (formerly known as BellRing Brands, Inc.), BellRing Brands, LLC and BellRing Brands,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60" w:type="dxa"/>
            <w:vAlign w:val="bottom"/>
            <w:gridSpan w:val="30"/>
          </w:tcPr>
          <w:p>
            <w:pPr>
              <w:spacing w:after="0" w:line="169"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(formerly known as BellRing Distribution, LLC) (Incorporated by reference to Exhibit 10.3 to the Company’s Second Form</w:t>
              </w:r>
            </w:hyperlink>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8-K filed on March 10,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*10.18</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858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Tax Matters Agreement, dated March 10, 2022, by and among BellRing Brands, Inc., Post Holdings, Inc. and BellRing</w:t>
              </w:r>
            </w:hyperlink>
          </w:p>
        </w:tc>
        <w:tc>
          <w:tcPr>
            <w:tcW w:w="480" w:type="dxa"/>
            <w:vAlign w:val="bottom"/>
            <w:tcBorders>
              <w:bottom w:val="single" w:sz="8" w:color="CCEEFF"/>
            </w:tcBorders>
            <w:gridSpan w:val="13"/>
            <w:shd w:val="clear" w:color="auto" w:fill="CCEEFF"/>
          </w:tcPr>
          <w:p>
            <w:pPr>
              <w:spacing w:after="0"/>
              <w:rPr>
                <w:sz w:val="16"/>
                <w:szCs w:val="16"/>
                <w:color w:val="auto"/>
              </w:rPr>
            </w:pPr>
          </w:p>
        </w:tc>
      </w:tr>
      <w:tr>
        <w:trPr>
          <w:trHeight w:val="156"/>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060" w:type="dxa"/>
            <w:vAlign w:val="bottom"/>
            <w:gridSpan w:val="30"/>
            <w:shd w:val="clear" w:color="auto" w:fill="CCEEFF"/>
          </w:tcPr>
          <w:p>
            <w:pPr>
              <w:spacing w:after="0" w:line="156"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Intermediate Holdings, Inc. (Incorporated by reference to Exhibit 10.4 to the Company’s Second Form 8-K filed on March</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89"/>
              </w:rPr>
            </w:pPr>
            <w:hyperlink r:id="rId113">
              <w:r>
                <w:rPr>
                  <w:rFonts w:ascii="Arial" w:cs="Arial" w:eastAsia="Arial" w:hAnsi="Arial"/>
                  <w:sz w:val="18"/>
                  <w:szCs w:val="18"/>
                  <w:color w:val="0000FF"/>
                  <w:w w:val="89"/>
                </w:rPr>
                <w:t>10, 2022)</w:t>
              </w:r>
            </w:hyperlink>
          </w:p>
        </w:tc>
        <w:tc>
          <w:tcPr>
            <w:tcW w:w="14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420" w:type="dxa"/>
            <w:vAlign w:val="bottom"/>
            <w:tcBorders>
              <w:top w:val="single" w:sz="8" w:color="0000FF"/>
              <w:bottom w:val="single" w:sz="8" w:color="CCEEFF"/>
            </w:tcBorders>
            <w:shd w:val="clear" w:color="auto" w:fill="CCEEFF"/>
          </w:tcPr>
          <w:p>
            <w:pPr>
              <w:spacing w:after="0"/>
              <w:rPr>
                <w:sz w:val="16"/>
                <w:szCs w:val="16"/>
                <w:color w:val="auto"/>
              </w:rPr>
            </w:pPr>
          </w:p>
        </w:tc>
        <w:tc>
          <w:tcPr>
            <w:tcW w:w="1380" w:type="dxa"/>
            <w:vAlign w:val="bottom"/>
            <w:tcBorders>
              <w:top w:val="single" w:sz="8" w:color="0000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8"/>
              </w:rPr>
              <w:t>10.19</w:t>
            </w:r>
          </w:p>
        </w:tc>
        <w:tc>
          <w:tcPr>
            <w:tcW w:w="220" w:type="dxa"/>
            <w:vAlign w:val="bottom"/>
          </w:tcPr>
          <w:p>
            <w:pPr>
              <w:spacing w:after="0"/>
              <w:rPr>
                <w:sz w:val="16"/>
                <w:szCs w:val="16"/>
                <w:color w:val="auto"/>
              </w:rPr>
            </w:pPr>
          </w:p>
        </w:tc>
        <w:tc>
          <w:tcPr>
            <w:tcW w:w="9060" w:type="dxa"/>
            <w:vAlign w:val="bottom"/>
            <w:gridSpan w:val="30"/>
          </w:tcPr>
          <w:p>
            <w:pPr>
              <w:spacing w:after="0" w:line="189"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Tax Receivable Agreement, dated October 21, 2019, by and among BellRing Brands, Inc., BellRing Brands, LLC and Post</w:t>
              </w:r>
            </w:hyperlink>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40" w:type="dxa"/>
            <w:vAlign w:val="bottom"/>
            <w:tcBorders>
              <w:top w:val="single" w:sz="8" w:color="0000FF"/>
            </w:tcBorders>
            <w:gridSpan w:val="21"/>
          </w:tcPr>
          <w:p>
            <w:pPr>
              <w:spacing w:after="0" w:line="156"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Holdings, Inc. (Incorporated by reference to Exhibit 10.5 to the Company’s Form 8-K filed on October 21, 2019)</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*10.20</w:t>
            </w:r>
          </w:p>
        </w:tc>
        <w:tc>
          <w:tcPr>
            <w:tcW w:w="220" w:type="dxa"/>
            <w:vAlign w:val="bottom"/>
            <w:tcBorders>
              <w:right w:val="single" w:sz="8" w:color="CCEEFF"/>
            </w:tcBorders>
            <w:shd w:val="clear" w:color="auto" w:fill="CCEEFF"/>
          </w:tcPr>
          <w:p>
            <w:pPr>
              <w:spacing w:after="0"/>
              <w:rPr>
                <w:sz w:val="16"/>
                <w:szCs w:val="16"/>
                <w:color w:val="auto"/>
              </w:rPr>
            </w:pPr>
          </w:p>
        </w:tc>
        <w:tc>
          <w:tcPr>
            <w:tcW w:w="9060" w:type="dxa"/>
            <w:vAlign w:val="bottom"/>
            <w:gridSpan w:val="30"/>
            <w:shd w:val="clear" w:color="auto" w:fill="CCEEFF"/>
          </w:tcPr>
          <w:p>
            <w:pPr>
              <w:spacing w:after="0" w:line="189" w:lineRule="exact"/>
              <w:rPr>
                <w:rFonts w:ascii="Arial" w:cs="Arial" w:eastAsia="Arial" w:hAnsi="Arial"/>
                <w:sz w:val="18"/>
                <w:szCs w:val="18"/>
                <w:color w:val="0000FF"/>
              </w:rPr>
            </w:pPr>
            <w:hyperlink r:id="rId115">
              <w:r>
                <w:rPr>
                  <w:rFonts w:ascii="Arial" w:cs="Arial" w:eastAsia="Arial" w:hAnsi="Arial"/>
                  <w:sz w:val="18"/>
                  <w:szCs w:val="18"/>
                  <w:color w:val="0000FF"/>
                </w:rPr>
                <w:t>Credit Agreement, dated March 10, 2022, by and among BellRing Brands, Inc., JPMorgan Chase Bank, N.A., as</w:t>
              </w:r>
            </w:hyperlink>
          </w:p>
        </w:tc>
      </w:tr>
      <w:tr>
        <w:trPr>
          <w:trHeight w:val="20"/>
        </w:trPr>
        <w:tc>
          <w:tcPr>
            <w:tcW w:w="1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CCEEFF"/>
          </w:tcPr>
          <w:p>
            <w:pPr>
              <w:spacing w:after="0" w:line="20" w:lineRule="exact"/>
              <w:rPr>
                <w:sz w:val="1"/>
                <w:szCs w:val="1"/>
                <w:color w:val="auto"/>
              </w:rPr>
            </w:pPr>
          </w:p>
        </w:tc>
        <w:tc>
          <w:tcPr>
            <w:tcW w:w="320" w:type="dxa"/>
            <w:vAlign w:val="bottom"/>
            <w:gridSpan w:val="6"/>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6"/>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060" w:type="dxa"/>
            <w:vAlign w:val="bottom"/>
            <w:gridSpan w:val="30"/>
            <w:shd w:val="clear" w:color="auto" w:fill="CCEEFF"/>
          </w:tcPr>
          <w:p>
            <w:pPr>
              <w:spacing w:after="0" w:line="156"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administrative agent and collateral agent, and each lender from time to time party thereto (Incorporated by reference to</w:t>
              </w:r>
            </w:hyperlink>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856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Exhibit 10.5 to the Company’s Second Form 8-K filed on March 10, 2022)</w:t>
              </w:r>
            </w:hyperlink>
          </w:p>
        </w:tc>
        <w:tc>
          <w:tcPr>
            <w:tcW w:w="320" w:type="dxa"/>
            <w:vAlign w:val="bottom"/>
            <w:tcBorders>
              <w:top w:val="single" w:sz="8" w:color="CCEEFF"/>
            </w:tcBorders>
            <w:gridSpan w:val="6"/>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gridSpan w:val="2"/>
          </w:tcPr>
          <w:p>
            <w:pPr>
              <w:jc w:val="center"/>
              <w:ind w:right="220"/>
              <w:spacing w:after="0" w:line="189" w:lineRule="exact"/>
              <w:rPr>
                <w:sz w:val="20"/>
                <w:szCs w:val="20"/>
                <w:color w:val="auto"/>
              </w:rPr>
            </w:pPr>
            <w:r>
              <w:rPr>
                <w:rFonts w:ascii="Arial" w:cs="Arial" w:eastAsia="Arial" w:hAnsi="Arial"/>
                <w:sz w:val="20"/>
                <w:szCs w:val="20"/>
                <w:color w:val="auto"/>
                <w:w w:val="93"/>
              </w:rPr>
              <w:t>‡</w:t>
            </w:r>
            <w:r>
              <w:rPr>
                <w:rFonts w:ascii="Arial" w:cs="Arial" w:eastAsia="Arial" w:hAnsi="Arial"/>
                <w:sz w:val="17"/>
                <w:szCs w:val="17"/>
                <w:color w:val="auto"/>
                <w:w w:val="93"/>
              </w:rPr>
              <w:t>10.21</w:t>
            </w:r>
          </w:p>
        </w:tc>
        <w:tc>
          <w:tcPr>
            <w:tcW w:w="9020" w:type="dxa"/>
            <w:vAlign w:val="bottom"/>
            <w:tcBorders>
              <w:bottom w:val="single" w:sz="8" w:color="0000FF"/>
            </w:tcBorders>
            <w:gridSpan w:val="28"/>
          </w:tcPr>
          <w:p>
            <w:pPr>
              <w:spacing w:after="0" w:line="169"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Amended and Restated Master Supply Agreement, dated as of July 1, 2023, by and between Premier Nutrition Company,</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20" w:type="dxa"/>
            <w:vAlign w:val="bottom"/>
            <w:tcBorders>
              <w:bottom w:val="single" w:sz="8" w:color="0000FF"/>
            </w:tcBorders>
            <w:gridSpan w:val="28"/>
          </w:tcPr>
          <w:p>
            <w:pPr>
              <w:spacing w:after="0" w:line="15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LLC and Fonterra (USA) Inc. (Incorporated by reference to Exhibit 10.24 to the Company’s Form 10-Q filed on August 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spacing w:after="0" w:line="169" w:lineRule="exact"/>
              <w:rPr>
                <w:rFonts w:ascii="Arial" w:cs="Arial" w:eastAsia="Arial" w:hAnsi="Arial"/>
                <w:sz w:val="18"/>
                <w:szCs w:val="18"/>
                <w:color w:val="0000FF"/>
              </w:rPr>
            </w:pPr>
            <w:hyperlink r:id="rId116">
              <w:r>
                <w:rPr>
                  <w:rFonts w:ascii="Arial" w:cs="Arial" w:eastAsia="Arial" w:hAnsi="Arial"/>
                  <w:sz w:val="18"/>
                  <w:szCs w:val="18"/>
                  <w:color w:val="0000FF"/>
                </w:rPr>
                <w:t>2023)</w:t>
              </w:r>
            </w:hyperlink>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20" w:type="dxa"/>
            <w:vAlign w:val="bottom"/>
            <w:tcBorders>
              <w:right w:val="single" w:sz="8" w:color="CCEEFF"/>
            </w:tcBorders>
            <w:gridSpan w:val="2"/>
            <w:shd w:val="clear" w:color="auto" w:fill="CCEEFF"/>
          </w:tcPr>
          <w:p>
            <w:pPr>
              <w:jc w:val="center"/>
              <w:ind w:right="220"/>
              <w:spacing w:after="0" w:line="169" w:lineRule="exact"/>
              <w:rPr>
                <w:sz w:val="20"/>
                <w:szCs w:val="20"/>
                <w:color w:val="auto"/>
              </w:rPr>
            </w:pPr>
            <w:r>
              <w:rPr>
                <w:rFonts w:ascii="Arial" w:cs="Arial" w:eastAsia="Arial" w:hAnsi="Arial"/>
                <w:sz w:val="19"/>
                <w:szCs w:val="19"/>
                <w:color w:val="auto"/>
                <w:w w:val="98"/>
              </w:rPr>
              <w:t>‡</w:t>
            </w:r>
            <w:r>
              <w:rPr>
                <w:rFonts w:ascii="Arial" w:cs="Arial" w:eastAsia="Arial" w:hAnsi="Arial"/>
                <w:sz w:val="16"/>
                <w:szCs w:val="16"/>
                <w:color w:val="auto"/>
                <w:w w:val="98"/>
              </w:rPr>
              <w:t>10.22</w:t>
            </w:r>
          </w:p>
        </w:tc>
        <w:tc>
          <w:tcPr>
            <w:tcW w:w="9060" w:type="dxa"/>
            <w:vAlign w:val="bottom"/>
            <w:gridSpan w:val="30"/>
            <w:shd w:val="clear" w:color="auto" w:fill="CCEEFF"/>
          </w:tcPr>
          <w:p>
            <w:pPr>
              <w:spacing w:after="0" w:line="169"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MPC Purchase Commitment, dated as of July 1, 2023 by and between Premier Nutrition Company, LLC and Fonterra</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96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(USA) Inc. (Incorporated by reference to Exhibit 10.25 to the Company’s Form 10-Q filed on August 8,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20" w:type="dxa"/>
            <w:vAlign w:val="bottom"/>
            <w:gridSpan w:val="2"/>
          </w:tcPr>
          <w:p>
            <w:pPr>
              <w:jc w:val="center"/>
              <w:ind w:right="220"/>
              <w:spacing w:after="0" w:line="189" w:lineRule="exact"/>
              <w:rPr>
                <w:sz w:val="20"/>
                <w:szCs w:val="20"/>
                <w:color w:val="auto"/>
              </w:rPr>
            </w:pPr>
            <w:r>
              <w:rPr>
                <w:rFonts w:ascii="Arial" w:cs="Arial" w:eastAsia="Arial" w:hAnsi="Arial"/>
                <w:sz w:val="20"/>
                <w:szCs w:val="20"/>
                <w:color w:val="auto"/>
                <w:w w:val="93"/>
              </w:rPr>
              <w:t>‡</w:t>
            </w:r>
            <w:r>
              <w:rPr>
                <w:rFonts w:ascii="Arial" w:cs="Arial" w:eastAsia="Arial" w:hAnsi="Arial"/>
                <w:sz w:val="17"/>
                <w:szCs w:val="17"/>
                <w:color w:val="auto"/>
                <w:w w:val="93"/>
              </w:rPr>
              <w:t>10.23</w:t>
            </w:r>
          </w:p>
        </w:tc>
        <w:tc>
          <w:tcPr>
            <w:tcW w:w="8940" w:type="dxa"/>
            <w:vAlign w:val="bottom"/>
            <w:tcBorders>
              <w:bottom w:val="single" w:sz="8" w:color="0000FF"/>
            </w:tcBorders>
            <w:gridSpan w:val="24"/>
          </w:tcPr>
          <w:p>
            <w:pPr>
              <w:spacing w:after="0" w:line="169"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Stremick Heritage Foods, LLC, Jasper Products, LLC and Premier Nutrition Company Manufacturing Agreement, dated as</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40" w:type="dxa"/>
            <w:vAlign w:val="bottom"/>
            <w:gridSpan w:val="24"/>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of December 14, 2022 (Incorporated by reference to Exhibit 10.22 to the Company’s Form 10-Q filed on February 7,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21.1</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270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2"/>
              </w:rPr>
              <w:t>Subsidiaries of BellRing Brands, Inc.</w:t>
            </w:r>
          </w:p>
        </w:tc>
        <w:tc>
          <w:tcPr>
            <w:tcW w:w="6360" w:type="dxa"/>
            <w:vAlign w:val="bottom"/>
            <w:tcBorders>
              <w:bottom w:val="single" w:sz="8" w:color="CCEEFF"/>
            </w:tcBorders>
            <w:gridSpan w:val="25"/>
            <w:shd w:val="clear" w:color="auto" w:fill="CCEEFF"/>
          </w:tcPr>
          <w:p>
            <w:pPr>
              <w:spacing w:after="0"/>
              <w:rPr>
                <w:sz w:val="18"/>
                <w:szCs w:val="18"/>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1"/>
              </w:rPr>
              <w:t>23.1</w:t>
            </w:r>
          </w:p>
        </w:tc>
        <w:tc>
          <w:tcPr>
            <w:tcW w:w="220" w:type="dxa"/>
            <w:vAlign w:val="bottom"/>
          </w:tcPr>
          <w:p>
            <w:pPr>
              <w:spacing w:after="0"/>
              <w:rPr>
                <w:sz w:val="16"/>
                <w:szCs w:val="16"/>
                <w:color w:val="auto"/>
              </w:rPr>
            </w:pPr>
          </w:p>
        </w:tc>
        <w:tc>
          <w:tcPr>
            <w:tcW w:w="9060" w:type="dxa"/>
            <w:vAlign w:val="bottom"/>
            <w:gridSpan w:val="30"/>
          </w:tcPr>
          <w:p>
            <w:pPr>
              <w:spacing w:after="0" w:line="189" w:lineRule="exact"/>
              <w:rPr>
                <w:sz w:val="20"/>
                <w:szCs w:val="20"/>
                <w:color w:val="auto"/>
              </w:rPr>
            </w:pPr>
            <w:r>
              <w:rPr>
                <w:rFonts w:ascii="Arial" w:cs="Arial" w:eastAsia="Arial" w:hAnsi="Arial"/>
                <w:sz w:val="18"/>
                <w:szCs w:val="18"/>
                <w:color w:val="0000FF"/>
              </w:rPr>
              <w:t>Consent of PricewaterhouseCoopers LLP</w:t>
            </w:r>
          </w:p>
        </w:tc>
      </w:tr>
      <w:tr>
        <w:trPr>
          <w:trHeight w:val="21"/>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24.1</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40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1"/>
              </w:rPr>
              <w:t>Power of Attorney (Included under Signatures)</w:t>
            </w:r>
          </w:p>
        </w:tc>
        <w:tc>
          <w:tcPr>
            <w:tcW w:w="5660" w:type="dxa"/>
            <w:vAlign w:val="bottom"/>
            <w:tcBorders>
              <w:bottom w:val="single" w:sz="8" w:color="CCEEFF"/>
            </w:tcBorders>
            <w:gridSpan w:val="22"/>
            <w:shd w:val="clear" w:color="auto" w:fill="CCEEFF"/>
          </w:tcPr>
          <w:p>
            <w:pPr>
              <w:spacing w:after="0"/>
              <w:rPr>
                <w:sz w:val="18"/>
                <w:szCs w:val="18"/>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16"/>
                <w:szCs w:val="16"/>
                <w:color w:val="auto"/>
              </w:rPr>
            </w:pPr>
          </w:p>
        </w:tc>
        <w:tc>
          <w:tcPr>
            <w:tcW w:w="9060" w:type="dxa"/>
            <w:vAlign w:val="bottom"/>
            <w:gridSpan w:val="30"/>
          </w:tcPr>
          <w:p>
            <w:pPr>
              <w:spacing w:after="0" w:line="189" w:lineRule="exact"/>
              <w:rPr>
                <w:sz w:val="20"/>
                <w:szCs w:val="20"/>
                <w:color w:val="auto"/>
              </w:rPr>
            </w:pPr>
            <w:r>
              <w:rPr>
                <w:rFonts w:ascii="Arial" w:cs="Arial" w:eastAsia="Arial" w:hAnsi="Arial"/>
                <w:sz w:val="18"/>
                <w:szCs w:val="18"/>
                <w:color w:val="0000FF"/>
                <w:w w:val="92"/>
              </w:rPr>
              <w:t>Certification of Darcy H. Davenport pursuant to Rule 13a-14(a), as adopted pursuant to Section 302 of the Sarbanes-Oxley</w:t>
            </w:r>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Act of 2002, dated November 21, 2023</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31.2</w:t>
            </w:r>
          </w:p>
        </w:tc>
        <w:tc>
          <w:tcPr>
            <w:tcW w:w="220" w:type="dxa"/>
            <w:vAlign w:val="bottom"/>
            <w:tcBorders>
              <w:right w:val="single" w:sz="8" w:color="CCEEFF"/>
            </w:tcBorders>
            <w:shd w:val="clear" w:color="auto" w:fill="CCEEFF"/>
          </w:tcPr>
          <w:p>
            <w:pPr>
              <w:spacing w:after="0"/>
              <w:rPr>
                <w:sz w:val="16"/>
                <w:szCs w:val="16"/>
                <w:color w:val="auto"/>
              </w:rPr>
            </w:pPr>
          </w:p>
        </w:tc>
        <w:tc>
          <w:tcPr>
            <w:tcW w:w="9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Paul A. Rode pursuant to Rule 13a-14(a), as adopted pursuant to Section 302 of the Sarbanes-Oxley Act of</w:t>
            </w: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27"/>
            <w:shd w:val="clear" w:color="auto" w:fill="CCEEFF"/>
          </w:tcPr>
          <w:p>
            <w:pPr>
              <w:spacing w:after="0" w:line="156" w:lineRule="exact"/>
              <w:rPr>
                <w:sz w:val="20"/>
                <w:szCs w:val="20"/>
                <w:color w:val="auto"/>
              </w:rPr>
            </w:pPr>
            <w:r>
              <w:rPr>
                <w:rFonts w:ascii="Arial" w:cs="Arial" w:eastAsia="Arial" w:hAnsi="Arial"/>
                <w:sz w:val="18"/>
                <w:szCs w:val="18"/>
                <w:color w:val="0000FF"/>
              </w:rPr>
              <w:t>2002, dated November 21, 2023</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16"/>
                <w:szCs w:val="16"/>
                <w:color w:val="auto"/>
              </w:rPr>
            </w:pPr>
          </w:p>
        </w:tc>
        <w:tc>
          <w:tcPr>
            <w:tcW w:w="9060" w:type="dxa"/>
            <w:vAlign w:val="bottom"/>
            <w:gridSpan w:val="30"/>
          </w:tcPr>
          <w:p>
            <w:pPr>
              <w:spacing w:after="0" w:line="189" w:lineRule="exact"/>
              <w:rPr>
                <w:sz w:val="20"/>
                <w:szCs w:val="20"/>
                <w:color w:val="auto"/>
              </w:rPr>
            </w:pPr>
            <w:r>
              <w:rPr>
                <w:rFonts w:ascii="Arial" w:cs="Arial" w:eastAsia="Arial" w:hAnsi="Arial"/>
                <w:sz w:val="18"/>
                <w:szCs w:val="18"/>
                <w:color w:val="0000FF"/>
                <w:w w:val="93"/>
              </w:rPr>
              <w:t>Certification of Darcy H. Davenport and Paul A. Rode, pursuant to 18 U.S.C. Section 1350 as adopted pursuant to Section</w:t>
            </w:r>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6" w:lineRule="exact"/>
              <w:rPr>
                <w:sz w:val="20"/>
                <w:szCs w:val="20"/>
                <w:color w:val="auto"/>
              </w:rPr>
            </w:pPr>
            <w:r>
              <w:rPr>
                <w:rFonts w:ascii="Arial" w:cs="Arial" w:eastAsia="Arial" w:hAnsi="Arial"/>
                <w:sz w:val="18"/>
                <w:szCs w:val="18"/>
                <w:color w:val="0000FF"/>
              </w:rPr>
              <w:t>906 of the Sarbanes-Oxley Act of 2002, dated November 21, 2023</w:t>
            </w: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320" w:right="1340" w:hanging="900"/>
        <w:spacing w:after="0" w:line="229"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Interactive Data File (Form 10-K for the year ended September 30, 2023 filed in iXBRL (Inline eXtensible Business Reporting Language)). The financial information contained in the iXBRL-related documents is “unaudited” and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6523355" cy="377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6523355" cy="377190"/>
                    </a:xfrm>
                    <a:prstGeom prst="rect">
                      <a:avLst/>
                    </a:prstGeom>
                    <a:noFill/>
                  </pic:spPr>
                </pic:pic>
              </a:graphicData>
            </a:graphic>
          </wp:anchor>
        </w:drawing>
      </w:r>
    </w:p>
    <w:p>
      <w:pPr>
        <w:ind w:left="1320" w:right="1320" w:hanging="900"/>
        <w:spacing w:after="0" w:line="234" w:lineRule="auto"/>
        <w:tabs>
          <w:tab w:leader="none" w:pos="1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cover page from the Company’s Form 10-K for the year ended September 30, 2023, formatted in iXBRL (Inline eXtensible Business Reporting Language) and contained in Exhibit 101</w:t>
      </w:r>
    </w:p>
    <w:p>
      <w:pPr>
        <w:spacing w:after="0" w:line="133" w:lineRule="exact"/>
        <w:rPr>
          <w:rFonts w:ascii="Arial" w:cs="Arial" w:eastAsia="Arial" w:hAnsi="Arial"/>
          <w:sz w:val="18"/>
          <w:szCs w:val="18"/>
          <w:color w:val="auto"/>
        </w:rPr>
      </w:pPr>
    </w:p>
    <w:p>
      <w:pPr>
        <w:ind w:left="480" w:right="260" w:hanging="459"/>
        <w:spacing w:after="0" w:line="256"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4" w:lineRule="exact"/>
        <w:rPr>
          <w:sz w:val="20"/>
          <w:szCs w:val="20"/>
          <w:color w:val="auto"/>
        </w:rPr>
      </w:pPr>
    </w:p>
    <w:p>
      <w:pPr>
        <w:ind w:left="480" w:hanging="454"/>
        <w:spacing w:after="0"/>
        <w:tabs>
          <w:tab w:leader="none" w:pos="480" w:val="left"/>
        </w:tabs>
        <w:numPr>
          <w:ilvl w:val="0"/>
          <w:numId w:val="25"/>
        </w:numPr>
        <w:rPr>
          <w:rFonts w:ascii="Arial" w:cs="Arial" w:eastAsia="Arial" w:hAnsi="Arial"/>
          <w:sz w:val="20"/>
          <w:szCs w:val="20"/>
          <w:color w:val="auto"/>
        </w:rPr>
      </w:pPr>
      <w:r>
        <w:rPr>
          <w:rFonts w:ascii="Arial" w:cs="Arial" w:eastAsia="Arial" w:hAnsi="Arial"/>
          <w:sz w:val="18"/>
          <w:szCs w:val="18"/>
          <w:color w:val="auto"/>
        </w:rPr>
        <w:t>These exhibits constitute management contracts, compensatory plans and arrangements.</w:t>
      </w:r>
    </w:p>
    <w:p>
      <w:pPr>
        <w:spacing w:after="0" w:line="27"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37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700" w:right="2360" w:hanging="7181"/>
        <w:spacing w:after="0" w:line="273" w:lineRule="auto"/>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21, 2023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wp:posOffset>
            </wp:positionV>
            <wp:extent cx="2331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Paul A. Rode and Craig L. Rosenthal, and each of them,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6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99" w:lineRule="exact"/>
        <w:rPr>
          <w:sz w:val="20"/>
          <w:szCs w:val="20"/>
          <w:color w:val="auto"/>
        </w:rPr>
      </w:pPr>
    </w:p>
    <w:p>
      <w:pPr>
        <w:ind w:left="1240"/>
        <w:spacing w:after="0"/>
        <w:tabs>
          <w:tab w:leader="none" w:pos="5400" w:val="left"/>
          <w:tab w:leader="none" w:pos="93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33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Darcy H. Davenport</w:t>
      </w:r>
    </w:p>
    <w:p>
      <w:pPr>
        <w:spacing w:after="0" w:line="33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Paul A. Rode</w:t>
      </w:r>
    </w:p>
    <w:p>
      <w:pPr>
        <w:spacing w:after="0" w:line="33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Robert V. Vitale</w:t>
      </w:r>
    </w:p>
    <w:p>
      <w:pPr>
        <w:spacing w:after="0" w:line="29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Shawn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Shawn W. Conway</w:t>
      </w:r>
    </w:p>
    <w:p>
      <w:pPr>
        <w:spacing w:after="0" w:line="29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Thomas P. Erickson</w:t>
      </w:r>
    </w:p>
    <w:p>
      <w:pPr>
        <w:spacing w:after="0" w:line="293"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048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Jennifer Kuperman Johnson</w:t>
      </w:r>
    </w:p>
    <w:p>
      <w:pPr>
        <w:spacing w:after="0" w:line="3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Chonda J. Nwamu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Chonda J. Nwamu</w:t>
      </w:r>
    </w:p>
    <w:p>
      <w:pPr>
        <w:spacing w:after="0" w:line="29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0" w:type="dxa"/>
            <w:vAlign w:val="bottom"/>
            <w:vMerge w:val="restart"/>
          </w:tcPr>
          <w:p>
            <w:pPr>
              <w:jc w:val="center"/>
              <w:ind w:right="630"/>
              <w:spacing w:after="0"/>
              <w:rPr>
                <w:sz w:val="20"/>
                <w:szCs w:val="20"/>
                <w:color w:val="auto"/>
              </w:rPr>
            </w:pPr>
            <w:r>
              <w:rPr>
                <w:rFonts w:ascii="Arial" w:cs="Arial" w:eastAsia="Arial" w:hAnsi="Arial"/>
                <w:sz w:val="18"/>
                <w:szCs w:val="18"/>
                <w:color w:val="auto"/>
                <w:w w:val="91"/>
              </w:rPr>
              <w:t>President and Chief Executive Officer and Director</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r>
        <w:trPr>
          <w:trHeight w:val="27"/>
        </w:trPr>
        <w:tc>
          <w:tcPr>
            <w:tcW w:w="4400" w:type="dxa"/>
            <w:vAlign w:val="bottom"/>
            <w:vMerge w:val="continue"/>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tcPr>
          <w:p>
            <w:pPr>
              <w:jc w:val="center"/>
              <w:ind w:right="650"/>
              <w:spacing w:after="0"/>
              <w:rPr>
                <w:sz w:val="20"/>
                <w:szCs w:val="20"/>
                <w:color w:val="auto"/>
              </w:rPr>
            </w:pPr>
            <w:r>
              <w:rPr>
                <w:rFonts w:ascii="Arial" w:cs="Arial" w:eastAsia="Arial" w:hAnsi="Arial"/>
                <w:sz w:val="18"/>
                <w:szCs w:val="18"/>
                <w:color w:val="auto"/>
                <w:w w:val="94"/>
              </w:rPr>
              <w:t>(Principal Executive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400" w:type="dxa"/>
            <w:vAlign w:val="bottom"/>
            <w:vMerge w:val="restart"/>
          </w:tcPr>
          <w:p>
            <w:pPr>
              <w:ind w:left="460"/>
              <w:spacing w:after="0"/>
              <w:rPr>
                <w:sz w:val="20"/>
                <w:szCs w:val="20"/>
                <w:color w:val="auto"/>
              </w:rPr>
            </w:pPr>
            <w:r>
              <w:rPr>
                <w:rFonts w:ascii="Arial" w:cs="Arial" w:eastAsia="Arial" w:hAnsi="Arial"/>
                <w:sz w:val="18"/>
                <w:szCs w:val="18"/>
                <w:color w:val="auto"/>
              </w:rPr>
              <w:t>Chief Financial Officer and Treasurer</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r>
        <w:trPr>
          <w:trHeight w:val="27"/>
        </w:trPr>
        <w:tc>
          <w:tcPr>
            <w:tcW w:w="4400" w:type="dxa"/>
            <w:vAlign w:val="bottom"/>
            <w:vMerge w:val="continue"/>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tcPr>
          <w:p>
            <w:pPr>
              <w:jc w:val="center"/>
              <w:ind w:right="630"/>
              <w:spacing w:after="0"/>
              <w:rPr>
                <w:sz w:val="20"/>
                <w:szCs w:val="20"/>
                <w:color w:val="auto"/>
              </w:rPr>
            </w:pPr>
            <w:r>
              <w:rPr>
                <w:rFonts w:ascii="Arial" w:cs="Arial" w:eastAsia="Arial" w:hAnsi="Arial"/>
                <w:sz w:val="18"/>
                <w:szCs w:val="18"/>
                <w:color w:val="auto"/>
                <w:w w:val="93"/>
              </w:rPr>
              <w:t>(Principal Financial and Accounting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400" w:type="dxa"/>
            <w:vAlign w:val="bottom"/>
          </w:tcPr>
          <w:p>
            <w:pPr>
              <w:jc w:val="center"/>
              <w:ind w:right="630"/>
              <w:spacing w:after="0"/>
              <w:rPr>
                <w:sz w:val="20"/>
                <w:szCs w:val="20"/>
                <w:color w:val="auto"/>
              </w:rPr>
            </w:pPr>
            <w:r>
              <w:rPr>
                <w:rFonts w:ascii="Arial" w:cs="Arial" w:eastAsia="Arial" w:hAnsi="Arial"/>
                <w:sz w:val="18"/>
                <w:szCs w:val="18"/>
                <w:color w:val="auto"/>
                <w:w w:val="91"/>
              </w:rPr>
              <w:t>Executive Chairman of the Board of Directors</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r>
        <w:trPr>
          <w:trHeight w:val="769"/>
        </w:trPr>
        <w:tc>
          <w:tcPr>
            <w:tcW w:w="440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700"/>
              <w:spacing w:after="0"/>
              <w:rPr>
                <w:sz w:val="20"/>
                <w:szCs w:val="20"/>
                <w:color w:val="auto"/>
              </w:rPr>
            </w:pPr>
            <w:r>
              <w:rPr>
                <w:rFonts w:ascii="Arial" w:cs="Arial" w:eastAsia="Arial" w:hAnsi="Arial"/>
                <w:sz w:val="18"/>
                <w:szCs w:val="18"/>
                <w:color w:val="auto"/>
                <w:w w:val="89"/>
              </w:rPr>
              <w:t>November 21, 2023</w:t>
            </w:r>
          </w:p>
        </w:tc>
        <w:tc>
          <w:tcPr>
            <w:tcW w:w="0" w:type="dxa"/>
            <w:vAlign w:val="bottom"/>
          </w:tcPr>
          <w:p>
            <w:pPr>
              <w:spacing w:after="0"/>
              <w:rPr>
                <w:sz w:val="1"/>
                <w:szCs w:val="1"/>
                <w:color w:val="auto"/>
              </w:rPr>
            </w:pPr>
          </w:p>
        </w:tc>
      </w:tr>
    </w:tbl>
    <w:p>
      <w:pPr>
        <w:spacing w:after="0" w:line="419" w:lineRule="exact"/>
        <w:rPr>
          <w:sz w:val="20"/>
          <w:szCs w:val="20"/>
          <w:color w:val="auto"/>
        </w:rPr>
      </w:pPr>
    </w:p>
    <w:p>
      <w:pPr>
        <w:sectPr>
          <w:pgSz w:w="11900" w:h="16838" w:orient="portrait"/>
          <w:cols w:equalWidth="0" w:num="2">
            <w:col w:w="3040" w:space="720"/>
            <w:col w:w="748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341" w:right="3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u w:val="single" w:color="auto"/>
          <w:color w:val="auto"/>
        </w:rPr>
        <w:t>Exhibit 4.3</w:t>
      </w:r>
    </w:p>
    <w:p>
      <w:pPr>
        <w:spacing w:after="0" w:line="200" w:lineRule="exact"/>
        <w:rPr>
          <w:sz w:val="20"/>
          <w:szCs w:val="20"/>
          <w:color w:val="auto"/>
        </w:rPr>
      </w:pPr>
    </w:p>
    <w:p>
      <w:pPr>
        <w:spacing w:after="0" w:line="35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DESCRIPTION OF BELLRING BRANDS, INC.’S SECURITIES REGISTERED PURSUANT TO SECTION 12 OF THE SECURITIES EXCHANGE ACT OF 1934</w:t>
      </w:r>
    </w:p>
    <w:p>
      <w:pPr>
        <w:spacing w:after="0" w:line="355" w:lineRule="exact"/>
        <w:rPr>
          <w:sz w:val="20"/>
          <w:szCs w:val="20"/>
          <w:color w:val="auto"/>
        </w:rPr>
      </w:pPr>
    </w:p>
    <w:p>
      <w:pPr>
        <w:ind w:right="180" w:firstLine="648"/>
        <w:spacing w:after="0" w:line="262" w:lineRule="auto"/>
        <w:rPr>
          <w:sz w:val="20"/>
          <w:szCs w:val="20"/>
          <w:color w:val="auto"/>
        </w:rPr>
      </w:pPr>
      <w:r>
        <w:rPr>
          <w:rFonts w:ascii="Arial" w:cs="Arial" w:eastAsia="Arial" w:hAnsi="Arial"/>
          <w:sz w:val="17"/>
          <w:szCs w:val="17"/>
          <w:color w:val="auto"/>
        </w:rPr>
        <w:t>The following is a brief description of the registered securities of BellRing Brands, Inc. (the “Company,” “BellRing,” “we,” “us” or “our”). This description is not complete and is qualified in its entirety by reference to the full text of our certificate of incorporation (the “certificate of incorporation”) filed as Exhibit 3.1 to our Form 8-K12B filed on March 10, 2022 and incorporated herein by reference, and to the full text of our bylaws (the “bylaws”) filed as Exhibit 3.2 to our Form 8-K12B filed on March 10, 2022 and incorporated herein by reference.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7"/>
          <w:szCs w:val="17"/>
          <w:color w:val="auto"/>
        </w:rPr>
        <w:t>Under our certificate of incorporation, we may issue up to 500,000,000 shares of common stock, par value $0.01 per share, and up to 50,000,000 shares of preferred stock, par value $0.01 per share. Our common stock is listed on the NYSE under the ticker symbol “BRBR”.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The holders of our common stock are entitled to one vote for each share held by such holder on the applicable record date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on which stockholders are generally entitled to vote.</w:t>
      </w:r>
    </w:p>
    <w:p>
      <w:pPr>
        <w:spacing w:after="0" w:line="117"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The holders of our common stock are entitled to receive dividends when, as and if declared by our board of directors out of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funds.</w:t>
      </w:r>
    </w:p>
    <w:p>
      <w:pPr>
        <w:spacing w:after="0" w:line="117"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b w:val="1"/>
          <w:bCs w:val="1"/>
          <w:i w:val="1"/>
          <w:iCs w:val="1"/>
          <w:color w:val="auto"/>
        </w:rPr>
        <w:t>Liquidation or Dissolution</w:t>
      </w:r>
      <w:r>
        <w:rPr>
          <w:rFonts w:ascii="Arial" w:cs="Arial" w:eastAsia="Arial" w:hAnsi="Arial"/>
          <w:sz w:val="18"/>
          <w:szCs w:val="18"/>
          <w:color w:val="auto"/>
        </w:rPr>
        <w:t>. Upon our liquidation or dissolution, the holders of our common stock will be entitled to share ratably in those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that are legally available for distribution to stockholders after payment of liabilities and subject to the special rights and preferences, if any, of any holders of our preferred stock then outstanding.</w:t>
      </w:r>
    </w:p>
    <w:p>
      <w:pPr>
        <w:spacing w:after="0" w:line="128"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color w:val="auto"/>
        </w:rPr>
        <w:t>. There are no preemptive rights, redemption or sinking fund provisions applicable to our common stock, and the outstanding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common stock are fully paid and non-assessable.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Rights of Holders of Common Stock - Preferred Stock</w:t>
      </w:r>
    </w:p>
    <w:p>
      <w:pPr>
        <w:spacing w:after="0" w:line="16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rights of holders of our common stock may be materially limited or qualified by the rights, powers and preferences of any preferred stock that we may issue in the future.</w:t>
      </w:r>
    </w:p>
    <w:p>
      <w:pPr>
        <w:spacing w:after="0" w:line="117"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35"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ectPr>
          <w:pgSz w:w="11900" w:h="16838" w:orient="portrait"/>
          <w:cols w:equalWidth="0" w:num="1">
            <w:col w:w="11240"/>
          </w:cols>
          <w:pgMar w:left="320" w:top="140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Corporate Opportunities</w:t>
      </w:r>
    </w:p>
    <w:p>
      <w:pPr>
        <w:spacing w:after="0" w:line="162"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34"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certificate of incorporation includes certain provisions regulating and defining the conduct of our affairs to the extent that they may involve Post Holdings, Inc.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27"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1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These provisions in our certificate of incorporation cease to apply at such time as none of the directors, officers, employees, agents or affiliates of Post serve as our directors, officers, managers, employees or agents.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62"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 These provisions include:</w:t>
      </w:r>
    </w:p>
    <w:p>
      <w:pPr>
        <w:spacing w:after="0" w:line="128"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i w:val="1"/>
          <w:iCs w:val="1"/>
          <w:color w:val="auto"/>
        </w:rPr>
        <w:t>No Special Meetings Called by Stockholders</w:t>
      </w:r>
      <w:r>
        <w:rPr>
          <w:rFonts w:ascii="Arial" w:cs="Arial" w:eastAsia="Arial" w:hAnsi="Arial"/>
          <w:sz w:val="18"/>
          <w:szCs w:val="18"/>
          <w:color w:val="auto"/>
        </w:rPr>
        <w:t>. Our certificate of incorporation and bylaws provide that stockholder action can be taken only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12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Our bylaws contain provisions requiring that advance notice be delivered to us of any business to be brought by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w:t>
      </w:r>
    </w:p>
    <w:p>
      <w:pPr>
        <w:sectPr>
          <w:pgSz w:w="11900" w:h="16838" w:orient="portrait"/>
          <w:cols w:equalWidth="0" w:num="1">
            <w:col w:w="11240"/>
          </w:cols>
          <w:pgMar w:left="320" w:top="1404" w:right="339" w:bottom="1440" w:gutter="0" w:footer="0" w:header="0"/>
        </w:sectPr>
      </w:pPr>
    </w:p>
    <w:bookmarkStart w:id="78" w:name="page79"/>
    <w:bookmarkEnd w:id="78"/>
    <w:p>
      <w:pPr>
        <w:ind w:right="20"/>
        <w:spacing w:after="0" w:line="239" w:lineRule="auto"/>
        <w:rPr>
          <w:sz w:val="20"/>
          <w:szCs w:val="20"/>
          <w:color w:val="auto"/>
        </w:rPr>
      </w:pPr>
      <w:r>
        <w:rPr>
          <w:rFonts w:ascii="Arial" w:cs="Arial" w:eastAsia="Arial" w:hAnsi="Arial"/>
          <w:sz w:val="18"/>
          <w:szCs w:val="18"/>
          <w:color w:val="auto"/>
        </w:rPr>
        <w:t>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123"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18"/>
          <w:szCs w:val="18"/>
          <w:i w:val="1"/>
          <w:iCs w:val="1"/>
          <w:color w:val="auto"/>
        </w:rPr>
        <w:t>Directors, and Not Stockholders, Fix the Size of Our Board of Directors</w:t>
      </w:r>
      <w:r>
        <w:rPr>
          <w:rFonts w:ascii="Arial" w:cs="Arial" w:eastAsia="Arial" w:hAnsi="Arial"/>
          <w:sz w:val="18"/>
          <w:szCs w:val="18"/>
          <w:color w:val="auto"/>
        </w:rPr>
        <w:t>. Our certificate of incorporation and bylaws provide that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will be fixed from time to time exclusively pursuant to a resolution adopted by our board of directors, but in no event will it consist of less than five nor more than twelve directors.</w:t>
      </w:r>
    </w:p>
    <w:p>
      <w:pPr>
        <w:spacing w:after="0" w:line="128" w:lineRule="exact"/>
        <w:rPr>
          <w:sz w:val="20"/>
          <w:szCs w:val="20"/>
          <w:color w:val="auto"/>
        </w:rPr>
      </w:pPr>
    </w:p>
    <w:p>
      <w:pPr>
        <w:ind w:right="120" w:firstLine="648"/>
        <w:spacing w:after="0" w:line="262" w:lineRule="auto"/>
        <w:rPr>
          <w:sz w:val="20"/>
          <w:szCs w:val="20"/>
          <w:color w:val="auto"/>
        </w:rPr>
      </w:pPr>
      <w:r>
        <w:rPr>
          <w:rFonts w:ascii="Arial" w:cs="Arial" w:eastAsia="Arial" w:hAnsi="Arial"/>
          <w:sz w:val="17"/>
          <w:szCs w:val="17"/>
          <w:i w:val="1"/>
          <w:iCs w:val="1"/>
          <w:color w:val="auto"/>
        </w:rPr>
        <w:t xml:space="preserve">Vacancies and Newly-Created Directorships on Our Board of Directors. </w:t>
      </w:r>
      <w:r>
        <w:rPr>
          <w:rFonts w:ascii="Arial" w:cs="Arial" w:eastAsia="Arial" w:hAnsi="Arial"/>
          <w:sz w:val="17"/>
          <w:szCs w:val="17"/>
          <w:color w:val="auto"/>
        </w:rPr>
        <w:t>Subject to the special rights of holders of any outstanding series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11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i w:val="1"/>
          <w:iCs w:val="1"/>
          <w:color w:val="auto"/>
        </w:rPr>
        <w:t>Classified Board of Directors; Removal of Directors</w:t>
      </w:r>
      <w:r>
        <w:rPr>
          <w:rFonts w:ascii="Arial" w:cs="Arial" w:eastAsia="Arial" w:hAnsi="Arial"/>
          <w:sz w:val="18"/>
          <w:szCs w:val="18"/>
          <w:color w:val="auto"/>
        </w:rPr>
        <w:t>. Our certificate of incorporation and bylaws provide that our board of directors is divided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classes of directors serving staggered three-year terms. The number of directors assigned to each class is as equal as reasonably possible. Each class will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135"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i w:val="1"/>
          <w:iCs w:val="1"/>
          <w:color w:val="auto"/>
        </w:rPr>
        <w:t>Authorized but Unissued Shares</w:t>
      </w:r>
      <w:r>
        <w:rPr>
          <w:rFonts w:ascii="Arial" w:cs="Arial" w:eastAsia="Arial" w:hAnsi="Arial"/>
          <w:sz w:val="17"/>
          <w:szCs w:val="17"/>
          <w:color w:val="auto"/>
        </w:rPr>
        <w:t>. Our authorized but unissued shares of common stock and preferred stock are available for future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13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7"/>
          <w:szCs w:val="17"/>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w:t>
      </w:r>
    </w:p>
    <w:p>
      <w:pPr>
        <w:sectPr>
          <w:pgSz w:w="11900" w:h="16838" w:orient="portrait"/>
          <w:cols w:equalWidth="0" w:num="1">
            <w:col w:w="11220"/>
          </w:cols>
          <w:pgMar w:left="320" w:top="1408" w:right="359" w:bottom="1440" w:gutter="0" w:footer="0" w:header="0"/>
        </w:sectPr>
      </w:pPr>
    </w:p>
    <w:bookmarkStart w:id="79" w:name="page80"/>
    <w:bookmarkEnd w:id="79"/>
    <w:p>
      <w:pPr>
        <w:ind w:right="40"/>
        <w:spacing w:after="0" w:line="261" w:lineRule="auto"/>
        <w:rPr>
          <w:sz w:val="20"/>
          <w:szCs w:val="20"/>
          <w:color w:val="auto"/>
        </w:rPr>
      </w:pPr>
      <w:r>
        <w:rPr>
          <w:rFonts w:ascii="Arial" w:cs="Arial" w:eastAsia="Arial" w:hAnsi="Arial"/>
          <w:sz w:val="18"/>
          <w:szCs w:val="18"/>
          <w:color w:val="auto"/>
        </w:rPr>
        <w:t>provide that stockholders may amend, alter, change or repeal any provision of the bylaws upon the affirmative vote of a majority of all of the voting power entitled to vote thereon.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62"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knowing violation of law;</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transaction from which a director derives an improper personal benefit.</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17"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37"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62"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34"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13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ectPr>
          <w:pgSz w:w="11900" w:h="16838" w:orient="portrait"/>
          <w:cols w:equalWidth="0" w:num="1">
            <w:col w:w="11180"/>
          </w:cols>
          <w:pgMar w:left="320" w:top="1408" w:right="399" w:bottom="1440" w:gutter="0" w:footer="0" w:header="0"/>
        </w:sectPr>
      </w:pPr>
    </w:p>
    <w:bookmarkStart w:id="80" w:name="page81"/>
    <w:bookmarkEnd w:id="80"/>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5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7"/>
          <w:szCs w:val="17"/>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 “Securities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0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ectPr>
          <w:pgSz w:w="11900" w:h="16838" w:orient="portrait"/>
          <w:cols w:equalWidth="0" w:num="1">
            <w:col w:w="11080"/>
          </w:cols>
          <w:pgMar w:left="320" w:top="1408" w:right="4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Indemnification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2023, by and among BellRing Brands,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Capitalized terms used but not otherwise defined herein shall have the meanings set forth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hereof.</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WHEREAS, in light of the litigation costs and risks to directors, managers and officers resulting from their service to companies, and the desire of the</w:t>
      </w:r>
    </w:p>
    <w:p>
      <w:pPr>
        <w:spacing w:after="0" w:line="10"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Company to attract and retain qualified individuals to serve as directors, managers and officers for the Company Entities, it is reasonable, prudent and necessary for the Company to indemnify and advance expenses on behalf of the Company Entities’ directors, managers and officers to the extent permitted by applicable Law so that they will serve or continue to serve the Company Entities free from undue concern regarding such risks;</w:t>
      </w:r>
    </w:p>
    <w:p>
      <w:pPr>
        <w:spacing w:after="0" w:line="17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WHEREAS, the Company has requested that Indemnitee serve or continue to serve as a director and/or officer of the Company and may have requested or may in the future request that Indemnitee serve one or more of the other Company Entities as a director, manager or officer or in other capacities; 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WHEREAS, Indemnitee is willing to serve as a director and/or officer of the Company on the condition that Indemnitee be so indemnified.</w:t>
      </w:r>
    </w:p>
    <w:p>
      <w:pPr>
        <w:spacing w:after="0" w:line="19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62"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Services by Indemnitee</w:t>
      </w:r>
      <w:r>
        <w:rPr>
          <w:rFonts w:ascii="Arial" w:cs="Arial" w:eastAsia="Arial" w:hAnsi="Arial"/>
          <w:sz w:val="17"/>
          <w:szCs w:val="17"/>
          <w:color w:val="auto"/>
        </w:rPr>
        <w:t>. Indemnitee agrees to serve as a director and/or officer of the Company and/or one or more of the Company Entities.</w:t>
      </w:r>
    </w:p>
    <w:p>
      <w:pPr>
        <w:spacing w:after="0" w:line="101" w:lineRule="exact"/>
        <w:rPr>
          <w:rFonts w:ascii="Arial" w:cs="Arial" w:eastAsia="Arial" w:hAnsi="Arial"/>
          <w:sz w:val="17"/>
          <w:szCs w:val="17"/>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42" w:lineRule="auto"/>
        <w:tabs>
          <w:tab w:leader="none" w:pos="24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the terms and subject to the conditions of this Agreement, the Company shall, to the fullest extent permitted by applicable law (as such may be in existence on the date hereof or amended from time to time, “</w:t>
      </w:r>
      <w:r>
        <w:rPr>
          <w:rFonts w:ascii="Arial" w:cs="Arial" w:eastAsia="Arial" w:hAnsi="Arial"/>
          <w:sz w:val="16"/>
          <w:szCs w:val="16"/>
          <w:u w:val="single" w:color="auto"/>
          <w:color w:val="auto"/>
        </w:rPr>
        <w:t>Law</w:t>
      </w:r>
      <w:r>
        <w:rPr>
          <w:rFonts w:ascii="Arial" w:cs="Arial" w:eastAsia="Arial" w:hAnsi="Arial"/>
          <w:sz w:val="16"/>
          <w:szCs w:val="16"/>
          <w:color w:val="auto"/>
        </w:rPr>
        <w:t>”), indemnify Indemnitee with respect to, and hold Indemnitee harmless from and against, all liabilities, judgments, fines, penalties, costs, Expenses and other amounts that Indemnitee reasonably incurs and that result from, arise in connection with or are by reason of Indemnitee’s Corporate Status, and shall advance Expenses to Indemnitee pursuant to the terms set forth in this Agreement. The obligations of the Company under this Agreement shall continue during the period Indemnitee is a director or officer of any Company Entity and after such time as Indemnitee ceases to serve as a director or officer of any Company Entity or in any other Corporate Status, and include, without limitation, claims for monetary damages against Indemnitee in respect of any actual or alleged liability or other loss of Indemnitee, to the fullest extent permitted under applicable Law (including, if applicable, Section 145 of the General Corporation Law of the State of Delaware).</w:t>
      </w:r>
    </w:p>
    <w:p>
      <w:pPr>
        <w:spacing w:after="0" w:line="68" w:lineRule="exact"/>
        <w:rPr>
          <w:rFonts w:ascii="Arial" w:cs="Arial" w:eastAsia="Arial" w:hAnsi="Arial"/>
          <w:sz w:val="16"/>
          <w:szCs w:val="16"/>
          <w:color w:val="auto"/>
        </w:rPr>
      </w:pPr>
    </w:p>
    <w:p>
      <w:pPr>
        <w:ind w:right="40" w:firstLine="8"/>
        <w:spacing w:after="0" w:line="238"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Indemnity of Indemnitee by Subsidiary of the Company</w:t>
      </w:r>
      <w:r>
        <w:rPr>
          <w:rFonts w:ascii="Arial" w:cs="Arial" w:eastAsia="Arial" w:hAnsi="Arial"/>
          <w:sz w:val="16"/>
          <w:szCs w:val="16"/>
          <w:color w:val="auto"/>
        </w:rPr>
        <w:t xml:space="preserve">. Notwithstanding and in addition to any other provision of this Agreement, in the event that Indemnitee serves, now or in the future, as an officer, director, member of the board of managers or in a similar position with any of the Company’s direct or indirect subsidiaries, in consideration for such service, Indemnitee shall be indemnified and be entitled to rights of advancement and contribution from any such subsidiary to the maximum extent permitted by this Agreement and by applicable Law. Such indemnification, advancement and contribution shall be made on comparable terms pursuant to comparable procedures as those set forth in this Agreement. The Company hereby represents that it is or will be duly authorized and empowered on behalf of each such subsidiary described in the preceding sentence to provide such indemnification, advancement and contribution as set forth in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and further agrees to take any and all actions necessary to cause each such subsidiary to effectuate such indemnification, advancement and contribution. In the event that any such subsidiary against which Indemnitee is entitled to such indemnification, advancement and contribution fails to provide such indemnification, advancement or contribution to the maximum extent permitted by this Agreement and by applicable Law, the Company agrees to provide to Indemnitee any and all indemnification, advancement and contribution to the maximum extent permitted by this Agreement and by applicable Law on behalf of such subsidiary. The rights of indemnification, advancement and contribution provided to Indemnitee by any subsidiary of the Company are not exclusive of any other rights which Indemnitee may have from such subsidiary under statute, bylaw, agreement, vote of the board of directors or board of managers of such subsidiary or otherwise.</w:t>
      </w:r>
    </w:p>
    <w:p>
      <w:pPr>
        <w:spacing w:after="0" w:line="72" w:lineRule="exact"/>
        <w:rPr>
          <w:sz w:val="20"/>
          <w:szCs w:val="20"/>
          <w:color w:val="auto"/>
        </w:rPr>
      </w:pPr>
    </w:p>
    <w:p>
      <w:pPr>
        <w:ind w:right="220" w:firstLine="8"/>
        <w:spacing w:after="0" w:line="236"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Proceedings Other Than Proceedings by or in the Right of the Company</w:t>
      </w:r>
      <w:r>
        <w:rPr>
          <w:rFonts w:ascii="Arial" w:cs="Arial" w:eastAsia="Arial" w:hAnsi="Arial"/>
          <w:sz w:val="17"/>
          <w:szCs w:val="17"/>
          <w:color w:val="auto"/>
        </w:rPr>
        <w:t>. If in connection with, or by reason of, Indemnitee’s Corporate Status Indemnitee was, is, or is threatened to be made, a party to or a participant in any Proceeding other than a Proceeding by or in the right of the Company to procure a judgment in its favor, the Company shall, to the fullest extent permitted by Law, indemnify Indemnitee with respect to, and hold Indemnitee harmless from and against, all Expenses, liabilities, losses, judgments, fines, penalties, costs and amounts paid in</w:t>
      </w:r>
    </w:p>
    <w:p>
      <w:pPr>
        <w:sectPr>
          <w:pgSz w:w="11900" w:h="16838" w:orient="portrait"/>
          <w:cols w:equalWidth="0" w:num="1">
            <w:col w:w="11240"/>
          </w:cols>
          <w:pgMar w:left="320" w:top="108" w:right="339" w:bottom="1440" w:gutter="0" w:footer="0" w:header="0"/>
        </w:sectPr>
      </w:pPr>
    </w:p>
    <w:bookmarkStart w:id="82" w:name="page83"/>
    <w:bookmarkEnd w:id="82"/>
    <w:p>
      <w:pPr>
        <w:spacing w:after="0" w:line="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settlement (including all interest, assessments and other charges paid or payable in connection with or in respect of such liabilities, losses, judgments, fines, penalties, costs and amounts paid in settlement) reasonably incurred by Indemnitee or on behalf of Indemnitee in connection with such Proceeding or any</w:t>
      </w:r>
    </w:p>
    <w:p>
      <w:pPr>
        <w:spacing w:after="0"/>
        <w:rPr>
          <w:sz w:val="20"/>
          <w:szCs w:val="20"/>
          <w:color w:val="auto"/>
        </w:rPr>
      </w:pPr>
      <w:r>
        <w:rPr>
          <w:rFonts w:ascii="Arial" w:cs="Arial" w:eastAsia="Arial" w:hAnsi="Arial"/>
          <w:sz w:val="18"/>
          <w:szCs w:val="18"/>
          <w:color w:val="auto"/>
        </w:rPr>
        <w:t>claim, issue or matter therein.</w:t>
      </w:r>
    </w:p>
    <w:p>
      <w:pPr>
        <w:spacing w:after="0" w:line="61" w:lineRule="exact"/>
        <w:rPr>
          <w:sz w:val="20"/>
          <w:szCs w:val="20"/>
          <w:color w:val="auto"/>
        </w:rPr>
      </w:pPr>
    </w:p>
    <w:p>
      <w:pPr>
        <w:ind w:right="20" w:firstLine="8"/>
        <w:spacing w:after="0" w:line="215"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Proceedings by or in the Right of the Company</w:t>
      </w:r>
      <w:r>
        <w:rPr>
          <w:rFonts w:ascii="Arial" w:cs="Arial" w:eastAsia="Arial" w:hAnsi="Arial"/>
          <w:sz w:val="18"/>
          <w:szCs w:val="18"/>
          <w:color w:val="auto"/>
        </w:rPr>
        <w:t xml:space="preserve">. If in connection with, or by reason of, Indemnitee’s Corporate Status Indemnitee was, is, or is threatened to be made, a party to or a participant in any Proceeding brought by or in the right of the Company to procure a judgment in its favor, the Company shall, to the fullest extent permitted by Law, indemnify Indemnitee with respect to, and hold Indemnitee harmless from and against, all Expenses reasonably incurred by Indemnitee or on behalf of Indemnitee in connection with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indemnification against such Expenses shall be made in respect of any claim, issue or matter in such Proceeding as to which Indemnitee shall have been adjudged by a court of competent jurisdiction to be liable to the Company only if (and only to the extent that) the Court of Chancery of the State of Delaware or other court in which such Proceeding shall have been brought or is pending (the “</w:t>
      </w:r>
      <w:r>
        <w:rPr>
          <w:rFonts w:ascii="Arial" w:cs="Arial" w:eastAsia="Arial" w:hAnsi="Arial"/>
          <w:sz w:val="18"/>
          <w:szCs w:val="18"/>
          <w:u w:val="single" w:color="auto"/>
          <w:color w:val="auto"/>
        </w:rPr>
        <w:t>Trial Court</w:t>
      </w:r>
      <w:r>
        <w:rPr>
          <w:rFonts w:ascii="Arial" w:cs="Arial" w:eastAsia="Arial" w:hAnsi="Arial"/>
          <w:sz w:val="18"/>
          <w:szCs w:val="18"/>
          <w:color w:val="auto"/>
        </w:rPr>
        <w:t>”) shall determine that despite such adjudication of liability and in light of all circumstances such indemnification may be made.</w:t>
      </w:r>
    </w:p>
    <w:p>
      <w:pPr>
        <w:spacing w:after="0" w:line="69" w:lineRule="exact"/>
        <w:rPr>
          <w:rFonts w:ascii="Arial" w:cs="Arial" w:eastAsia="Arial" w:hAnsi="Arial"/>
          <w:sz w:val="18"/>
          <w:szCs w:val="18"/>
          <w:color w:val="auto"/>
        </w:rPr>
      </w:pPr>
    </w:p>
    <w:p>
      <w:pPr>
        <w:ind w:firstLine="8"/>
        <w:spacing w:after="0"/>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Mandatory Indemnification in Case of Successful Defense</w:t>
      </w:r>
      <w:r>
        <w:rPr>
          <w:rFonts w:ascii="Arial" w:cs="Arial" w:eastAsia="Arial" w:hAnsi="Arial"/>
          <w:sz w:val="16"/>
          <w:szCs w:val="16"/>
          <w:color w:val="auto"/>
        </w:rPr>
        <w:t xml:space="preserve">. Notwithstanding any other provision of this Agreement, to the extent that Indemnitee is, by reason of Indemnitee’s Corporate Status, a party to (or a participant in) and is successful, on the merits or otherwise, in defense of any Proceeding (including, without limitation, any Proceeding brought by or in the right of the Company), the Company shall, to the fullest extent permitted by Law, indemnify Indemnitee with respect to, and hold Indemnitee harmless from and against, all Expenses reasonably incurred by Indemnitee or on behalf of Indemnitee in connection therewith. If Indemnitee is not wholly successful in defense of such Proceeding but is successful, on the merits or otherwise, as to one or more but less than all claims, issues or matters in such Proceeding, the Company shall, to the fullest extent permitted by Law, indemnify Indemnitee against all Expenses reasonably incurred by Indemnitee or on behalf of Indemnitee in connection with each successfully resolved claim, issue or matter. For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without limitation, the termination of any claim, issue or matter in such a Proceeding by dismissal, with or without prejudice, on substantive or procedural grounds, shall be deemed to be a successful result as to such claim, issue or matter.</w:t>
      </w:r>
    </w:p>
    <w:p>
      <w:pPr>
        <w:spacing w:after="0" w:line="72" w:lineRule="exact"/>
        <w:rPr>
          <w:rFonts w:ascii="Arial" w:cs="Arial" w:eastAsia="Arial" w:hAnsi="Arial"/>
          <w:sz w:val="16"/>
          <w:szCs w:val="16"/>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Partial Indemnification; Contribution</w:t>
      </w:r>
      <w:r>
        <w:rPr>
          <w:rFonts w:ascii="Arial" w:cs="Arial" w:eastAsia="Arial" w:hAnsi="Arial"/>
          <w:sz w:val="18"/>
          <w:szCs w:val="18"/>
          <w:color w:val="auto"/>
        </w:rPr>
        <w:t>.</w:t>
      </w:r>
    </w:p>
    <w:p>
      <w:pPr>
        <w:spacing w:after="0" w:line="77" w:lineRule="exact"/>
        <w:rPr>
          <w:sz w:val="20"/>
          <w:szCs w:val="20"/>
          <w:color w:val="auto"/>
        </w:rPr>
      </w:pPr>
    </w:p>
    <w:p>
      <w:pPr>
        <w:ind w:right="100" w:firstLine="8"/>
        <w:spacing w:after="0" w:line="248" w:lineRule="auto"/>
        <w:tabs>
          <w:tab w:leader="none" w:pos="24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Indemnitee is entitled under any provision of this Agreement or otherwise to indemnification by the Company for a portion of the Expenses, liabilities, losses, judgments, fines, penalties, costs and amounts paid in settlement (including all interest, assessments and other charges paid or payable in connection with or in respect of such liabilities, losses, judgments, penalties, fines and amounts paid in settlement) incurred by Indemnitee or on behalf of Indemnitee in connection with a Proceeding or any claim, issue or matter therein, in whole or in part, the Company shall, to the fullest extent permitted by Law, indemnify Indemnitee to the fullest extent to which Indemnitee is entitled to such indemnification.</w:t>
      </w:r>
    </w:p>
    <w:p>
      <w:pPr>
        <w:spacing w:after="0" w:line="61" w:lineRule="exact"/>
        <w:rPr>
          <w:rFonts w:ascii="Arial" w:cs="Arial" w:eastAsia="Arial" w:hAnsi="Arial"/>
          <w:sz w:val="16"/>
          <w:szCs w:val="16"/>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36" w:lineRule="auto"/>
        <w:tabs>
          <w:tab w:leader="none" w:pos="2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or not any indemnification provided elsewhere in this Agreement is available, in respect of any threatened, pending or completed action, suit or proceeding in which the Company is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w:t>
      </w:r>
    </w:p>
    <w:p>
      <w:pPr>
        <w:spacing w:after="0" w:line="54" w:lineRule="exact"/>
        <w:rPr>
          <w:rFonts w:ascii="Arial" w:cs="Arial" w:eastAsia="Arial" w:hAnsi="Arial"/>
          <w:sz w:val="17"/>
          <w:szCs w:val="17"/>
          <w:color w:val="auto"/>
        </w:rPr>
      </w:pPr>
    </w:p>
    <w:p>
      <w:pPr>
        <w:ind w:right="20" w:firstLine="8"/>
        <w:spacing w:after="0" w:line="239" w:lineRule="auto"/>
        <w:tabs>
          <w:tab w:leader="none" w:pos="2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Without diminishing or impairing the obligations of the Company set forth in the preceding subsection,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(including reasonable outside attorneys’ fees), liabilities, losses, judgments, fines, penalties, costs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liabilities, losses, judgments, fines, penalties, costs or settlement amounts, as well as any other equitable considerations that the applicable Law of the State of Delaware (or other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5580" w:hanging="106"/>
        <w:spacing w:after="0"/>
        <w:tabs>
          <w:tab w:leader="none" w:pos="5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40"/>
          </w:cols>
          <w:pgMar w:left="320" w:top="1440" w:right="339" w:bottom="1440" w:gutter="0" w:footer="0" w:header="0"/>
        </w:sectPr>
      </w:pPr>
    </w:p>
    <w:bookmarkStart w:id="83" w:name="page84"/>
    <w:bookmarkEnd w:id="83"/>
    <w:p>
      <w:pPr>
        <w:spacing w:after="0" w:line="76" w:lineRule="exact"/>
        <w:rPr>
          <w:sz w:val="20"/>
          <w:szCs w:val="20"/>
          <w:color w:val="auto"/>
        </w:rPr>
      </w:pPr>
    </w:p>
    <w:p>
      <w:pPr>
        <w:ind w:left="-8" w:right="600" w:firstLine="8"/>
        <w:spacing w:after="0" w:line="235" w:lineRule="auto"/>
        <w:tabs>
          <w:tab w:leader="none" w:pos="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hereby agrees to fully indemnify and hold Indemnitee harmless from any claims of contribution that may be brought by officers, directors or employees of the Company, other than Indemnitee, who may be jointly liable with Indemnitee.</w:t>
      </w:r>
    </w:p>
    <w:p>
      <w:pPr>
        <w:spacing w:after="0" w:line="67" w:lineRule="exact"/>
        <w:rPr>
          <w:rFonts w:ascii="Arial" w:cs="Arial" w:eastAsia="Arial" w:hAnsi="Arial"/>
          <w:sz w:val="18"/>
          <w:szCs w:val="18"/>
          <w:color w:val="auto"/>
        </w:rPr>
      </w:pPr>
    </w:p>
    <w:p>
      <w:pPr>
        <w:ind w:left="-8" w:right="80" w:firstLine="8"/>
        <w:spacing w:after="0" w:line="215" w:lineRule="auto"/>
        <w:tabs>
          <w:tab w:leader="none" w:pos="2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the fullest extent permissible under applicable Law and without diminishing or impairing the obligations of the Company set forth in the preceding subsections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if the indemnification obligations of the Company provided for in this Agreement are unavailable to Indemnitee for any reason whatsoever, the Company, in lieu of indemnifying Indemnitee, shall contribute to the amount incurred by Indemnitee, whether for liabilities, losses, judgments, fines, penalties, costs,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56" w:lineRule="exact"/>
        <w:rPr>
          <w:sz w:val="20"/>
          <w:szCs w:val="20"/>
          <w:color w:val="auto"/>
        </w:rPr>
      </w:pPr>
    </w:p>
    <w:p>
      <w:pPr>
        <w:ind w:left="172" w:hanging="172"/>
        <w:spacing w:after="0"/>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Indemnification for Additional Expenses Incurred to Secure Recovery or as Witness</w:t>
      </w:r>
      <w:r>
        <w:rPr>
          <w:rFonts w:ascii="Arial" w:cs="Arial" w:eastAsia="Arial" w:hAnsi="Arial"/>
          <w:sz w:val="18"/>
          <w:szCs w:val="18"/>
          <w:color w:val="auto"/>
        </w:rPr>
        <w:t>.</w:t>
      </w:r>
    </w:p>
    <w:p>
      <w:pPr>
        <w:spacing w:after="0" w:line="90" w:lineRule="exact"/>
        <w:rPr>
          <w:sz w:val="20"/>
          <w:szCs w:val="20"/>
          <w:color w:val="auto"/>
        </w:rPr>
      </w:pPr>
    </w:p>
    <w:p>
      <w:pPr>
        <w:ind w:left="-8" w:right="140" w:firstLine="8"/>
        <w:spacing w:after="0" w:line="248" w:lineRule="auto"/>
        <w:tabs>
          <w:tab w:leader="none" w:pos="2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Company shall, to the fullest extent permitted by Law, indemnify Indemnitee with respect to, and hold Indemnitee harmless from and against, any and all Expenses and, if requested by Indemnitee, shall advance on an as-incurred basis (as provided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such Expenses to Indemnitee, which are reasonably incurred by Indemnitee in connection with any action or proceeding or part thereof brought by Indemnitee for (i) indemnification or advance payment of Expenses by the Company under this Agreement, any other agreement or the Organizational Documents of the Company as now or hereafter in effect; or (ii) recovery under any director and officer liability insurance policies maintained by any Company Entity.</w:t>
      </w:r>
    </w:p>
    <w:p>
      <w:pPr>
        <w:spacing w:after="0" w:line="48" w:lineRule="exact"/>
        <w:rPr>
          <w:rFonts w:ascii="Arial" w:cs="Arial" w:eastAsia="Arial" w:hAnsi="Arial"/>
          <w:sz w:val="16"/>
          <w:szCs w:val="16"/>
          <w:color w:val="auto"/>
        </w:rPr>
      </w:pPr>
    </w:p>
    <w:p>
      <w:pPr>
        <w:jc w:val="both"/>
        <w:ind w:left="-8" w:right="200" w:firstLine="8"/>
        <w:spacing w:after="0" w:line="236" w:lineRule="auto"/>
        <w:tabs>
          <w:tab w:leader="none" w:pos="24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To the extent that Indemnitee is, by reason of Indemnitee’s Corporate Status, a witness (or is forced or asked to respond to discovery requests) in any Proceeding to which Indemnitee is not a party, the Company shall, to the fullest extent permitted by Law, indemnify Indemnitee with respect to, and hold Indemnitee harmless from and against, and the Company will advance on an as-incurred basis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 all Expenses reasonably incurred by Indemnitee or on behalf of Indemnitee in connection therewith.</w:t>
      </w:r>
    </w:p>
    <w:p>
      <w:pPr>
        <w:spacing w:after="0" w:line="68" w:lineRule="exact"/>
        <w:rPr>
          <w:sz w:val="20"/>
          <w:szCs w:val="20"/>
          <w:color w:val="auto"/>
        </w:rPr>
      </w:pPr>
    </w:p>
    <w:p>
      <w:pPr>
        <w:ind w:left="-8" w:right="100" w:firstLine="8"/>
        <w:spacing w:after="0" w:line="226" w:lineRule="auto"/>
        <w:tabs>
          <w:tab w:leader="none" w:pos="172"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Additional Indemnity</w:t>
      </w:r>
      <w:r>
        <w:rPr>
          <w:rFonts w:ascii="Arial" w:cs="Arial" w:eastAsia="Arial" w:hAnsi="Arial"/>
          <w:sz w:val="17"/>
          <w:szCs w:val="17"/>
          <w:color w:val="auto"/>
        </w:rPr>
        <w:t>. In addition to, and without regard to any limitations on, the indemnification provided for elsewhere in this Agreement, the Company shall and hereby does, to the fullest extent permitted by Law, indemnify Indemnitee with respect to, and hold Indemnitee harmless from and against, all Expenses, liabilities, losses, judgments, fines, penalties, costs and amounts paid in settlement (other than amounts paid in settlement with respect to a Proceeding by or in the right of the Company) reasonably incurred by Indemnitee or on behalf of Indemnitee, if, by reason of Indemnitee’s Corporate Status, Indemnitee was, is, or is threatened to be made, a party to or a participant in any Proceeding (including a Proceeding by or in the right of the Company), including to the fullest extent permitted by Law, without limitation, all liability arising out of the ordinary negligence of Indemnitee (other than the fraud of Indemnitee). The only limitation that shall exist upon the Company’s obligations pursuant to this Agreement shall be that the Company shall not be obligated to make any payment to Indemnitee if a court of competent jurisdiction issues a final non-appealable judicial determination that Indemnitee is not entitled to indemnification hereunder.</w:t>
      </w:r>
    </w:p>
    <w:p>
      <w:pPr>
        <w:spacing w:after="0" w:line="71" w:lineRule="exact"/>
        <w:rPr>
          <w:rFonts w:ascii="Arial" w:cs="Arial" w:eastAsia="Arial" w:hAnsi="Arial"/>
          <w:sz w:val="17"/>
          <w:szCs w:val="17"/>
          <w:color w:val="auto"/>
        </w:rPr>
      </w:pPr>
    </w:p>
    <w:p>
      <w:pPr>
        <w:ind w:left="-8" w:firstLine="8"/>
        <w:spacing w:after="0" w:line="241" w:lineRule="auto"/>
        <w:tabs>
          <w:tab w:leader="none" w:pos="17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The Company shall, to the fullest extent permitted by Law, pay on a current and as-incurred basis all Expenses incurred by or on behalf of Indemnitee in connection with any Proceeding in any way connected with, resulting from or relating to Indemnitee’s Corporate Status. Such Expenses shall be paid in advance of the final disposition of such Proceeding, without regard to whether Indemnitee will ultimately be entitled to be indemnified for such Expenses and without regard to whether an Adverse Determination has been or may be made, except as contemplated by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of this Agreement. Following a final disposition of such Proceeding, if any, Indemnitee shall repay such amounts advanced only if and to the extent that an Adverse Determination is made and not challenged, as provided in </w:t>
      </w:r>
      <w:r>
        <w:rPr>
          <w:rFonts w:ascii="Arial" w:cs="Arial" w:eastAsia="Arial" w:hAnsi="Arial"/>
          <w:sz w:val="16"/>
          <w:szCs w:val="16"/>
          <w:u w:val="single" w:color="auto"/>
          <w:color w:val="auto"/>
        </w:rPr>
        <w:t>Section 10(f)</w:t>
      </w:r>
      <w:r>
        <w:rPr>
          <w:rFonts w:ascii="Arial" w:cs="Arial" w:eastAsia="Arial" w:hAnsi="Arial"/>
          <w:sz w:val="16"/>
          <w:szCs w:val="16"/>
          <w:color w:val="auto"/>
        </w:rPr>
        <w:t>, or if it shall ultimately be determined in a decision by a court of competent jurisdiction from which no appeal can be taken that Indemnitee is not entitled to be indemnified by the Company for such Expenses.</w:t>
      </w:r>
    </w:p>
    <w:p>
      <w:pPr>
        <w:spacing w:after="0" w:line="70" w:lineRule="exact"/>
        <w:rPr>
          <w:rFonts w:ascii="Arial" w:cs="Arial" w:eastAsia="Arial" w:hAnsi="Arial"/>
          <w:sz w:val="16"/>
          <w:szCs w:val="16"/>
          <w:color w:val="auto"/>
        </w:rPr>
      </w:pPr>
    </w:p>
    <w:p>
      <w:pPr>
        <w:ind w:left="272" w:hanging="272"/>
        <w:spacing w:after="0"/>
        <w:tabs>
          <w:tab w:leader="none" w:pos="27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77" w:lineRule="exact"/>
        <w:rPr>
          <w:sz w:val="20"/>
          <w:szCs w:val="20"/>
          <w:color w:val="auto"/>
        </w:rPr>
      </w:pPr>
    </w:p>
    <w:p>
      <w:pPr>
        <w:ind w:left="-8" w:right="360" w:firstLine="8"/>
        <w:spacing w:after="0" w:line="219" w:lineRule="auto"/>
        <w:tabs>
          <w:tab w:leader="none" w:pos="23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 of Proceeding</w:t>
      </w:r>
      <w:r>
        <w:rPr>
          <w:rFonts w:ascii="Arial" w:cs="Arial" w:eastAsia="Arial" w:hAnsi="Arial"/>
          <w:sz w:val="18"/>
          <w:szCs w:val="18"/>
          <w:color w:val="auto"/>
        </w:rPr>
        <w:t>. Indemnitee agrees to notify the Company promptly upon being served with any summons, citation, subpoena, complaint, indictment, information or other document relating to any Proceeding or matter that may be subject to indemnification or advancement of Expenses hereunder. Any failure by Indemnitee to notify the Company will relieve the Company of its advancement or indemnification obligations under this Agreement only to the extent the Company can establish that such omission to notify resulted in actual and material prejudice to it, and the omission to notify the Company will, in any event, not relieve the Company from any liability that it may have to indemnify Indemnitee otherwise under this Agreement.</w:t>
      </w:r>
    </w:p>
    <w:p>
      <w:pPr>
        <w:spacing w:after="0" w:line="54" w:lineRule="exact"/>
        <w:rPr>
          <w:rFonts w:ascii="Arial" w:cs="Arial" w:eastAsia="Arial" w:hAnsi="Arial"/>
          <w:sz w:val="18"/>
          <w:szCs w:val="18"/>
          <w:color w:val="auto"/>
        </w:rPr>
      </w:pPr>
    </w:p>
    <w:p>
      <w:pPr>
        <w:ind w:left="-8" w:right="60" w:firstLine="8"/>
        <w:spacing w:after="0" w:line="229" w:lineRule="auto"/>
        <w:tabs>
          <w:tab w:leader="none" w:pos="24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Defense; Settlement</w:t>
      </w:r>
      <w:r>
        <w:rPr>
          <w:rFonts w:ascii="Arial" w:cs="Arial" w:eastAsia="Arial" w:hAnsi="Arial"/>
          <w:sz w:val="18"/>
          <w:szCs w:val="18"/>
          <w:color w:val="auto"/>
        </w:rPr>
        <w:t>. The Company shall have the sole right and obligation to control the defense or conduct of any claim or Proceeding with respect to Indemnitee. The Company shall not, without the prior written consent of Indemnitee, which may not be unreasonably withheld, conditioned or delayed, effect any settlement or compromise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572" w:hanging="106"/>
        <w:spacing w:after="0"/>
        <w:tabs>
          <w:tab w:leader="none" w:pos="55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232"/>
          </w:cols>
          <w:pgMar w:left="328" w:top="1440" w:right="339" w:bottom="1440" w:gutter="0" w:footer="0" w:header="0"/>
        </w:sectPr>
      </w:pPr>
    </w:p>
    <w:bookmarkStart w:id="84" w:name="page85"/>
    <w:bookmarkEnd w:id="84"/>
    <w:p>
      <w:pPr>
        <w:spacing w:after="0" w:line="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of any Proceeding against Indemnitee which imposes any cost or liability on Indemnitee unless such settlement or compromise solely involves the payment of money for which the Indemnitee will be fully indemnified or performance of any obligation by persons other than Indemnitee. The Company shall not</w:t>
      </w:r>
    </w:p>
    <w:p>
      <w:pPr>
        <w:ind w:right="200"/>
        <w:spacing w:after="0" w:line="226" w:lineRule="auto"/>
        <w:rPr>
          <w:sz w:val="20"/>
          <w:szCs w:val="20"/>
          <w:color w:val="auto"/>
        </w:rPr>
      </w:pPr>
      <w:r>
        <w:rPr>
          <w:rFonts w:ascii="Arial" w:cs="Arial" w:eastAsia="Arial" w:hAnsi="Arial"/>
          <w:sz w:val="18"/>
          <w:szCs w:val="18"/>
          <w:color w:val="auto"/>
        </w:rPr>
        <w:t>be obligated to indemnify Indemnitee against amounts paid in settlement of a Proceeding against Indemnitee if such settlement is effected by Indemnitee without the Company’s prior written consent.</w:t>
      </w:r>
    </w:p>
    <w:p>
      <w:pPr>
        <w:spacing w:after="0" w:line="53"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Request for Advancement; Request for Indemnification</w:t>
      </w:r>
      <w:r>
        <w:rPr>
          <w:rFonts w:ascii="Arial" w:cs="Arial" w:eastAsia="Arial" w:hAnsi="Arial"/>
          <w:sz w:val="18"/>
          <w:szCs w:val="18"/>
          <w:color w:val="auto"/>
        </w:rPr>
        <w:t>.</w:t>
      </w:r>
    </w:p>
    <w:p>
      <w:pPr>
        <w:spacing w:after="0" w:line="90" w:lineRule="exact"/>
        <w:rPr>
          <w:sz w:val="20"/>
          <w:szCs w:val="20"/>
          <w:color w:val="auto"/>
        </w:rPr>
      </w:pPr>
    </w:p>
    <w:p>
      <w:pPr>
        <w:ind w:right="140" w:firstLine="8"/>
        <w:spacing w:after="0" w:line="216"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obtain advancement of Expenses under this Agreement, Indemnitee shall submit to the Company a written request therefor, together with such invoices or other supporting information as may be reasonably requested by the Company and reasonably available to Indemnitee, and, only to the extent required by applicable Law and/or any applicable Organizational Documents that cannot be waived, an unsecured written undertaking to repay amounts advanced unless it shall ultimately be determined that he or she is entitled to be indemnified by the Company. The Company shall make advance payment of Expenses to Indemnitee no later than 15 days after receipt of the written request for advancement (and each subsequent request for advancement) by Indemnitee.</w:t>
      </w:r>
    </w:p>
    <w:p>
      <w:pPr>
        <w:spacing w:after="0" w:line="70" w:lineRule="exact"/>
        <w:rPr>
          <w:rFonts w:ascii="Arial" w:cs="Arial" w:eastAsia="Arial" w:hAnsi="Arial"/>
          <w:sz w:val="18"/>
          <w:szCs w:val="18"/>
          <w:color w:val="auto"/>
        </w:rPr>
      </w:pPr>
    </w:p>
    <w:p>
      <w:pPr>
        <w:ind w:right="80" w:firstLine="8"/>
        <w:spacing w:after="0" w:line="226" w:lineRule="auto"/>
        <w:tabs>
          <w:tab w:leader="none" w:pos="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To obtain indemnification under this Agreement, at any time after submission of a request for advancement of Expenses pursuant to </w:t>
      </w:r>
      <w:r>
        <w:rPr>
          <w:rFonts w:ascii="Arial" w:cs="Arial" w:eastAsia="Arial" w:hAnsi="Arial"/>
          <w:sz w:val="17"/>
          <w:szCs w:val="17"/>
          <w:u w:val="single" w:color="auto"/>
          <w:color w:val="auto"/>
        </w:rPr>
        <w:t>Section 10(c)(i)</w:t>
      </w:r>
      <w:r>
        <w:rPr>
          <w:rFonts w:ascii="Arial" w:cs="Arial" w:eastAsia="Arial" w:hAnsi="Arial"/>
          <w:sz w:val="17"/>
          <w:szCs w:val="17"/>
          <w:color w:val="auto"/>
        </w:rPr>
        <w:t xml:space="preserve"> of this Agreement, Indemnitee may submit a written request for indemnification hereunder. The time at which Indemnitee submits a written request for indemnification shall be determined by the Indemnitee in the Indemnitee’s sole discretion. Once Indemnitee submits such a written request for indemnification (and only at such time that Indemnitee submits such a written request for indemnification), a Determination shall thereafter be made, as provided in and only to the extent required by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of this Agreement. In no event shall a Determination be made, or required to be made, as a condition to or otherwise in connection with any advancement of Expenses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10(c)(i)</w:t>
      </w:r>
      <w:r>
        <w:rPr>
          <w:rFonts w:ascii="Arial" w:cs="Arial" w:eastAsia="Arial" w:hAnsi="Arial"/>
          <w:sz w:val="17"/>
          <w:szCs w:val="17"/>
          <w:color w:val="auto"/>
        </w:rPr>
        <w:t xml:space="preserve"> of this Agreement.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71" w:lineRule="exact"/>
        <w:rPr>
          <w:sz w:val="20"/>
          <w:szCs w:val="20"/>
          <w:color w:val="auto"/>
        </w:rPr>
      </w:pPr>
    </w:p>
    <w:p>
      <w:pPr>
        <w:ind w:firstLine="8"/>
        <w:spacing w:after="0"/>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The Company agrees that in no event shall a Determination be required in connection with indemnification for Expenses incurred as a witness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or incurred in connection with any Proceeding or portion thereof with respect to which Indemnitee has been successful on the merits or otherwise unless specifically required by applicable Law that cannot be waived. Any decision that a Determination is required by Law in connection with any such indemnification of Indemnitee, and any Determination required in connection therewith or with any other indemnification of Indemnitee, shall be made within 30 days after the later of (i) receipt of Indemnitee’s written request for indemnification pursuant to </w:t>
      </w:r>
      <w:r>
        <w:rPr>
          <w:rFonts w:ascii="Arial" w:cs="Arial" w:eastAsia="Arial" w:hAnsi="Arial"/>
          <w:sz w:val="16"/>
          <w:szCs w:val="16"/>
          <w:u w:val="single" w:color="auto"/>
          <w:color w:val="auto"/>
        </w:rPr>
        <w:t>Section 10(c)(ii)</w:t>
      </w:r>
      <w:r>
        <w:rPr>
          <w:rFonts w:ascii="Arial" w:cs="Arial" w:eastAsia="Arial" w:hAnsi="Arial"/>
          <w:sz w:val="16"/>
          <w:szCs w:val="16"/>
          <w:color w:val="auto"/>
        </w:rPr>
        <w:t>, or (ii) the selection of Independent Counsel, if such Determination is to be made by Independent Counsel (the “</w:t>
      </w:r>
      <w:r>
        <w:rPr>
          <w:rFonts w:ascii="Arial" w:cs="Arial" w:eastAsia="Arial" w:hAnsi="Arial"/>
          <w:sz w:val="16"/>
          <w:szCs w:val="16"/>
          <w:u w:val="single" w:color="auto"/>
          <w:color w:val="auto"/>
        </w:rPr>
        <w:t>Determination Period</w:t>
      </w:r>
      <w:r>
        <w:rPr>
          <w:rFonts w:ascii="Arial" w:cs="Arial" w:eastAsia="Arial" w:hAnsi="Arial"/>
          <w:sz w:val="16"/>
          <w:szCs w:val="16"/>
          <w:color w:val="auto"/>
        </w:rPr>
        <w:t>”) and such Determination shall be made either (A) by the Board of Directors by majority vote or consent of a quorum consisting of only Disinterested Directors, or (B) if such a quorum of Disinterested Directors cannot be obtained, by Independent Counsel in a written opinion to the Company and Indemnitee. If a Determination is requested but is not made during the Determination Period, then the requisite Determination shall be deemed a Favorable Determination and Indemnitee shall be entitled to such indemnification absent (x) a misstatement by Indemnitee of a material fact, or an omission of a material fact necessary to make Indemnitee’s statement not materially misleading, in connection with the request for indemnification, or (y) a prohibition of such indemnification under applicable Law; provided, however, that such 30-day period may be extended for a reasonable time, not to exceed an additional 15 days, if the person, persons or entity making such Determination in good faith requires such additional time to obtain or evaluate documentation and/or information relating thereto. If a Determination is made that Indemnitee is entitled to indemnification, payment to Indemnitee shall be made within 20 days after such Determination. Indemnitee shall reasonably cooperate with the person, persons or entity making such Determination,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Independent Counsel or Disinterested Directors, as the case may be, shall act reasonably and in good faith in making a Determination under this Agreement. Any Expenses incurred by Indemnitee in so cooperating with the Disinterested Directors or Independent Counsel, as the case may be, making such Determination shall be advanced and borne by the Company (irrespective of the Determination as to Indemnitee’s entitlement to indemnification) and the Company is liable to indemnify and hold Indemnitee harmless therefrom. Notwithstanding anything in this Agreement to the contrary, no Determination shall be required to be made prior to the final disposition of the Proceeding.</w:t>
      </w:r>
    </w:p>
    <w:p>
      <w:pPr>
        <w:spacing w:after="0" w:line="199" w:lineRule="exact"/>
        <w:rPr>
          <w:rFonts w:ascii="Arial" w:cs="Arial" w:eastAsia="Arial" w:hAnsi="Arial"/>
          <w:sz w:val="16"/>
          <w:szCs w:val="16"/>
          <w:color w:val="auto"/>
        </w:rPr>
      </w:pPr>
    </w:p>
    <w:p>
      <w:pPr>
        <w:ind w:right="40" w:firstLine="8"/>
        <w:spacing w:after="0" w:line="244" w:lineRule="auto"/>
        <w:tabs>
          <w:tab w:leader="none" w:pos="24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Independent Counsel</w:t>
      </w:r>
      <w:r>
        <w:rPr>
          <w:rFonts w:ascii="Arial" w:cs="Arial" w:eastAsia="Arial" w:hAnsi="Arial"/>
          <w:sz w:val="16"/>
          <w:szCs w:val="16"/>
          <w:color w:val="auto"/>
        </w:rPr>
        <w:t xml:space="preserve">. In the event that the Determination is to be made by Independent Counsel pursuant to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of this Agreement, the Independent Counsel shall be selected as provided in this </w:t>
      </w:r>
      <w:r>
        <w:rPr>
          <w:rFonts w:ascii="Arial" w:cs="Arial" w:eastAsia="Arial" w:hAnsi="Arial"/>
          <w:sz w:val="16"/>
          <w:szCs w:val="16"/>
          <w:u w:val="single" w:color="auto"/>
          <w:color w:val="auto"/>
        </w:rPr>
        <w:t>Section 10(e)</w:t>
      </w:r>
      <w:r>
        <w:rPr>
          <w:rFonts w:ascii="Arial" w:cs="Arial" w:eastAsia="Arial" w:hAnsi="Arial"/>
          <w:sz w:val="16"/>
          <w:szCs w:val="16"/>
          <w:color w:val="auto"/>
        </w:rPr>
        <w:t>. The Independent Counsel shall be selected by the Disinterested Directors (unless there are no Disinterested Directors, in which case Indemnitee shall select the Independent Counsel in the Indemnitee’s sole discretion), and the Board of Directors or the Indemnitee, as the case may be, shall give written notice to the other, advising the Board of Directors or Indemnitee, as the case may be, of the identity of the Independent Counsel so selected. The Board of Directors or the Indemnitee, as the case may be, may, within 10 days after such written notice of selection shall have been received, deliver to the Indemnitee or the Board of Directors, as the case may be, a written objection to such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5580" w:hanging="106"/>
        <w:spacing w:after="0"/>
        <w:tabs>
          <w:tab w:leader="none" w:pos="5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220"/>
          </w:cols>
          <w:pgMar w:left="320" w:top="1440" w:right="359" w:bottom="1440" w:gutter="0" w:footer="0" w:header="0"/>
        </w:sectPr>
      </w:pPr>
    </w:p>
    <w:bookmarkStart w:id="85" w:name="page86"/>
    <w:bookmarkEnd w:id="85"/>
    <w:p>
      <w:pPr>
        <w:spacing w:after="0" w:line="76"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 xml:space="preserve">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and the objection shall set forth with particularity the factual basis of such assertion. Absent a proper and timely</w:t>
      </w:r>
    </w:p>
    <w:p>
      <w:pPr>
        <w:jc w:val="both"/>
        <w:ind w:right="60"/>
        <w:spacing w:after="0" w:line="234" w:lineRule="auto"/>
        <w:rPr>
          <w:sz w:val="20"/>
          <w:szCs w:val="20"/>
          <w:color w:val="auto"/>
        </w:rPr>
      </w:pPr>
      <w:r>
        <w:rPr>
          <w:rFonts w:ascii="Arial" w:cs="Arial" w:eastAsia="Arial" w:hAnsi="Arial"/>
          <w:sz w:val="16"/>
          <w:szCs w:val="16"/>
          <w:color w:val="auto"/>
        </w:rPr>
        <w:t xml:space="preserve">objection, the person so selected shall act as Independent Counsel. If a written objection is so made and substantiated, the Independent Counsel so selected may not serve as Independent Counsel unless and until such objection is withdrawn or a court of competent jurisdiction has determined that such objection is without merit. If, within 20 days after submission by Indemnitee of a written request for indemnification pursuant to </w:t>
      </w:r>
      <w:r>
        <w:rPr>
          <w:rFonts w:ascii="Arial" w:cs="Arial" w:eastAsia="Arial" w:hAnsi="Arial"/>
          <w:sz w:val="16"/>
          <w:szCs w:val="16"/>
          <w:u w:val="single" w:color="auto"/>
          <w:color w:val="auto"/>
        </w:rPr>
        <w:t>Section 10(c)(ii)</w:t>
      </w:r>
      <w:r>
        <w:rPr>
          <w:rFonts w:ascii="Arial" w:cs="Arial" w:eastAsia="Arial" w:hAnsi="Arial"/>
          <w:sz w:val="16"/>
          <w:szCs w:val="16"/>
          <w:color w:val="auto"/>
        </w:rPr>
        <w:t xml:space="preserve"> of this Agreement,</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no Independent Counsel shall have been selected and not objected to, either the Board of Directors or Indemnitee may petition a court of competent jurisdiction for resolution of any objection that shall have been made by the Board of Directors or Indemnitee to the other’s selection of Independent Counsel and/or for the appointment as Independent Counsel of a person selected by the court or by such other person as the court shall designate, and the</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 xml:space="preserve">person with respect to whom all objections are so resolved or the person so appointed shall act as Independent Counsel under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of this Agreement. Upon the due commencement of any judicial proceeding or arbitration pursuant to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 Any</w:t>
      </w:r>
    </w:p>
    <w:p>
      <w:pPr>
        <w:spacing w:after="0" w:line="2" w:lineRule="exact"/>
        <w:rPr>
          <w:sz w:val="20"/>
          <w:szCs w:val="20"/>
          <w:color w:val="auto"/>
        </w:rPr>
      </w:pPr>
    </w:p>
    <w:p>
      <w:pPr>
        <w:ind w:right="1140"/>
        <w:spacing w:after="0" w:line="226" w:lineRule="auto"/>
        <w:rPr>
          <w:sz w:val="20"/>
          <w:szCs w:val="20"/>
          <w:color w:val="auto"/>
        </w:rPr>
      </w:pPr>
      <w:r>
        <w:rPr>
          <w:rFonts w:ascii="Arial" w:cs="Arial" w:eastAsia="Arial" w:hAnsi="Arial"/>
          <w:sz w:val="18"/>
          <w:szCs w:val="18"/>
          <w:color w:val="auto"/>
        </w:rPr>
        <w:t>expenses incurred by Independent Counsel shall be borne by the Company (irrespective of the Determination of Indemnitee’s entitlement to indemnification) and not by Indemnitee.</w:t>
      </w:r>
    </w:p>
    <w:p>
      <w:pPr>
        <w:spacing w:after="0" w:line="53" w:lineRule="exact"/>
        <w:rPr>
          <w:sz w:val="20"/>
          <w:szCs w:val="20"/>
          <w:color w:val="auto"/>
        </w:rPr>
      </w:pPr>
    </w:p>
    <w:p>
      <w:pPr>
        <w:ind w:firstLine="8"/>
        <w:spacing w:after="0" w:line="237" w:lineRule="auto"/>
        <w:tabs>
          <w:tab w:leader="none" w:pos="22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Consequences of Determination; Remedies of Indemnitee</w:t>
      </w:r>
      <w:r>
        <w:rPr>
          <w:rFonts w:ascii="Arial" w:cs="Arial" w:eastAsia="Arial" w:hAnsi="Arial"/>
          <w:sz w:val="16"/>
          <w:szCs w:val="16"/>
          <w:color w:val="auto"/>
        </w:rPr>
        <w:t xml:space="preserve">. The Company shall be bound by and shall have no right to challenge a Favorable Determination. If an Adverse Determination is made, or if for any other reason the Company does not make timely indemnification payments or advances of Expenses, or the Company or any other person takes any action to declare this Agreement void or unenforceable, or institutes any litigation or other action or Proceeding designed to deny, or to recover from, the Indemnitee the benefits provided or intended to be provided hereunder, Indemnitee shall have the right to commence a Proceeding before a court of competent jurisdiction to challenge such Adverse Determination, and/or to require the Company to make such payments or advances, and/or to recover damages for breach of this Agreement, and/or to recover under any directors’ and officers’ liability insurance policies maintained by the Company (and the Company shall have the right to defend its position in such Proceeding and to appeal any adverse judgment in such Proceeding but shall not oppose Indemnitee’s right to seek such adjudication). Indemnitee shall be entitled to be indemnified for all Expenses incurred in connection with such a Proceeding and to have such Expenses advanced by the Company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regardless of whether Indemnitee ultimately is determined to be entitled to such indemnification, advancement of expenses or insurance recovery. The Company shall not oppose Indemnitee’s right to seek any such adjudication. If Indemnitee fails to challenge an Adverse Determination,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or advance Expenses to Indemnitee under this Agreement. In the event that an Adverse Determination has been made, any judicial proceeding commenced pursuant to this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shall be conducted in all respects as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trial on the merits, and Indemnitee shall not be prejudiced by reason of the Adverse Determination. The Company authorizes the Indemnitee from time to time to retain one counsel of Indemnitee’s choice reasonably acceptable to the Board of Directors, at the expense of the Company to the extent provided under applicable Law, to advise and represent Indemnitee in connection with any such judicial adjudication or recovery, including without limitation, the initiation or defense of any litigation or other legal action, whether by or against the Company or any director, officer, stockholder or other person affiliated with the Company; provided that Indemnitee shall have reasonably concluded based on written advice of independent counsel that there is a conflict of interest between the Company and Indemnitee with respect to any judicial action. The Company shall be precluded from asserting in any judicial proceeding commenced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that the procedures and presumptions of this Agreement are not valid, binding and enforceable.</w:t>
      </w:r>
    </w:p>
    <w:p>
      <w:pPr>
        <w:spacing w:after="0" w:line="66" w:lineRule="exact"/>
        <w:rPr>
          <w:rFonts w:ascii="Arial" w:cs="Arial" w:eastAsia="Arial" w:hAnsi="Arial"/>
          <w:sz w:val="16"/>
          <w:szCs w:val="16"/>
          <w:color w:val="auto"/>
        </w:rPr>
      </w:pPr>
    </w:p>
    <w:p>
      <w:pPr>
        <w:ind w:right="180" w:firstLine="8"/>
        <w:spacing w:after="0" w:line="246"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Presumptions; Burden and Standard of Proof</w:t>
      </w:r>
      <w:r>
        <w:rPr>
          <w:rFonts w:ascii="Arial" w:cs="Arial" w:eastAsia="Arial" w:hAnsi="Arial"/>
          <w:sz w:val="18"/>
          <w:szCs w:val="18"/>
          <w:color w:val="auto"/>
        </w:rPr>
        <w:t>. The parties intend and agree that, to the extent permitted by Law, in connection with any Determination with respect to Indemnitee’s entitlement to indemnification hereunder by any person, including a court:</w:t>
      </w:r>
    </w:p>
    <w:p>
      <w:pPr>
        <w:spacing w:after="0" w:line="48" w:lineRule="exact"/>
        <w:rPr>
          <w:sz w:val="20"/>
          <w:szCs w:val="20"/>
          <w:color w:val="auto"/>
        </w:rPr>
      </w:pPr>
    </w:p>
    <w:p>
      <w:pPr>
        <w:ind w:firstLine="8"/>
        <w:spacing w:after="0" w:line="229" w:lineRule="auto"/>
        <w:tabs>
          <w:tab w:leader="none" w:pos="2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will be presumed that Indemnitee is entitled to indemnification under this Agreement, and (A) the Company Entities or any other person or entity challenging such right will have the burden of proof and the burden of persuasion by clear and convincing evidence to overcome that presumption in connection with the making by any person, persons or entity of any determination contrary to that presumption, and (B)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create a presumption that Indemnitee has not met the applicable standard of conduct;</w:t>
      </w:r>
    </w:p>
    <w:p>
      <w:pPr>
        <w:spacing w:after="0" w:line="57" w:lineRule="exact"/>
        <w:rPr>
          <w:rFonts w:ascii="Arial" w:cs="Arial" w:eastAsia="Arial" w:hAnsi="Arial"/>
          <w:sz w:val="17"/>
          <w:szCs w:val="17"/>
          <w:color w:val="auto"/>
        </w:rPr>
      </w:pPr>
    </w:p>
    <w:p>
      <w:pPr>
        <w:ind w:right="140" w:firstLine="8"/>
        <w:spacing w:after="0" w:line="267" w:lineRule="auto"/>
        <w:tabs>
          <w:tab w:leader="none" w:pos="2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settlement or other disposition short of final judgment may be successful if it permits a party to avoid expense, delay, distraction, disruption and uncertainty, and therefore in the event that any action, claim or proceeding to which Indemnitee is a party is resolved in any manner other than by adverse judgment against Indemnitee (including, without limitation, settlement of such action, claim or proceeding with or without payment of money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5580" w:hanging="106"/>
        <w:spacing w:after="0"/>
        <w:tabs>
          <w:tab w:leader="none" w:pos="55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220"/>
          </w:cols>
          <w:pgMar w:left="320" w:top="1440" w:right="359" w:bottom="1440" w:gutter="0" w:footer="0" w:header="0"/>
        </w:sectPr>
      </w:pPr>
    </w:p>
    <w:bookmarkStart w:id="86" w:name="page87"/>
    <w:bookmarkEnd w:id="86"/>
    <w:p>
      <w:pPr>
        <w:spacing w:after="0" w:line="76"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other consideration) it shall be presumed that Indemnitee has been successful on the merits or otherwise in such action, suit or proceeding, and anyone seeking to overcome this presumption shall have the burden of proof and the burden of persuasion by clear and convincing evidence;</w:t>
      </w:r>
    </w:p>
    <w:p>
      <w:pPr>
        <w:spacing w:after="0" w:line="52" w:lineRule="exact"/>
        <w:rPr>
          <w:sz w:val="20"/>
          <w:szCs w:val="20"/>
          <w:color w:val="auto"/>
        </w:rPr>
      </w:pPr>
    </w:p>
    <w:p>
      <w:pPr>
        <w:ind w:right="20" w:firstLine="8"/>
        <w:spacing w:after="0" w:line="224"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termination of any action, suit or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an unfavorable presumption against Indemnitee; and</w:t>
      </w:r>
    </w:p>
    <w:p>
      <w:pPr>
        <w:spacing w:after="0" w:line="68" w:lineRule="exact"/>
        <w:rPr>
          <w:rFonts w:ascii="Arial" w:cs="Arial" w:eastAsia="Arial" w:hAnsi="Arial"/>
          <w:sz w:val="18"/>
          <w:szCs w:val="18"/>
          <w:color w:val="auto"/>
        </w:rPr>
      </w:pPr>
    </w:p>
    <w:p>
      <w:pPr>
        <w:ind w:right="80" w:firstLine="8"/>
        <w:spacing w:after="0" w:line="219" w:lineRule="auto"/>
        <w:tabs>
          <w:tab w:leader="none" w:pos="3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Indemnitee will be deemed to have acted reasonably if Indemnitee’s action is based on the records or books of account of the applicable Company Entity, including financial statements, or on information supplied to Indemnitee by the officers, employees or committees of the board of directors (or equivalent governing body) of the applicable Company Entity, or on the advice of legal counsel for the applicable Company Entity or on information or records given in reports made to the applicable Company Entity by an independent certified public accountant or by an appraiser or other expert or advisor selected with reasonable care by the applicable Company Entity.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10(g)</w:t>
      </w:r>
      <w:r>
        <w:rPr>
          <w:rFonts w:ascii="Arial" w:cs="Arial" w:eastAsia="Arial" w:hAnsi="Arial"/>
          <w:sz w:val="17"/>
          <w:szCs w:val="17"/>
          <w:color w:val="auto"/>
        </w:rPr>
        <w:t xml:space="preserve"> shall not be deemed to be exclusive or to limit in any way the other circumstances in which Indemnitee may be</w:t>
      </w:r>
    </w:p>
    <w:p>
      <w:pPr>
        <w:spacing w:after="0" w:line="10" w:lineRule="exact"/>
        <w:rPr>
          <w:sz w:val="20"/>
          <w:szCs w:val="20"/>
          <w:color w:val="auto"/>
        </w:rPr>
      </w:pPr>
    </w:p>
    <w:p>
      <w:pPr>
        <w:ind w:right="380"/>
        <w:spacing w:after="0" w:line="218" w:lineRule="auto"/>
        <w:rPr>
          <w:sz w:val="20"/>
          <w:szCs w:val="20"/>
          <w:color w:val="auto"/>
        </w:rPr>
      </w:pPr>
      <w:r>
        <w:rPr>
          <w:rFonts w:ascii="Arial" w:cs="Arial" w:eastAsia="Arial" w:hAnsi="Arial"/>
          <w:sz w:val="18"/>
          <w:szCs w:val="18"/>
          <w:color w:val="auto"/>
        </w:rPr>
        <w:t xml:space="preserve">deemed to have met the applicable standard of conduct set forth in this Agreement. In addition, whether or not the foregoing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10(g)</w:t>
      </w:r>
      <w:r>
        <w:rPr>
          <w:rFonts w:ascii="Arial" w:cs="Arial" w:eastAsia="Arial" w:hAnsi="Arial"/>
          <w:sz w:val="18"/>
          <w:szCs w:val="18"/>
          <w:color w:val="auto"/>
        </w:rPr>
        <w:t xml:space="preserve"> are satisfied, it shall in no event create any unfavorable presumption with respect to Indemnitee’s actions. Anyone seeking to overcome this presumption shall have the burden of proof and the burden of persuasion by clear and convincing evidence.</w:t>
      </w:r>
    </w:p>
    <w:p>
      <w:pPr>
        <w:spacing w:after="0" w:line="68"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Insurance; Subrogation; Other Rights of Recovery, etc</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19"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may purchase and maintain a policy or policies of insurance with reputable insurance companies, providing Indemnitee with coverage for any liability asserted against, and incurred by, Indemnitee or on Indemnitee’s behalf by reason of Indemnitee’s Corporate Status, or arising out of Indemnitee’s status as such, whether or not any the Company would have the power to indemnify Indemnitee against such liability. With respect to the Company, such insurance policies shall have coverage terms and policy limits at least as favorable to Indemnitee as the insurance coverage provided to any other director or officer of such Company Entity.</w:t>
      </w:r>
    </w:p>
    <w:p>
      <w:pPr>
        <w:spacing w:after="0" w:line="68" w:lineRule="exact"/>
        <w:rPr>
          <w:rFonts w:ascii="Arial" w:cs="Arial" w:eastAsia="Arial" w:hAnsi="Arial"/>
          <w:sz w:val="18"/>
          <w:szCs w:val="18"/>
          <w:color w:val="auto"/>
        </w:rPr>
      </w:pPr>
    </w:p>
    <w:p>
      <w:pPr>
        <w:ind w:right="40" w:firstLine="8"/>
        <w:spacing w:after="0" w:line="244"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of any payment by the Company under this Agreement, the Company shall be subrogated to the extent of such payment to all of the rights of recovery of Indemnitee against any other Company Entity, and Indemnitee hereby agrees, as a condition to obtaining any advancement or indemnification from the Company, to assign to the Company all of Indemnitee’s rights to obtain from such other Company Entity such amounts to the extent that they have been paid by the Company to or for the benefit of Indemnitee as advancement or indemnification under this Agreement and are adequate to indemnify Indemnitee with respect to the costs, Expenses or other items to the full extent that Indemnitee is entitled to indemnification or other payment hereunder; and Indemnitee will (upon request by the Company) execute all papers required and take all action necessary to secure such rights, including execution of such documents as are necessary to enable the Company to bring suit or enforce such rights.</w:t>
      </w:r>
    </w:p>
    <w:p>
      <w:pPr>
        <w:spacing w:after="0" w:line="54" w:lineRule="exact"/>
        <w:rPr>
          <w:rFonts w:ascii="Arial" w:cs="Arial" w:eastAsia="Arial" w:hAnsi="Arial"/>
          <w:sz w:val="16"/>
          <w:szCs w:val="16"/>
          <w:color w:val="auto"/>
        </w:rPr>
      </w:pPr>
    </w:p>
    <w:p>
      <w:pPr>
        <w:ind w:right="540" w:firstLine="8"/>
        <w:spacing w:after="0" w:line="229"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not be liable to pay or advance to Indemnitee any amounts otherwise indemnifiable under this Agreement or under any other indemnification agreement if and to the extent that Indemnitee has otherwise actually received such payment under any insurance policy, contract, agreement or otherwise.</w:t>
      </w:r>
    </w:p>
    <w:p>
      <w:pPr>
        <w:spacing w:after="0" w:line="55" w:lineRule="exact"/>
        <w:rPr>
          <w:rFonts w:ascii="Arial" w:cs="Arial" w:eastAsia="Arial" w:hAnsi="Arial"/>
          <w:sz w:val="18"/>
          <w:szCs w:val="18"/>
          <w:color w:val="auto"/>
        </w:rPr>
      </w:pPr>
    </w:p>
    <w:p>
      <w:pPr>
        <w:ind w:right="80" w:firstLine="8"/>
        <w:spacing w:after="0" w:line="229"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Company’s obligation to indemnify or advance Expenses hereunder to Indemnitee in respect of or relating to Indemnitee’s service at the request of the Company as a director, officer, employee, fiduciary, representative, partner or agent of any other Company Entity shall be reduced by any amount Indemnitee has actually received as payment of indemnification or advancement of Expenses from such other Company Entity, except to the extent that such indemnification payments and advance payment of Expenses when taken together with any such amount actually received from other Company Entities or under director and officer insurance policies maintained by one or more Company Entities are inadequate to fully pay all costs, Expenses or other items to the full extent that Indemnitee is otherwise entitled to indemnification or other payment hereunder.</w:t>
      </w:r>
    </w:p>
    <w:p>
      <w:pPr>
        <w:spacing w:after="0" w:line="68" w:lineRule="exact"/>
        <w:rPr>
          <w:rFonts w:ascii="Arial" w:cs="Arial" w:eastAsia="Arial" w:hAnsi="Arial"/>
          <w:sz w:val="17"/>
          <w:szCs w:val="17"/>
          <w:color w:val="auto"/>
        </w:rPr>
      </w:pPr>
    </w:p>
    <w:p>
      <w:pPr>
        <w:ind w:firstLine="8"/>
        <w:spacing w:after="0" w:line="229" w:lineRule="auto"/>
        <w:tabs>
          <w:tab w:leader="none" w:pos="24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Except for the rights set forth in </w:t>
      </w:r>
      <w:r>
        <w:rPr>
          <w:rFonts w:ascii="Arial" w:cs="Arial" w:eastAsia="Arial" w:hAnsi="Arial"/>
          <w:sz w:val="17"/>
          <w:szCs w:val="17"/>
          <w:u w:val="single" w:color="auto"/>
          <w:color w:val="auto"/>
        </w:rPr>
        <w:t>Sections 11(c)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11(d)</w:t>
      </w:r>
      <w:r>
        <w:rPr>
          <w:rFonts w:ascii="Arial" w:cs="Arial" w:eastAsia="Arial" w:hAnsi="Arial"/>
          <w:sz w:val="17"/>
          <w:szCs w:val="17"/>
          <w:color w:val="auto"/>
        </w:rPr>
        <w:t xml:space="preserve"> of this Agreement, the rights to indemnification and advancement of Expenses as provided by this Agreement shall not be deemed exclusive of any other rights to which Indemnitee may at any time, whenever conferred or arising, be entitled under applicable Law, under the Company Entities’ Organizational Documents or under any other agreement, vote of stockholders or resolution of directors or managers of any Company Entity, or otherwise, and every other right and remedy shall be cumulative and in addition to every other right and remedy given hereunder or now or hereafter existing at law or in equity or otherwise. Indemnitee’s rights under this Agreement are present contractual rights that fully vest upon Indemnitee’s first service as a director or officer of the Company.</w:t>
      </w:r>
    </w:p>
    <w:p>
      <w:pPr>
        <w:spacing w:after="0" w:line="68" w:lineRule="exact"/>
        <w:rPr>
          <w:rFonts w:ascii="Arial" w:cs="Arial" w:eastAsia="Arial" w:hAnsi="Arial"/>
          <w:sz w:val="17"/>
          <w:szCs w:val="17"/>
          <w:color w:val="auto"/>
        </w:rPr>
      </w:pPr>
    </w:p>
    <w:p>
      <w:pPr>
        <w:ind w:firstLine="8"/>
        <w:spacing w:after="0" w:line="237" w:lineRule="auto"/>
        <w:tabs>
          <w:tab w:leader="none" w:pos="2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applicable Laws of the State of Delaware (or other applicable Law), whether by statute or judicial decision, permits greater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5580" w:hanging="106"/>
        <w:spacing w:after="0"/>
        <w:tabs>
          <w:tab w:leader="none" w:pos="5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220"/>
          </w:cols>
          <w:pgMar w:left="320" w:top="1440" w:right="359" w:bottom="1440" w:gutter="0" w:footer="0" w:header="0"/>
        </w:sectPr>
      </w:pPr>
    </w:p>
    <w:bookmarkStart w:id="87" w:name="page88"/>
    <w:bookmarkEnd w:id="87"/>
    <w:p>
      <w:pPr>
        <w:spacing w:after="0" w:line="76"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indemnification or advancement of Expenses than would be afforded currently under the Company Entities’ Organizational Documents and this Agreement, it is the intent of the parties hereto that Indemnitee enjoy by this Agreement the greater benefits so afforded by such change. The assertion or</w:t>
      </w:r>
    </w:p>
    <w:p>
      <w:pPr>
        <w:spacing w:after="0"/>
        <w:rPr>
          <w:sz w:val="20"/>
          <w:szCs w:val="20"/>
          <w:color w:val="auto"/>
        </w:rPr>
      </w:pPr>
      <w:r>
        <w:rPr>
          <w:rFonts w:ascii="Arial" w:cs="Arial" w:eastAsia="Arial" w:hAnsi="Arial"/>
          <w:sz w:val="17"/>
          <w:szCs w:val="17"/>
          <w:color w:val="auto"/>
        </w:rPr>
        <w:t>employment of any right or remedy hereunder, or otherwise, shall not prevent the concurrent assertion or employment of any other right or remedy.</w:t>
      </w:r>
    </w:p>
    <w:p>
      <w:pPr>
        <w:spacing w:after="0" w:line="72"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Employment Rights; Successors; Third Party Beneficiaries</w:t>
      </w:r>
      <w:r>
        <w:rPr>
          <w:rFonts w:ascii="Arial" w:cs="Arial" w:eastAsia="Arial" w:hAnsi="Arial"/>
          <w:sz w:val="18"/>
          <w:szCs w:val="18"/>
          <w:color w:val="auto"/>
        </w:rPr>
        <w:t>.</w:t>
      </w:r>
    </w:p>
    <w:p>
      <w:pPr>
        <w:spacing w:after="0" w:line="77" w:lineRule="exact"/>
        <w:rPr>
          <w:sz w:val="20"/>
          <w:szCs w:val="20"/>
          <w:color w:val="auto"/>
        </w:rPr>
      </w:pPr>
    </w:p>
    <w:p>
      <w:pPr>
        <w:ind w:right="620" w:firstLine="8"/>
        <w:spacing w:after="0" w:line="274" w:lineRule="auto"/>
        <w:tabs>
          <w:tab w:leader="none" w:pos="24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Agreement shall not be deemed an employment contract between the Company and Indemnitee. This Agreement shall continue in force as provided above after Indemnitee has ceased to serve as a director and/or officer of the Company or any other Corporate Status.</w:t>
      </w:r>
    </w:p>
    <w:p>
      <w:pPr>
        <w:spacing w:after="0" w:line="26" w:lineRule="exact"/>
        <w:rPr>
          <w:rFonts w:ascii="Arial" w:cs="Arial" w:eastAsia="Arial" w:hAnsi="Arial"/>
          <w:sz w:val="17"/>
          <w:szCs w:val="17"/>
          <w:color w:val="auto"/>
        </w:rPr>
      </w:pPr>
    </w:p>
    <w:p>
      <w:pPr>
        <w:ind w:right="120" w:firstLine="8"/>
        <w:spacing w:after="0" w:line="235"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shall be binding upon the Company and its successors and assigns and shall inure to the benefit of Indemnitee and Indemnitee’s heirs, executors and administrators.</w:t>
      </w:r>
    </w:p>
    <w:p>
      <w:pPr>
        <w:spacing w:after="0" w:line="67" w:lineRule="exact"/>
        <w:rPr>
          <w:sz w:val="20"/>
          <w:szCs w:val="20"/>
          <w:color w:val="auto"/>
        </w:rPr>
      </w:pPr>
    </w:p>
    <w:p>
      <w:pPr>
        <w:ind w:firstLine="8"/>
        <w:spacing w:after="0" w:line="214"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indemnification rights to the fullest extent permitted by applicable Law. In the event any provision hereof conflicts with any applicable Law, such provision shall be deemed modified, consistent with the aforementioned intent, to the extent necessary to resolve such conflict.</w:t>
      </w:r>
    </w:p>
    <w:p>
      <w:pPr>
        <w:spacing w:after="0" w:line="57" w:lineRule="exact"/>
        <w:rPr>
          <w:rFonts w:ascii="Arial" w:cs="Arial" w:eastAsia="Arial" w:hAnsi="Arial"/>
          <w:sz w:val="18"/>
          <w:szCs w:val="18"/>
          <w:color w:val="auto"/>
        </w:rPr>
      </w:pPr>
    </w:p>
    <w:p>
      <w:pPr>
        <w:ind w:right="20" w:firstLine="8"/>
        <w:spacing w:after="0" w:line="241" w:lineRule="auto"/>
        <w:tabs>
          <w:tab w:leader="none" w:pos="27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Exception to Right of Indemnification or Advancement of Expenses</w:t>
      </w:r>
      <w:r>
        <w:rPr>
          <w:rFonts w:ascii="Arial" w:cs="Arial" w:eastAsia="Arial" w:hAnsi="Arial"/>
          <w:sz w:val="16"/>
          <w:szCs w:val="16"/>
          <w:color w:val="auto"/>
        </w:rPr>
        <w:t xml:space="preserve">. Notwithstanding any other provision of this Agreement and except as provided in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of this Agreement or as may otherwise be agreed by the Company, Indemnitee shall not be entitled to indemnification or advancement of Expenses under this Agreement with respect to (i) any Proceeding brought by Indemnitee (other than a Proceeding by Indemnitee (x) by way of defense or counterclaim, unless a court of competent jurisdiction determines that each of the material assertions made by Indemnitee in such proceeding was not made in good faith or was frivolous, (y) to enforce Indemnitee’s rights under this Agreement or (z) to enforce any other rights of Indemnitee to indemnification, advancement or contribution from the Company under any other contract, Organizational Documents or under statute or other Law, including any rights under Section 145 of the General Corporation Law of the State of Delaware), unless the bringing of such Proceeding or making of such claim shall have been approved by the Board of Directors, (ii) any Proceeding in which a final non-appealable decision by a court of competent jurisdiction determines that such indemnification is prohibited by applicable Law, or (iii) the disgorgement of profits arising from the purchase or sale by Indemnitee of securities of the Company in violation of Section 16(b) of the Securities Exchange Act of 1934, as amended, or any similar successor statute.</w:t>
      </w:r>
    </w:p>
    <w:p>
      <w:pPr>
        <w:spacing w:after="0" w:line="55" w:lineRule="exact"/>
        <w:rPr>
          <w:rFonts w:ascii="Arial" w:cs="Arial" w:eastAsia="Arial" w:hAnsi="Arial"/>
          <w:sz w:val="16"/>
          <w:szCs w:val="16"/>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90" w:lineRule="exact"/>
        <w:rPr>
          <w:sz w:val="20"/>
          <w:szCs w:val="20"/>
          <w:color w:val="auto"/>
        </w:rPr>
      </w:pPr>
    </w:p>
    <w:p>
      <w:pPr>
        <w:ind w:right="260" w:firstLine="8"/>
        <w:spacing w:after="0" w:line="224" w:lineRule="auto"/>
        <w:tabs>
          <w:tab w:leader="none" w:pos="2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Entity</w:t>
      </w:r>
      <w:r>
        <w:rPr>
          <w:rFonts w:ascii="Arial" w:cs="Arial" w:eastAsia="Arial" w:hAnsi="Arial"/>
          <w:sz w:val="18"/>
          <w:szCs w:val="18"/>
          <w:color w:val="auto"/>
        </w:rPr>
        <w:t>” means (i) the Company, (ii) any of its direct or indirect subsidiaries and (iii) any other corporation, partnership, limited liability company, joint venture, trust, employee benefit plan or other enterprise with respect to which Indemnitee serves as a director, officer, employee, partner, representative, fiduciary or agent, or in any similar capacity, at the request of the Company.</w:t>
      </w:r>
    </w:p>
    <w:p>
      <w:pPr>
        <w:spacing w:after="0" w:line="68"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jc w:val="both"/>
        <w:ind w:right="140" w:firstLine="8"/>
        <w:spacing w:after="0" w:line="224" w:lineRule="auto"/>
        <w:tabs>
          <w:tab w:leader="none" w:pos="2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by reason of such person’s past, present or future service as a director or officer of the Company or any of its direct or indirect subsidiaries or by reason of such person’s past, present or future service, at the request of the Company, as a director, manager, officer, employee, fiduciary or agent of any other Company Entity.</w:t>
      </w:r>
    </w:p>
    <w:p>
      <w:pPr>
        <w:spacing w:after="0" w:line="68" w:lineRule="exact"/>
        <w:rPr>
          <w:rFonts w:ascii="Arial" w:cs="Arial" w:eastAsia="Arial" w:hAnsi="Arial"/>
          <w:sz w:val="18"/>
          <w:szCs w:val="18"/>
          <w:color w:val="auto"/>
        </w:rPr>
      </w:pPr>
    </w:p>
    <w:p>
      <w:pPr>
        <w:ind w:right="20" w:firstLine="8"/>
        <w:spacing w:after="0" w:line="216"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means a determination that either (x) there is a reasonable basis for the conclusion that indemnification of Indemnitee is proper in the circumstances because Indemnitee met a particular standard of conduct that is a required condition to indemnification of Indemnitee hereunder (a “</w:t>
      </w:r>
      <w:r>
        <w:rPr>
          <w:rFonts w:ascii="Arial" w:cs="Arial" w:eastAsia="Arial" w:hAnsi="Arial"/>
          <w:sz w:val="18"/>
          <w:szCs w:val="18"/>
          <w:u w:val="single" w:color="auto"/>
          <w:color w:val="auto"/>
        </w:rPr>
        <w:t>Favorable Determination</w:t>
      </w:r>
      <w:r>
        <w:rPr>
          <w:rFonts w:ascii="Arial" w:cs="Arial" w:eastAsia="Arial" w:hAnsi="Arial"/>
          <w:sz w:val="18"/>
          <w:szCs w:val="18"/>
          <w:color w:val="auto"/>
        </w:rPr>
        <w:t>”) or (y) there is no reasonable basis for the conclusion that indemnification of Indemnitee is proper in the circumstances because Indemnitee met a particular standard of conduct that is a required condition to indemnification of Indemnitee hereunder (an “</w:t>
      </w:r>
      <w:r>
        <w:rPr>
          <w:rFonts w:ascii="Arial" w:cs="Arial" w:eastAsia="Arial" w:hAnsi="Arial"/>
          <w:sz w:val="18"/>
          <w:szCs w:val="18"/>
          <w:u w:val="single" w:color="auto"/>
          <w:color w:val="auto"/>
        </w:rPr>
        <w:t>Adverse Determination</w:t>
      </w:r>
      <w:r>
        <w:rPr>
          <w:rFonts w:ascii="Arial" w:cs="Arial" w:eastAsia="Arial" w:hAnsi="Arial"/>
          <w:sz w:val="18"/>
          <w:szCs w:val="18"/>
          <w:color w:val="auto"/>
        </w:rPr>
        <w:t>”). An Adverse Determination shall include the decision that a Determination was required in connection with indemnification and the decision as to the applicable standard of conduct.</w:t>
      </w:r>
    </w:p>
    <w:p>
      <w:pPr>
        <w:spacing w:after="0" w:line="70" w:lineRule="exact"/>
        <w:rPr>
          <w:rFonts w:ascii="Arial" w:cs="Arial" w:eastAsia="Arial" w:hAnsi="Arial"/>
          <w:sz w:val="18"/>
          <w:szCs w:val="18"/>
          <w:color w:val="auto"/>
        </w:rPr>
      </w:pPr>
    </w:p>
    <w:p>
      <w:pPr>
        <w:ind w:right="460" w:firstLine="8"/>
        <w:spacing w:after="0" w:line="235" w:lineRule="auto"/>
        <w:tabs>
          <w:tab w:leader="none" w:pos="2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80" w:hanging="106"/>
        <w:spacing w:after="0"/>
        <w:tabs>
          <w:tab w:leader="none" w:pos="55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220"/>
          </w:cols>
          <w:pgMar w:left="320" w:top="1440" w:right="359" w:bottom="1440" w:gutter="0" w:footer="0" w:header="0"/>
        </w:sectPr>
      </w:pPr>
    </w:p>
    <w:bookmarkStart w:id="88" w:name="page89"/>
    <w:bookmarkEnd w:id="88"/>
    <w:p>
      <w:pPr>
        <w:spacing w:after="0" w:line="76" w:lineRule="exact"/>
        <w:rPr>
          <w:sz w:val="20"/>
          <w:szCs w:val="20"/>
          <w:color w:val="auto"/>
        </w:rPr>
      </w:pPr>
    </w:p>
    <w:p>
      <w:pPr>
        <w:ind w:left="-8" w:right="20" w:firstLine="8"/>
        <w:spacing w:after="0" w:line="243" w:lineRule="auto"/>
        <w:tabs>
          <w:tab w:leader="none" w:pos="21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mean all reasonable direct and indirect costs, fees and expenses of any type or nature whatsoever and shall specifically include, without limitation, all reasonable outside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including, but not limited to, the premium for appeal bonds, attachment bonds or similar bonds and all interest, assessments and other charges paid or payable in connection with or in respect of any such Expenses, and shall also specifically include, without limitation, all reasonable outside attorneys’ fees and all other expenses incurred by or on behalf of Indemnitee in connection with preparing and submitting any requests or statements for indemnification, advancement, contribution or any other right provided by this Agreement. Expenses, however, shall not include amounts paid in settlement by Indemnitee or the amounts of judgments or fines against Indemnitee.</w:t>
      </w:r>
    </w:p>
    <w:p>
      <w:pPr>
        <w:spacing w:after="0" w:line="51" w:lineRule="exact"/>
        <w:rPr>
          <w:rFonts w:ascii="Arial" w:cs="Arial" w:eastAsia="Arial" w:hAnsi="Arial"/>
          <w:sz w:val="16"/>
          <w:szCs w:val="16"/>
          <w:color w:val="auto"/>
        </w:rPr>
      </w:pPr>
    </w:p>
    <w:p>
      <w:pPr>
        <w:ind w:left="-8" w:right="40" w:firstLine="8"/>
        <w:spacing w:after="0" w:line="242" w:lineRule="auto"/>
        <w:tabs>
          <w:tab w:leader="none" w:pos="2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at any time, any law firm, or a member of a law firm, that (a) is experienced in matters of corporation law and (b) is not, at such time, or has not been in the five years prior to such time, retained to represent: (i) any Company Entity or Indemnitee in any matter material to either such party (other than with respect to matters concerning Indemnitee under this Agreement, or of other indemnities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and to be liable therefor.</w:t>
      </w:r>
    </w:p>
    <w:p>
      <w:pPr>
        <w:spacing w:after="0" w:line="68" w:lineRule="exact"/>
        <w:rPr>
          <w:rFonts w:ascii="Arial" w:cs="Arial" w:eastAsia="Arial" w:hAnsi="Arial"/>
          <w:sz w:val="16"/>
          <w:szCs w:val="16"/>
          <w:color w:val="auto"/>
        </w:rPr>
      </w:pPr>
    </w:p>
    <w:p>
      <w:pPr>
        <w:ind w:left="-8" w:right="440" w:firstLine="8"/>
        <w:spacing w:after="0" w:line="235" w:lineRule="auto"/>
        <w:tabs>
          <w:tab w:leader="none" w:pos="2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an entity’s charter, bylaws, partnership agreement, limited liability company agreement, operating agreement, indemnification agreement or other similar or equivalent agreement or document.</w:t>
      </w:r>
    </w:p>
    <w:p>
      <w:pPr>
        <w:spacing w:after="0" w:line="53" w:lineRule="exact"/>
        <w:rPr>
          <w:rFonts w:ascii="Arial" w:cs="Arial" w:eastAsia="Arial" w:hAnsi="Arial"/>
          <w:sz w:val="18"/>
          <w:szCs w:val="18"/>
          <w:color w:val="auto"/>
        </w:rPr>
      </w:pPr>
    </w:p>
    <w:p>
      <w:pPr>
        <w:ind w:left="-8" w:right="100" w:firstLine="8"/>
        <w:spacing w:after="0" w:line="230" w:lineRule="auto"/>
        <w:tabs>
          <w:tab w:leader="none" w:pos="207"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includes any actual, threatened, pending or completed action, suit, arbitration, alternate dispute resolution mechanism, investigation, inquiry, administrative hearing or any other actual, threatened, pending or completed proceeding, whether brought by or in the right of the Company or otherwise and whether civil, criminal, administrative or investigative in nature, in which Indemnitee was, is, may be or will be involved as a party, witness or otherwise, by reason of Indemnitee’s Corporate Status or by reason of any action taken by Indemnitee or of any inaction on Indemnitee’s part while acting as director or officer (or equivalent position) of any Company Entity (in each case whether or not Indemnitee is acting or serving in any such capacity or has such status at the time any liability or expense is incurred for which indemnification or advancement of Expenses can be provided under this Agreement), including any pending on or before the date of this Agreement, but excluding any initiated by an Indemnitee pursuant to </w:t>
      </w:r>
      <w:r>
        <w:rPr>
          <w:rFonts w:ascii="Arial" w:cs="Arial" w:eastAsia="Arial" w:hAnsi="Arial"/>
          <w:sz w:val="17"/>
          <w:szCs w:val="17"/>
          <w:u w:val="single" w:color="auto"/>
          <w:color w:val="auto"/>
        </w:rPr>
        <w:t>Section 10(f)</w:t>
      </w:r>
      <w:r>
        <w:rPr>
          <w:rFonts w:ascii="Arial" w:cs="Arial" w:eastAsia="Arial" w:hAnsi="Arial"/>
          <w:sz w:val="17"/>
          <w:szCs w:val="17"/>
          <w:color w:val="auto"/>
        </w:rPr>
        <w:t xml:space="preserve"> of this Agreement to enforce Indemnitee’s rights under this Agreement.</w:t>
      </w:r>
    </w:p>
    <w:p>
      <w:pPr>
        <w:spacing w:after="0" w:line="53" w:lineRule="exact"/>
        <w:rPr>
          <w:rFonts w:ascii="Arial" w:cs="Arial" w:eastAsia="Arial" w:hAnsi="Arial"/>
          <w:sz w:val="17"/>
          <w:szCs w:val="17"/>
          <w:color w:val="auto"/>
        </w:rPr>
      </w:pPr>
    </w:p>
    <w:p>
      <w:pPr>
        <w:ind w:left="-8" w:right="400" w:firstLine="8"/>
        <w:spacing w:after="0" w:line="289" w:lineRule="auto"/>
        <w:tabs>
          <w:tab w:leader="none" w:pos="20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Whenever required by the context, as used in this Agreement the singular number shall include the plural, the plural shall include the singular and all words herein in any gender shall be deemed to include (as appropriate) the masculine, feminine and neuter genders.</w:t>
      </w:r>
    </w:p>
    <w:p>
      <w:pPr>
        <w:spacing w:after="0" w:line="29" w:lineRule="exact"/>
        <w:rPr>
          <w:sz w:val="20"/>
          <w:szCs w:val="20"/>
          <w:color w:val="auto"/>
        </w:rPr>
      </w:pPr>
    </w:p>
    <w:p>
      <w:pPr>
        <w:ind w:left="272" w:hanging="272"/>
        <w:spacing w:after="0"/>
        <w:tabs>
          <w:tab w:leader="none" w:pos="27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Reliance; Integration</w:t>
      </w:r>
      <w:r>
        <w:rPr>
          <w:rFonts w:ascii="Arial" w:cs="Arial" w:eastAsia="Arial" w:hAnsi="Arial"/>
          <w:sz w:val="18"/>
          <w:szCs w:val="18"/>
          <w:color w:val="auto"/>
        </w:rPr>
        <w:t>.</w:t>
      </w:r>
    </w:p>
    <w:p>
      <w:pPr>
        <w:spacing w:after="0" w:line="77" w:lineRule="exact"/>
        <w:rPr>
          <w:sz w:val="20"/>
          <w:szCs w:val="20"/>
          <w:color w:val="auto"/>
        </w:rPr>
      </w:pPr>
    </w:p>
    <w:p>
      <w:pPr>
        <w:ind w:left="-8" w:right="80" w:firstLine="8"/>
        <w:spacing w:after="0" w:line="229" w:lineRule="auto"/>
        <w:tabs>
          <w:tab w:leader="none" w:pos="2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and/or officer of the Company, and the Company acknowledges that Indemnitee is relying upon this Agreement in serving as a director and/or officer of the Company.</w:t>
      </w:r>
    </w:p>
    <w:p>
      <w:pPr>
        <w:spacing w:after="0" w:line="55" w:lineRule="exact"/>
        <w:rPr>
          <w:rFonts w:ascii="Arial" w:cs="Arial" w:eastAsia="Arial" w:hAnsi="Arial"/>
          <w:sz w:val="18"/>
          <w:szCs w:val="18"/>
          <w:color w:val="auto"/>
        </w:rPr>
      </w:pPr>
    </w:p>
    <w:p>
      <w:pPr>
        <w:ind w:left="-8" w:firstLine="8"/>
        <w:spacing w:after="0" w:line="235" w:lineRule="auto"/>
        <w:tabs>
          <w:tab w:leader="none" w:pos="2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54" w:lineRule="exact"/>
        <w:rPr>
          <w:sz w:val="20"/>
          <w:szCs w:val="20"/>
          <w:color w:val="auto"/>
        </w:rPr>
      </w:pPr>
    </w:p>
    <w:p>
      <w:pPr>
        <w:ind w:left="-8" w:right="240" w:firstLine="8"/>
        <w:spacing w:after="0" w:line="229"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a writing identified as such by each of the parties hereto. No waiver of any of the provisions of this Agreement shall be deemed or shall constitute a waiver of any other provisions hereof (whether or not similar) nor shall such waiver constitute a continuing waiver.</w:t>
      </w:r>
    </w:p>
    <w:p>
      <w:pPr>
        <w:spacing w:after="0" w:line="55" w:lineRule="exact"/>
        <w:rPr>
          <w:rFonts w:ascii="Arial" w:cs="Arial" w:eastAsia="Arial" w:hAnsi="Arial"/>
          <w:sz w:val="18"/>
          <w:szCs w:val="18"/>
          <w:color w:val="auto"/>
        </w:rPr>
      </w:pPr>
    </w:p>
    <w:p>
      <w:pPr>
        <w:ind w:left="-8" w:firstLine="8"/>
        <w:spacing w:after="0" w:line="223"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duly delivered: (i) upon receipt if delivered personally, (ii) one Business Day after it is sent by commercial overnight courier service, or (iii) by electronic mail (in which case, it will be effective on the day sent, or, if not a business day, on the immediately following business day) to the parties at the following addresses (or at such other address for a party as shall be specified by such party by like notice):</w:t>
      </w:r>
    </w:p>
    <w:p>
      <w:pPr>
        <w:spacing w:after="0" w:line="68" w:lineRule="exact"/>
        <w:rPr>
          <w:sz w:val="20"/>
          <w:szCs w:val="20"/>
          <w:color w:val="auto"/>
        </w:rPr>
      </w:pPr>
    </w:p>
    <w:p>
      <w:pPr>
        <w:ind w:left="-8" w:right="9520" w:firstLine="8"/>
        <w:spacing w:after="0" w:line="355" w:lineRule="auto"/>
        <w:tabs>
          <w:tab w:leader="none" w:pos="2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to Indemnitee, to: E-mail: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12"/>
          </w:cols>
          <w:pgMar w:left="328" w:top="1440" w:right="359" w:bottom="1440" w:gutter="0" w:footer="0" w:header="0"/>
        </w:sectPr>
      </w:pPr>
    </w:p>
    <w:bookmarkStart w:id="89" w:name="page90"/>
    <w:bookmarkEnd w:id="89"/>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 If to the Company, to: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203" w:lineRule="auto"/>
        <w:rPr>
          <w:sz w:val="20"/>
          <w:szCs w:val="20"/>
          <w:color w:val="auto"/>
        </w:rPr>
      </w:pPr>
      <w:r>
        <w:rPr>
          <w:rFonts w:ascii="Arial" w:cs="Arial" w:eastAsia="Arial" w:hAnsi="Arial"/>
          <w:sz w:val="18"/>
          <w:szCs w:val="18"/>
          <w:color w:val="auto"/>
        </w:rPr>
        <w:t>2503 S. Hanley Road</w:t>
      </w:r>
    </w:p>
    <w:p>
      <w:pPr>
        <w:spacing w:after="0" w:line="203" w:lineRule="auto"/>
        <w:rPr>
          <w:sz w:val="20"/>
          <w:szCs w:val="20"/>
          <w:color w:val="auto"/>
        </w:rPr>
      </w:pPr>
      <w:r>
        <w:rPr>
          <w:rFonts w:ascii="Arial" w:cs="Arial" w:eastAsia="Arial" w:hAnsi="Arial"/>
          <w:sz w:val="18"/>
          <w:szCs w:val="18"/>
          <w:color w:val="auto"/>
        </w:rPr>
        <w:t>St. Louis, MO 63144</w:t>
      </w:r>
    </w:p>
    <w:p>
      <w:pPr>
        <w:spacing w:after="0" w:line="220" w:lineRule="auto"/>
        <w:rPr>
          <w:sz w:val="20"/>
          <w:szCs w:val="20"/>
          <w:color w:val="auto"/>
        </w:rPr>
      </w:pPr>
      <w:r>
        <w:rPr>
          <w:rFonts w:ascii="Arial" w:cs="Arial" w:eastAsia="Arial" w:hAnsi="Arial"/>
          <w:sz w:val="18"/>
          <w:szCs w:val="18"/>
          <w:color w:val="auto"/>
        </w:rPr>
        <w:t>Attention: Craig Rosenthal</w:t>
      </w:r>
    </w:p>
    <w:p>
      <w:pPr>
        <w:spacing w:after="0"/>
        <w:rPr>
          <w:sz w:val="20"/>
          <w:szCs w:val="20"/>
          <w:color w:val="auto"/>
        </w:rPr>
      </w:pPr>
      <w:r>
        <w:rPr>
          <w:rFonts w:ascii="Arial" w:cs="Arial" w:eastAsia="Arial" w:hAnsi="Arial"/>
          <w:sz w:val="18"/>
          <w:szCs w:val="18"/>
          <w:color w:val="auto"/>
        </w:rPr>
        <w:t>E-mail: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Lewis Rice LLC</w:t>
      </w:r>
    </w:p>
    <w:p>
      <w:pPr>
        <w:spacing w:after="0" w:line="203" w:lineRule="auto"/>
        <w:rPr>
          <w:sz w:val="20"/>
          <w:szCs w:val="20"/>
          <w:color w:val="auto"/>
        </w:rPr>
      </w:pPr>
      <w:r>
        <w:rPr>
          <w:rFonts w:ascii="Arial" w:cs="Arial" w:eastAsia="Arial" w:hAnsi="Arial"/>
          <w:sz w:val="18"/>
          <w:szCs w:val="18"/>
          <w:color w:val="auto"/>
        </w:rPr>
        <w:t>600 Washington Avenue, Suite 2500</w:t>
      </w:r>
    </w:p>
    <w:p>
      <w:pPr>
        <w:spacing w:after="0" w:line="203" w:lineRule="auto"/>
        <w:rPr>
          <w:sz w:val="20"/>
          <w:szCs w:val="20"/>
          <w:color w:val="auto"/>
        </w:rPr>
      </w:pPr>
      <w:r>
        <w:rPr>
          <w:rFonts w:ascii="Arial" w:cs="Arial" w:eastAsia="Arial" w:hAnsi="Arial"/>
          <w:sz w:val="18"/>
          <w:szCs w:val="18"/>
          <w:color w:val="auto"/>
        </w:rPr>
        <w:t>St. Louis, MO 63101</w:t>
      </w:r>
    </w:p>
    <w:p>
      <w:pPr>
        <w:spacing w:after="0" w:line="220" w:lineRule="auto"/>
        <w:rPr>
          <w:sz w:val="20"/>
          <w:szCs w:val="20"/>
          <w:color w:val="auto"/>
        </w:rPr>
      </w:pPr>
      <w:r>
        <w:rPr>
          <w:rFonts w:ascii="Arial" w:cs="Arial" w:eastAsia="Arial" w:hAnsi="Arial"/>
          <w:sz w:val="18"/>
          <w:szCs w:val="18"/>
          <w:color w:val="auto"/>
        </w:rPr>
        <w:t>Attention: Tom W. Zook</w:t>
      </w:r>
    </w:p>
    <w:p>
      <w:pPr>
        <w:spacing w:after="0"/>
        <w:rPr>
          <w:sz w:val="20"/>
          <w:szCs w:val="20"/>
          <w:color w:val="auto"/>
        </w:rPr>
      </w:pPr>
      <w:r>
        <w:rPr>
          <w:rFonts w:ascii="Arial" w:cs="Arial" w:eastAsia="Arial" w:hAnsi="Arial"/>
          <w:sz w:val="18"/>
          <w:szCs w:val="18"/>
          <w:color w:val="auto"/>
        </w:rPr>
        <w:t>Email:</w:t>
      </w:r>
    </w:p>
    <w:p>
      <w:pPr>
        <w:spacing w:after="0" w:line="16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or to such other address as may have been furnished (in the manner prescribed above) as follows: (a) in the case of a change in address for notices to Indemnitee, furnished by Indemnitee to the Company and (b) in the case of a change in address for notices to the Company, furnished by the Company to</w:t>
      </w:r>
    </w:p>
    <w:p>
      <w:pPr>
        <w:spacing w:after="0"/>
        <w:rPr>
          <w:sz w:val="20"/>
          <w:szCs w:val="20"/>
          <w:color w:val="auto"/>
        </w:rPr>
      </w:pPr>
      <w:r>
        <w:rPr>
          <w:rFonts w:ascii="Arial" w:cs="Arial" w:eastAsia="Arial" w:hAnsi="Arial"/>
          <w:sz w:val="18"/>
          <w:szCs w:val="18"/>
          <w:color w:val="auto"/>
        </w:rPr>
        <w:t>Indemnitee.</w:t>
      </w:r>
    </w:p>
    <w:p>
      <w:pPr>
        <w:spacing w:after="0" w:line="61" w:lineRule="exact"/>
        <w:rPr>
          <w:sz w:val="20"/>
          <w:szCs w:val="20"/>
          <w:color w:val="auto"/>
        </w:rPr>
      </w:pPr>
    </w:p>
    <w:p>
      <w:pPr>
        <w:ind w:firstLine="8"/>
        <w:spacing w:after="0" w:line="242" w:lineRule="auto"/>
        <w:tabs>
          <w:tab w:leader="none" w:pos="27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Appointment of Agent for Service of Process</w:t>
      </w:r>
      <w:r>
        <w:rPr>
          <w:rFonts w:ascii="Arial" w:cs="Arial" w:eastAsia="Arial" w:hAnsi="Arial"/>
          <w:sz w:val="16"/>
          <w:szCs w:val="16"/>
          <w:color w:val="auto"/>
        </w:rPr>
        <w:t>. This Agreement and the legal relations among the parties shall, to the fullest extent permitted by Law,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Court of Chancery of the State of Delaware (the “</w:t>
      </w:r>
      <w:r>
        <w:rPr>
          <w:rFonts w:ascii="Arial" w:cs="Arial" w:eastAsia="Arial" w:hAnsi="Arial"/>
          <w:sz w:val="16"/>
          <w:szCs w:val="16"/>
          <w:u w:val="single" w:color="auto"/>
          <w:color w:val="auto"/>
        </w:rPr>
        <w:t>Designated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Designated Court for purposes of any action or proceeding arising out of or in connection with this Agreement, (iii) waive any objection to the laying of venue of any such action or proceeding in the Designated Court, and (iv) waive, and agree not to plead or to make, any claim that any such action or proceeding brought in the Designated Court has been brought in an improper or otherwise inconvenient forum.</w:t>
      </w:r>
    </w:p>
    <w:p>
      <w:pPr>
        <w:spacing w:after="0" w:line="68" w:lineRule="exact"/>
        <w:rPr>
          <w:rFonts w:ascii="Arial" w:cs="Arial" w:eastAsia="Arial" w:hAnsi="Arial"/>
          <w:sz w:val="16"/>
          <w:szCs w:val="16"/>
          <w:color w:val="auto"/>
        </w:rPr>
      </w:pPr>
    </w:p>
    <w:p>
      <w:pPr>
        <w:ind w:right="540" w:firstLine="8"/>
        <w:spacing w:after="0" w:line="235"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53" w:lineRule="exact"/>
        <w:rPr>
          <w:rFonts w:ascii="Arial" w:cs="Arial" w:eastAsia="Arial" w:hAnsi="Arial"/>
          <w:sz w:val="18"/>
          <w:szCs w:val="18"/>
          <w:color w:val="auto"/>
        </w:rPr>
      </w:pPr>
    </w:p>
    <w:p>
      <w:pPr>
        <w:ind w:right="20" w:firstLine="8"/>
        <w:spacing w:after="0" w:line="229"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consecutive counterparts (including by facsimile), each of which shall be an original, with the same effect as if the signatures thereto and hereto were upon the same instrument, and shall become effective when one or more counterparts have been signed by each of the parties and delivered (by telecopy or otherwise) to the other parties.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80"/>
          </w:cols>
          <w:pgMar w:left="320" w:top="1440" w:right="39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IN WITNESS WHEREOF, the parties hereto have executed this Agreement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tabs>
          <w:tab w:leader="none" w:pos="608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BELLRING BRANDS,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588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2871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[SIGNATURE PAGE – INDEMNIFICATION AGREEMENT]</w:t>
      </w:r>
    </w:p>
    <w:p>
      <w:pPr>
        <w:sectPr>
          <w:pgSz w:w="11900" w:h="16838" w:orient="portrait"/>
          <w:cols w:equalWidth="0" w:num="1">
            <w:col w:w="10139"/>
          </w:cols>
          <w:pgMar w:left="320" w:top="1408"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0" w:type="dxa"/>
            <w:vAlign w:val="bottom"/>
            <w:gridSpan w:val="3"/>
          </w:tcPr>
          <w:p>
            <w:pPr>
              <w:ind w:left="480"/>
              <w:spacing w:after="0"/>
              <w:rPr>
                <w:sz w:val="20"/>
                <w:szCs w:val="20"/>
                <w:color w:val="auto"/>
              </w:rPr>
            </w:pPr>
            <w:r>
              <w:rPr>
                <w:rFonts w:ascii="Arial" w:cs="Arial" w:eastAsia="Arial" w:hAnsi="Arial"/>
                <w:sz w:val="18"/>
                <w:szCs w:val="18"/>
                <w:b w:val="1"/>
                <w:bCs w:val="1"/>
                <w:color w:val="auto"/>
              </w:rPr>
              <w:t>SUBSIDIARIES OF BELLRING BRANDS, INC.</w:t>
            </w:r>
          </w:p>
        </w:tc>
      </w:tr>
      <w:tr>
        <w:trPr>
          <w:trHeight w:val="365"/>
        </w:trPr>
        <w:tc>
          <w:tcPr>
            <w:tcW w:w="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183"/>
        </w:trPr>
        <w:tc>
          <w:tcPr>
            <w:tcW w:w="3200" w:type="dxa"/>
            <w:vAlign w:val="bottom"/>
            <w:tcBorders>
              <w:left w:val="single" w:sz="8" w:color="auto"/>
            </w:tcBorders>
            <w:gridSpan w:val="2"/>
          </w:tcPr>
          <w:p>
            <w:pPr>
              <w:ind w:left="20"/>
              <w:spacing w:after="0" w:line="182" w:lineRule="exact"/>
              <w:rPr>
                <w:sz w:val="20"/>
                <w:szCs w:val="20"/>
                <w:color w:val="auto"/>
              </w:rPr>
            </w:pPr>
            <w:r>
              <w:rPr>
                <w:rFonts w:ascii="Arial" w:cs="Arial" w:eastAsia="Arial" w:hAnsi="Arial"/>
                <w:sz w:val="18"/>
                <w:szCs w:val="18"/>
                <w:b w:val="1"/>
                <w:bCs w:val="1"/>
                <w:color w:val="auto"/>
              </w:rPr>
              <w:t>Name</w:t>
            </w:r>
          </w:p>
        </w:tc>
        <w:tc>
          <w:tcPr>
            <w:tcW w:w="240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Jurisdiction of Incorporation / Formation</w:t>
            </w:r>
          </w:p>
        </w:tc>
      </w:tr>
      <w:tr>
        <w:trPr>
          <w:trHeight w:val="20"/>
        </w:trPr>
        <w:tc>
          <w:tcPr>
            <w:tcW w:w="4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Active Nutrition International GmbH</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Germany</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BellRing Brands,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BellRing Intermediate Holdings, Inc.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Dymatize Enterprises,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Premier Nutrition Canada, Inc.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Ontario, Canada</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Premier Nutrition Company,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Supreme Protein,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TA/DEI-A Acquisition Corp.</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00"/>
          </w:cols>
          <w:pgMar w:left="360" w:top="89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333-266656) and Form S-8 (No. 333-238306, No. 333-237494, No. 333-234290) of BellRing Brands, Inc. of our report dated November 21, 2023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21, 2023</w:t>
      </w:r>
    </w:p>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60"/>
              <w:spacing w:after="0"/>
              <w:rPr>
                <w:sz w:val="20"/>
                <w:szCs w:val="20"/>
                <w:color w:val="auto"/>
              </w:rPr>
            </w:pPr>
            <w:r>
              <w:rPr>
                <w:rFonts w:ascii="Arial" w:cs="Arial" w:eastAsia="Arial" w:hAnsi="Arial"/>
                <w:sz w:val="18"/>
                <w:szCs w:val="18"/>
                <w:color w:val="auto"/>
              </w:rPr>
              <w:t>November 21, 2023</w:t>
            </w:r>
          </w:p>
        </w:tc>
        <w:tc>
          <w:tcPr>
            <w:tcW w:w="4160" w:type="dxa"/>
            <w:vAlign w:val="bottom"/>
            <w:gridSpan w:val="2"/>
          </w:tcPr>
          <w:p>
            <w:pPr>
              <w:ind w:left="940"/>
              <w:spacing w:after="0"/>
              <w:rPr>
                <w:sz w:val="20"/>
                <w:szCs w:val="20"/>
                <w:color w:val="auto"/>
              </w:rPr>
            </w:pPr>
            <w:r>
              <w:rPr>
                <w:rFonts w:ascii="Arial" w:cs="Arial" w:eastAsia="Arial" w:hAnsi="Arial"/>
                <w:sz w:val="18"/>
                <w:szCs w:val="18"/>
                <w:color w:val="auto"/>
              </w:rPr>
              <w:t>By:  /s/ Darcy H. Davenport</w:t>
            </w:r>
          </w:p>
        </w:tc>
      </w:tr>
      <w:tr>
        <w:trPr>
          <w:trHeight w:val="222"/>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w w:val="93"/>
              </w:rPr>
              <w:t>President and Chief Executive Officer</w:t>
            </w:r>
          </w:p>
        </w:tc>
      </w:tr>
    </w:tbl>
    <w:p>
      <w:pPr>
        <w:sectPr>
          <w:pgSz w:w="11900" w:h="16838" w:orient="portrait"/>
          <w:cols w:equalWidth="0" w:num="1">
            <w:col w:w="11240"/>
          </w:cols>
          <w:pgMar w:left="320" w:top="89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40"/>
              <w:spacing w:after="0"/>
              <w:rPr>
                <w:sz w:val="20"/>
                <w:szCs w:val="20"/>
                <w:color w:val="auto"/>
              </w:rPr>
            </w:pPr>
            <w:r>
              <w:rPr>
                <w:rFonts w:ascii="Arial" w:cs="Arial" w:eastAsia="Arial" w:hAnsi="Arial"/>
                <w:sz w:val="18"/>
                <w:szCs w:val="18"/>
                <w:color w:val="auto"/>
              </w:rPr>
              <w:t>November 21, 2023</w:t>
            </w:r>
          </w:p>
        </w:tc>
        <w:tc>
          <w:tcPr>
            <w:tcW w:w="4200" w:type="dxa"/>
            <w:vAlign w:val="bottom"/>
            <w:gridSpan w:val="2"/>
          </w:tcPr>
          <w:p>
            <w:pPr>
              <w:ind w:left="980"/>
              <w:spacing w:after="0"/>
              <w:rPr>
                <w:sz w:val="20"/>
                <w:szCs w:val="20"/>
                <w:color w:val="auto"/>
              </w:rPr>
            </w:pPr>
            <w:r>
              <w:rPr>
                <w:rFonts w:ascii="Arial" w:cs="Arial" w:eastAsia="Arial" w:hAnsi="Arial"/>
                <w:sz w:val="18"/>
                <w:szCs w:val="18"/>
                <w:color w:val="auto"/>
              </w:rPr>
              <w:t>By:  /s/ Paul A. Rode</w:t>
            </w:r>
          </w:p>
        </w:tc>
      </w:tr>
      <w:tr>
        <w:trPr>
          <w:trHeight w:val="222"/>
        </w:trPr>
        <w:tc>
          <w:tcPr>
            <w:tcW w:w="5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his knowledge on the date hereof:</w:t>
      </w:r>
    </w:p>
    <w:p>
      <w:pPr>
        <w:spacing w:after="0" w:line="197" w:lineRule="exact"/>
        <w:rPr>
          <w:sz w:val="20"/>
          <w:szCs w:val="20"/>
          <w:color w:val="auto"/>
        </w:rPr>
      </w:pPr>
    </w:p>
    <w:p>
      <w:pPr>
        <w:ind w:left="660" w:right="860" w:hanging="652"/>
        <w:spacing w:after="0" w:line="342" w:lineRule="auto"/>
        <w:tabs>
          <w:tab w:leader="none" w:pos="39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2023,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1500" w:hanging="652"/>
        <w:spacing w:after="0" w:line="277" w:lineRule="auto"/>
        <w:tabs>
          <w:tab w:leader="none" w:pos="4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November 21, 2023</w:t>
            </w:r>
          </w:p>
        </w:tc>
        <w:tc>
          <w:tcPr>
            <w:tcW w:w="4300" w:type="dxa"/>
            <w:vAlign w:val="bottom"/>
            <w:gridSpan w:val="2"/>
          </w:tcPr>
          <w:p>
            <w:pPr>
              <w:ind w:left="920"/>
              <w:spacing w:after="0"/>
              <w:rPr>
                <w:sz w:val="20"/>
                <w:szCs w:val="20"/>
                <w:color w:val="auto"/>
              </w:rPr>
            </w:pPr>
            <w:r>
              <w:rPr>
                <w:rFonts w:ascii="Arial" w:cs="Arial" w:eastAsia="Arial" w:hAnsi="Arial"/>
                <w:sz w:val="18"/>
                <w:szCs w:val="18"/>
                <w:color w:val="auto"/>
              </w:rPr>
              <w:t>By:  /s/ Darcy H. Davenport</w:t>
            </w:r>
          </w:p>
        </w:tc>
      </w:tr>
      <w:tr>
        <w:trPr>
          <w:trHeight w:val="222"/>
        </w:trPr>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00" w:lineRule="exact"/>
        <w:rPr>
          <w:sz w:val="20"/>
          <w:szCs w:val="20"/>
          <w:color w:val="auto"/>
        </w:rPr>
      </w:pPr>
    </w:p>
    <w:p>
      <w:pPr>
        <w:spacing w:after="0" w:line="32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96" w:name="page97"/>
    <w:bookmarkEnd w:id="96"/>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80" w:hanging="652"/>
        <w:spacing w:after="0" w:line="342" w:lineRule="auto"/>
        <w:tabs>
          <w:tab w:leader="none" w:pos="39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2023,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720" w:hanging="652"/>
        <w:spacing w:after="0" w:line="277" w:lineRule="auto"/>
        <w:tabs>
          <w:tab w:leader="none" w:pos="4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160"/>
              <w:spacing w:after="0"/>
              <w:rPr>
                <w:sz w:val="20"/>
                <w:szCs w:val="20"/>
                <w:color w:val="auto"/>
              </w:rPr>
            </w:pPr>
            <w:r>
              <w:rPr>
                <w:rFonts w:ascii="Arial" w:cs="Arial" w:eastAsia="Arial" w:hAnsi="Arial"/>
                <w:sz w:val="18"/>
                <w:szCs w:val="18"/>
                <w:color w:val="auto"/>
              </w:rPr>
              <w:t>November 21, 2023</w:t>
            </w:r>
          </w:p>
        </w:tc>
        <w:tc>
          <w:tcPr>
            <w:tcW w:w="4240" w:type="dxa"/>
            <w:vAlign w:val="bottom"/>
            <w:gridSpan w:val="2"/>
          </w:tcPr>
          <w:p>
            <w:pPr>
              <w:ind w:left="880"/>
              <w:spacing w:after="0"/>
              <w:rPr>
                <w:sz w:val="20"/>
                <w:szCs w:val="20"/>
                <w:color w:val="auto"/>
              </w:rPr>
            </w:pPr>
            <w:r>
              <w:rPr>
                <w:rFonts w:ascii="Arial" w:cs="Arial" w:eastAsia="Arial" w:hAnsi="Arial"/>
                <w:sz w:val="18"/>
                <w:szCs w:val="18"/>
                <w:color w:val="auto"/>
              </w:rPr>
              <w:t>By:  /s/ Paul A. Rode</w:t>
            </w:r>
          </w:p>
        </w:tc>
      </w:tr>
      <w:tr>
        <w:trPr>
          <w:trHeight w:val="222"/>
        </w:trPr>
        <w:tc>
          <w:tcPr>
            <w:tcW w:w="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895"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lvl w:ilvl="1">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lowerRoman"/>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1)"/>
      <w:numFmt w:val="lowerRoman"/>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lowerRoman"/>
      <w:start w:val="2"/>
    </w:lvl>
  </w:abstractNum>
  <w:abstractNum w:abstractNumId="18">
    <w:nsid w:val="580BD78F"/>
    <w:multiLevelType w:val="hybridMultilevel"/>
    <w:lvl w:ilvl="0">
      <w:lvlJc w:val="left"/>
      <w:lvlText w:val="(%1)"/>
      <w:numFmt w:val="lowerRoman"/>
      <w:start w:val="2"/>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decimal"/>
      <w:start w:val="1"/>
    </w:lvl>
    <w:lvl w:ilvl="1">
      <w:lvlJc w:val="left"/>
      <w:lvlText w:val="•"/>
      <w:numFmt w:val="bullet"/>
      <w:start w:val="1"/>
    </w:lvl>
  </w:abstractNum>
  <w:abstractNum w:abstractNumId="22">
    <w:nsid w:val="6A2342EC"/>
    <w:multiLevelType w:val="hybridMultilevel"/>
    <w:lvl w:ilvl="0">
      <w:lvlJc w:val="left"/>
      <w:lvlText w:val="%1"/>
      <w:numFmt w:val="decimal"/>
      <w:start w:val="101"/>
    </w:lvl>
  </w:abstractNum>
  <w:abstractNum w:abstractNumId="23">
    <w:nsid w:val="2A487CB0"/>
    <w:multiLevelType w:val="hybridMultilevel"/>
    <w:lvl w:ilvl="0">
      <w:lvlJc w:val="left"/>
      <w:lvlText w:val="*"/>
      <w:numFmt w:val="bullet"/>
      <w:start w:val="1"/>
    </w:lvl>
    <w:lvl w:ilvl="1">
      <w:lvlJc w:val="left"/>
      <w:lvlText w:val="%2"/>
      <w:numFmt w:val="decimal"/>
      <w:start w:val="104"/>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decimal"/>
      <w:start w:val="3"/>
    </w:lvl>
  </w:abstractNum>
  <w:abstractNum w:abstractNumId="32">
    <w:nsid w:val="38437FDB"/>
    <w:multiLevelType w:val="hybridMultilevel"/>
    <w:lvl w:ilvl="0">
      <w:lvlJc w:val="left"/>
      <w:lvlText w:val="%1."/>
      <w:numFmt w:val="decimal"/>
      <w:start w:val="4"/>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Roman"/>
      <w:start w:val="1"/>
    </w:lvl>
    <w:lvl w:ilvl="1">
      <w:lvlJc w:val="left"/>
      <w:lvlText w:val="-"/>
      <w:numFmt w:val="bullet"/>
      <w:start w:val="1"/>
    </w:lvl>
  </w:abstractNum>
  <w:abstractNum w:abstractNumId="35">
    <w:nsid w:val="684A481A"/>
    <w:multiLevelType w:val="hybridMultilevel"/>
    <w:lvl w:ilvl="0">
      <w:lvlJc w:val="left"/>
      <w:lvlText w:val="(%1)"/>
      <w:numFmt w:val="lowerRoman"/>
      <w:start w:val="3"/>
    </w:lvl>
  </w:abstractNum>
  <w:abstractNum w:abstractNumId="36">
    <w:nsid w:val="579478FE"/>
    <w:multiLevelType w:val="hybridMultilevel"/>
    <w:lvl w:ilvl="0">
      <w:lvlJc w:val="left"/>
      <w:lvlText w:val="%1."/>
      <w:numFmt w:val="decimal"/>
      <w:start w:val="7"/>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decimal"/>
      <w:start w:val="8"/>
    </w:lvl>
  </w:abstractNum>
  <w:abstractNum w:abstractNumId="39">
    <w:nsid w:val="1BA026FA"/>
    <w:multiLevelType w:val="hybridMultilevel"/>
    <w:lvl w:ilvl="0">
      <w:lvlJc w:val="left"/>
      <w:lvlText w:val="(%1)"/>
      <w:numFmt w:val="lowerLetter"/>
      <w:start w:val="1"/>
    </w:lvl>
    <w:lvl w:ilvl="1">
      <w:lvlJc w:val="left"/>
      <w:lvlText w:val="-"/>
      <w:numFmt w:val="bullet"/>
      <w:start w:val="1"/>
    </w:lvl>
  </w:abstractNum>
  <w:abstractNum w:abstractNumId="40">
    <w:nsid w:val="79A1DEAA"/>
    <w:multiLevelType w:val="hybridMultilevel"/>
    <w:lvl w:ilvl="0">
      <w:lvlJc w:val="left"/>
      <w:lvlText w:val="(%1)"/>
      <w:numFmt w:val="lowerLetter"/>
      <w:start w:val="3"/>
    </w:lvl>
  </w:abstractNum>
  <w:abstractNum w:abstractNumId="41">
    <w:nsid w:val="75C6C33A"/>
    <w:multiLevelType w:val="hybridMultilevel"/>
    <w:lvl w:ilvl="0">
      <w:lvlJc w:val="left"/>
      <w:lvlText w:val="(%1)"/>
      <w:numFmt w:val="lowerRoman"/>
      <w:start w:val="1"/>
    </w:lvl>
  </w:abstractNum>
  <w:abstractNum w:abstractNumId="42">
    <w:nsid w:val="12E685FB"/>
    <w:multiLevelType w:val="hybridMultilevel"/>
    <w:lvl w:ilvl="0">
      <w:lvlJc w:val="left"/>
      <w:lvlText w:val="(%1)"/>
      <w:numFmt w:val="lowerLetter"/>
      <w:start w:val="4"/>
    </w:lvl>
    <w:lvl w:ilvl="1">
      <w:lvlJc w:val="left"/>
      <w:lvlText w:val="-"/>
      <w:numFmt w:val="bullet"/>
      <w:start w:val="1"/>
    </w:lvl>
  </w:abstractNum>
  <w:abstractNum w:abstractNumId="43">
    <w:nsid w:val="70C6A529"/>
    <w:multiLevelType w:val="hybridMultilevel"/>
    <w:lvl w:ilvl="0">
      <w:lvlJc w:val="left"/>
      <w:lvlText w:val="(%1)"/>
      <w:numFmt w:val="lowerLetter"/>
      <w:start w:val="6"/>
    </w:lvl>
  </w:abstractNum>
  <w:abstractNum w:abstractNumId="44">
    <w:nsid w:val="520EEDD1"/>
    <w:multiLevelType w:val="hybridMultilevel"/>
    <w:lvl w:ilvl="0">
      <w:lvlJc w:val="left"/>
      <w:lvlText w:val="(%1)"/>
      <w:numFmt w:val="lowerRoman"/>
      <w:start w:val="1"/>
    </w:lvl>
    <w:lvl w:ilvl="1">
      <w:lvlJc w:val="left"/>
      <w:lvlText w:val="-"/>
      <w:numFmt w:val="bullet"/>
      <w:start w:val="1"/>
    </w:lvl>
  </w:abstractNum>
  <w:abstractNum w:abstractNumId="45">
    <w:nsid w:val="374A3FE6"/>
    <w:multiLevelType w:val="hybridMultilevel"/>
    <w:lvl w:ilvl="0">
      <w:lvlJc w:val="left"/>
      <w:lvlText w:val="(%1)"/>
      <w:numFmt w:val="lowerRoman"/>
      <w:start w:val="3"/>
    </w:lvl>
  </w:abstractNum>
  <w:abstractNum w:abstractNumId="46">
    <w:nsid w:val="4F4EF005"/>
    <w:multiLevelType w:val="hybridMultilevel"/>
    <w:lvl w:ilvl="0">
      <w:lvlJc w:val="left"/>
      <w:lvlText w:val="%1."/>
      <w:numFmt w:val="decimal"/>
      <w:start w:val="11"/>
    </w:lvl>
  </w:abstractNum>
  <w:abstractNum w:abstractNumId="47">
    <w:nsid w:val="23F9C13C"/>
    <w:multiLevelType w:val="hybridMultilevel"/>
    <w:lvl w:ilvl="0">
      <w:lvlJc w:val="left"/>
      <w:lvlText w:val="(%1)"/>
      <w:numFmt w:val="lowerLetter"/>
      <w:start w:val="1"/>
    </w:lvl>
    <w:lvl w:ilvl="1">
      <w:lvlJc w:val="left"/>
      <w:lvlText w:val="-"/>
      <w:numFmt w:val="bullet"/>
      <w:start w:val="1"/>
    </w:lvl>
  </w:abstractNum>
  <w:abstractNum w:abstractNumId="48">
    <w:nsid w:val="649BB77C"/>
    <w:multiLevelType w:val="hybridMultilevel"/>
    <w:lvl w:ilvl="0">
      <w:lvlJc w:val="left"/>
      <w:lvlText w:val="%1."/>
      <w:numFmt w:val="decimal"/>
      <w:start w:val="12"/>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decimal"/>
      <w:start w:val="13"/>
    </w:lvl>
  </w:abstractNum>
  <w:abstractNum w:abstractNumId="51">
    <w:nsid w:val="1CF10FD8"/>
    <w:multiLevelType w:val="hybridMultilevel"/>
    <w:lvl w:ilvl="0">
      <w:lvlJc w:val="left"/>
      <w:lvlText w:val="(%1)"/>
      <w:numFmt w:val="lowerLetter"/>
      <w:start w:val="1"/>
    </w:lvl>
    <w:lvl w:ilvl="1">
      <w:lvlJc w:val="left"/>
      <w:lvlText w:val="-"/>
      <w:numFmt w:val="bullet"/>
      <w:start w:val="1"/>
    </w:lvl>
  </w:abstractNum>
  <w:abstractNum w:abstractNumId="52">
    <w:nsid w:val="180115BE"/>
    <w:multiLevelType w:val="hybridMultilevel"/>
    <w:lvl w:ilvl="0">
      <w:lvlJc w:val="left"/>
      <w:lvlText w:val="(%1)"/>
      <w:numFmt w:val="lowerLetter"/>
      <w:start w:val="6"/>
    </w:lvl>
  </w:abstractNum>
  <w:abstractNum w:abstractNumId="53">
    <w:nsid w:val="235BA861"/>
    <w:multiLevelType w:val="hybridMultilevel"/>
    <w:lvl w:ilvl="0">
      <w:lvlJc w:val="left"/>
      <w:lvlText w:val="%1."/>
      <w:numFmt w:val="decimal"/>
      <w:start w:val="16"/>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decimal"/>
      <w:start w:val="17"/>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decimal"/>
      <w:start w:val="19"/>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10"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91" Type="http://schemas.openxmlformats.org/officeDocument/2006/relationships/hyperlink" Target="http://www.sec.gov/Archives/edgar/data/1772016/000119312521308736/d232418dex21.htm" TargetMode="External"/><Relationship Id="rId92" Type="http://schemas.openxmlformats.org/officeDocument/2006/relationships/hyperlink" Target="http://www.sec.gov/Archives/edgar/data/1772016/000119312522055719/d405795dex21.htm" TargetMode="External"/><Relationship Id="rId93" Type="http://schemas.openxmlformats.org/officeDocument/2006/relationships/hyperlink" Target="http://www.sec.gov/Archives/edgar/data/1772016/000119312522072132/d319129dex31.htm" TargetMode="External"/><Relationship Id="rId94" Type="http://schemas.openxmlformats.org/officeDocument/2006/relationships/hyperlink" Target="http://www.sec.gov/Archives/edgar/data/1772016/000119312522072132/d319129dex32.htm" TargetMode="External"/><Relationship Id="rId95" Type="http://schemas.openxmlformats.org/officeDocument/2006/relationships/hyperlink" Target="http://www.sec.gov/Archives/edgar/data/1772016/000119312522072132/d319129dex41.htm" TargetMode="External"/><Relationship Id="rId96" Type="http://schemas.openxmlformats.org/officeDocument/2006/relationships/hyperlink" Target="http://www.sec.gov/Archives/edgar/data/1772016/000177201623000015/exhib101_brbr2019ltipamend.htm" TargetMode="External"/><Relationship Id="rId97" Type="http://schemas.openxmlformats.org/officeDocument/2006/relationships/hyperlink" Target="http://www.sec.gov/Archives/edgar/data/1772016/000177201622000039/ex102formofomnibusamendmen.htm" TargetMode="External"/><Relationship Id="rId98" Type="http://schemas.openxmlformats.org/officeDocument/2006/relationships/hyperlink" Target="http://www.sec.gov/Archives/edgar/data/1772016/000177201622000039/ex103formofomnibusamendmen.htm" TargetMode="External"/><Relationship Id="rId99" Type="http://schemas.openxmlformats.org/officeDocument/2006/relationships/hyperlink" Target="http://www.sec.gov/Archives/edgar/data/1772016/000177201622000039/ex104formofomnibusamendmen.htm" TargetMode="External"/><Relationship Id="rId100" Type="http://schemas.openxmlformats.org/officeDocument/2006/relationships/hyperlink" Target="http://www.sec.gov/Archives/edgar/data/1772016/000177201622000039/ex105formofbellringbrandsi.htm" TargetMode="External"/><Relationship Id="rId101" Type="http://schemas.openxmlformats.org/officeDocument/2006/relationships/hyperlink" Target="http://www.sec.gov/Archives/edgar/data/1772016/000177201622000039/ex106formofbellringbrandsi.htm" TargetMode="External"/><Relationship Id="rId102" Type="http://schemas.openxmlformats.org/officeDocument/2006/relationships/hyperlink" Target="http://www.sec.gov/Archives/edgar/data/1772016/000177201622000039/ex107amendedandrestatedloc.htm" TargetMode="External"/><Relationship Id="rId103" Type="http://schemas.openxmlformats.org/officeDocument/2006/relationships/hyperlink" Target="http://www.sec.gov/Archives/edgar/data/1772016/000177201622000039/ex108amendedbellringbrands.htm" TargetMode="External"/><Relationship Id="rId104" Type="http://schemas.openxmlformats.org/officeDocument/2006/relationships/hyperlink" Target="http://www.sec.gov/Archives/edgar/data/1772016/000177201622000039/ex109formseveranceandchang.htm" TargetMode="External"/><Relationship Id="rId105" Type="http://schemas.openxmlformats.org/officeDocument/2006/relationships/hyperlink" Target="http://www.sec.gov/Archives/edgar/data/1772016/000177201619000046/ex10-1brbrsrmgmtbonusprogr.htm" TargetMode="External"/><Relationship Id="rId106" Type="http://schemas.openxmlformats.org/officeDocument/2006/relationships/hyperlink" Target="http://www.sec.gov/Archives/edgar/data/1772016/000177201619000046/ex10-3formofnqsoagmt.htm" TargetMode="External"/><Relationship Id="rId107" Type="http://schemas.openxmlformats.org/officeDocument/2006/relationships/hyperlink" Target="http://www.sec.gov/Archives/edgar/data/1772016/000177201619000046/ex10-4formofdirectorrsuagmt.htm" TargetMode="External"/><Relationship Id="rId108" Type="http://schemas.openxmlformats.org/officeDocument/2006/relationships/hyperlink" Target="http://www.sec.gov/Archives/edgar/data/1772016/000119312522072132/d319129dex101.htm" TargetMode="External"/><Relationship Id="rId109" Type="http://schemas.openxmlformats.org/officeDocument/2006/relationships/hyperlink" Target="http://www.sec.gov/Archives/edgar/data/1772016/000177201623000060/ex1023amendtoarmasterservi.htm" TargetMode="External"/><Relationship Id="rId111" Type="http://schemas.openxmlformats.org/officeDocument/2006/relationships/hyperlink" Target="http://www.sec.gov/Archives/edgar/data/1772016/000119312522072132/d319129dex102.htm" TargetMode="External"/><Relationship Id="rId112" Type="http://schemas.openxmlformats.org/officeDocument/2006/relationships/hyperlink" Target="http://www.sec.gov/Archives/edgar/data/1772016/000119312522072132/d319129dex103.htm" TargetMode="External"/><Relationship Id="rId113" Type="http://schemas.openxmlformats.org/officeDocument/2006/relationships/hyperlink" Target="http://www.sec.gov/Archives/edgar/data/1772016/000119312522072132/d319129dex104.htm" TargetMode="External"/><Relationship Id="rId114" Type="http://schemas.openxmlformats.org/officeDocument/2006/relationships/hyperlink" Target="http://www.sec.gov/Archives/edgar/data/1772016/000119312519270862/d812149dex105.htm" TargetMode="External"/><Relationship Id="rId115" Type="http://schemas.openxmlformats.org/officeDocument/2006/relationships/hyperlink" Target="http://www.sec.gov/Archives/edgar/data/1772016/000119312522072132/d319129dex105.htm" TargetMode="External"/><Relationship Id="rId116" Type="http://schemas.openxmlformats.org/officeDocument/2006/relationships/hyperlink" Target="http://www.sec.gov/Archives/edgar/data/1772016/000177201623000060/ex1024fonterramastersupply.htm" TargetMode="External"/><Relationship Id="rId117" Type="http://schemas.openxmlformats.org/officeDocument/2006/relationships/hyperlink" Target="http://www.sec.gov/Archives/edgar/data/1772016/000177201623000060/ex1025fonterramasterpurcha.htm" TargetMode="External"/><Relationship Id="rId118" Type="http://schemas.openxmlformats.org/officeDocument/2006/relationships/hyperlink" Target="http://www.sec.gov/Archives/edgar/data/1772016/000177201623000015/exhib1022_stremicksmanuf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2023-11-21T12:00:52Z</dcterms:created>
  <dcterms:modified xsi:type="dcterms:W3CDTF">2023-11-21T12:00:52Z</dcterms:modified>
</cp:coreProperties>
</file>