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370840</wp:posOffset>
            </wp:positionH>
            <wp:positionV relativeFrom="page">
              <wp:posOffset>852170</wp:posOffset>
            </wp:positionV>
            <wp:extent cx="60947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page">
              <wp:posOffset>370840</wp:posOffset>
            </wp:positionH>
            <wp:positionV relativeFrom="page">
              <wp:posOffset>877570</wp:posOffset>
            </wp:positionV>
            <wp:extent cx="6094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94730" cy="889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4440"/>
        <w:spacing w:after="0"/>
        <w:rPr>
          <w:sz w:val="20"/>
          <w:szCs w:val="20"/>
          <w:color w:val="auto"/>
        </w:rPr>
      </w:pPr>
      <w:r>
        <w:rPr>
          <w:rFonts w:ascii="Arial" w:cs="Arial" w:eastAsia="Arial" w:hAnsi="Arial"/>
          <w:sz w:val="22"/>
          <w:szCs w:val="22"/>
          <w:color w:val="auto"/>
        </w:rPr>
        <w:t>______________________</w:t>
      </w:r>
    </w:p>
    <w:p>
      <w:pPr>
        <w:spacing w:after="0" w:line="74"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321"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Securities Exchange Act of 1934</w:t>
      </w:r>
    </w:p>
    <w:p>
      <w:pPr>
        <w:spacing w:after="0" w:line="15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Date of Report (Date of earliest event reported): February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117475</wp:posOffset>
            </wp:positionV>
            <wp:extent cx="1499870" cy="762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7626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159"/>
        <w:spacing w:after="0"/>
        <w:rPr>
          <w:sz w:val="20"/>
          <w:szCs w:val="20"/>
          <w:color w:val="auto"/>
        </w:rPr>
      </w:pPr>
      <w:r>
        <w:rPr>
          <w:rFonts w:ascii="Arial" w:cs="Arial" w:eastAsia="Arial" w:hAnsi="Arial"/>
          <w:sz w:val="36"/>
          <w:szCs w:val="36"/>
          <w:b w:val="1"/>
          <w:bCs w:val="1"/>
          <w:color w:val="auto"/>
        </w:rPr>
        <w:t>BellRing Brands, Inc.</w:t>
      </w:r>
    </w:p>
    <w:p>
      <w:pPr>
        <w:spacing w:after="0" w:line="15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1440" w:right="499" w:bottom="1440" w:gutter="0" w:footer="0" w:header="0"/>
        </w:sectPr>
      </w:pPr>
    </w:p>
    <w:p>
      <w:pPr>
        <w:spacing w:after="0" w:line="41"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1680"/>
        <w:spacing w:after="0"/>
        <w:rPr>
          <w:sz w:val="20"/>
          <w:szCs w:val="20"/>
          <w:color w:val="auto"/>
        </w:rPr>
      </w:pPr>
      <w:r>
        <w:rPr>
          <w:rFonts w:ascii="Arial" w:cs="Arial" w:eastAsia="Arial" w:hAnsi="Arial"/>
          <w:sz w:val="16"/>
          <w:szCs w:val="16"/>
          <w:b w:val="1"/>
          <w:bCs w:val="1"/>
          <w:color w:val="auto"/>
        </w:rPr>
        <w:t>001-39093</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2380"/>
        <w:spacing w:after="0"/>
        <w:rPr>
          <w:sz w:val="20"/>
          <w:szCs w:val="20"/>
          <w:color w:val="auto"/>
        </w:rPr>
      </w:pPr>
      <w:r>
        <w:rPr>
          <w:rFonts w:ascii="Arial" w:cs="Arial" w:eastAsia="Arial" w:hAnsi="Arial"/>
          <w:sz w:val="16"/>
          <w:szCs w:val="16"/>
          <w:b w:val="1"/>
          <w:bCs w:val="1"/>
          <w:color w:val="auto"/>
        </w:rPr>
        <w:t>83-4096323</w:t>
      </w:r>
    </w:p>
    <w:p>
      <w:pPr>
        <w:spacing w:after="0" w:line="71" w:lineRule="exact"/>
        <w:rPr>
          <w:sz w:val="24"/>
          <w:szCs w:val="24"/>
          <w:color w:val="auto"/>
        </w:rPr>
      </w:pPr>
    </w:p>
    <w:p>
      <w:pPr>
        <w:sectPr>
          <w:pgSz w:w="11900" w:h="16838" w:orient="portrait"/>
          <w:cols w:equalWidth="0" w:num="3">
            <w:col w:w="3780" w:space="720"/>
            <w:col w:w="2540" w:space="720"/>
            <w:col w:w="3320"/>
          </w:cols>
          <w:pgMar w:left="320" w:top="1440" w:right="499" w:bottom="1440" w:gutter="0" w:footer="0" w:header="0"/>
          <w:type w:val="continuous"/>
        </w:sectPr>
      </w:pPr>
    </w:p>
    <w:p>
      <w:pPr>
        <w:ind w:left="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220" w:space="720"/>
            <w:col w:w="2340" w:space="720"/>
            <w:col w:w="4080"/>
          </w:cols>
          <w:pgMar w:left="320" w:top="1440" w:right="499" w:bottom="1440" w:gutter="0" w:footer="0" w:header="0"/>
          <w:type w:val="continuous"/>
        </w:sectPr>
      </w:pPr>
    </w:p>
    <w:p>
      <w:pPr>
        <w:spacing w:after="0" w:line="170" w:lineRule="exact"/>
        <w:rPr>
          <w:sz w:val="24"/>
          <w:szCs w:val="24"/>
          <w:color w:val="auto"/>
        </w:rPr>
      </w:pPr>
    </w:p>
    <w:p>
      <w:pPr>
        <w:ind w:left="760"/>
        <w:spacing w:after="0"/>
        <w:rPr>
          <w:sz w:val="20"/>
          <w:szCs w:val="20"/>
          <w:color w:val="auto"/>
        </w:rPr>
      </w:pPr>
      <w:r>
        <w:rPr>
          <w:rFonts w:ascii="Arial" w:cs="Arial" w:eastAsia="Arial" w:hAnsi="Arial"/>
          <w:sz w:val="16"/>
          <w:szCs w:val="16"/>
          <w:b w:val="1"/>
          <w:bCs w:val="1"/>
          <w:color w:val="auto"/>
        </w:rPr>
        <w:t>2503 S. Hanley Road</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St. Louis</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63144</w:t>
      </w:r>
    </w:p>
    <w:p>
      <w:pPr>
        <w:spacing w:after="0" w:line="72" w:lineRule="exact"/>
        <w:rPr>
          <w:sz w:val="24"/>
          <w:szCs w:val="24"/>
          <w:color w:val="auto"/>
        </w:rPr>
      </w:pPr>
    </w:p>
    <w:p>
      <w:pPr>
        <w:sectPr>
          <w:pgSz w:w="11900" w:h="16838" w:orient="portrait"/>
          <w:cols w:equalWidth="0" w:num="4">
            <w:col w:w="3080" w:space="720"/>
            <w:col w:w="940" w:space="720"/>
            <w:col w:w="1800" w:space="720"/>
            <w:col w:w="3100"/>
          </w:cols>
          <w:pgMar w:left="320" w:top="1440" w:right="49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40" w:lineRule="exact"/>
        <w:rPr>
          <w:sz w:val="24"/>
          <w:szCs w:val="24"/>
          <w:color w:val="auto"/>
        </w:rPr>
      </w:pPr>
    </w:p>
    <w:p>
      <w:pPr>
        <w:sectPr>
          <w:pgSz w:w="11900" w:h="16838" w:orient="portrait"/>
          <w:cols w:equalWidth="0" w:num="2">
            <w:col w:w="7120" w:space="720"/>
            <w:col w:w="3240"/>
          </w:cols>
          <w:pgMar w:left="320" w:top="1440" w:right="499" w:bottom="1440" w:gutter="0" w:footer="0" w:header="0"/>
          <w:type w:val="continuous"/>
        </w:sect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9"/>
          <w:szCs w:val="19"/>
          <w:b w:val="1"/>
          <w:bCs w:val="1"/>
          <w:color w:val="auto"/>
        </w:rPr>
        <w:t>(314) 644-7600</w:t>
      </w:r>
    </w:p>
    <w:p>
      <w:pPr>
        <w:spacing w:after="0" w:line="19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 w:lineRule="exact"/>
        <w:rPr>
          <w:sz w:val="24"/>
          <w:szCs w:val="24"/>
          <w:color w:val="auto"/>
        </w:rPr>
      </w:pPr>
    </w:p>
    <w:tbl>
      <w:tblPr>
        <w:tblLayout w:type="fixed"/>
        <w:tblInd w:w="1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2680" w:type="dxa"/>
            <w:vAlign w:val="bottom"/>
            <w:gridSpan w:val="2"/>
          </w:tcPr>
          <w:p>
            <w:pPr>
              <w:jc w:val="center"/>
              <w:ind w:right="1380"/>
              <w:spacing w:after="0"/>
              <w:rPr>
                <w:sz w:val="20"/>
                <w:szCs w:val="20"/>
                <w:color w:val="auto"/>
              </w:rPr>
            </w:pPr>
            <w:r>
              <w:rPr>
                <w:rFonts w:ascii="Arial" w:cs="Arial" w:eastAsia="Arial" w:hAnsi="Arial"/>
                <w:sz w:val="18"/>
                <w:szCs w:val="18"/>
                <w:color w:val="auto"/>
                <w:w w:val="90"/>
              </w:rPr>
              <w:t>Title of each class</w:t>
            </w:r>
          </w:p>
        </w:tc>
        <w:tc>
          <w:tcPr>
            <w:tcW w:w="212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Trading Symbol(s)</w:t>
            </w:r>
          </w:p>
        </w:tc>
        <w:tc>
          <w:tcPr>
            <w:tcW w:w="358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196"/>
        </w:trPr>
        <w:tc>
          <w:tcPr>
            <w:tcW w:w="3720" w:type="dxa"/>
            <w:vAlign w:val="bottom"/>
            <w:gridSpan w:val="3"/>
          </w:tcPr>
          <w:p>
            <w:pPr>
              <w:jc w:val="center"/>
              <w:ind w:right="340"/>
              <w:spacing w:after="0" w:line="196" w:lineRule="exact"/>
              <w:rPr>
                <w:sz w:val="20"/>
                <w:szCs w:val="20"/>
                <w:color w:val="auto"/>
              </w:rPr>
            </w:pPr>
            <w:r>
              <w:rPr>
                <w:rFonts w:ascii="Arial" w:cs="Arial" w:eastAsia="Arial" w:hAnsi="Arial"/>
                <w:sz w:val="18"/>
                <w:szCs w:val="18"/>
                <w:b w:val="1"/>
                <w:bCs w:val="1"/>
                <w:color w:val="auto"/>
                <w:w w:val="90"/>
              </w:rPr>
              <w:t>Class A Common Stock, $0.01 par value per</w:t>
            </w:r>
          </w:p>
        </w:tc>
        <w:tc>
          <w:tcPr>
            <w:tcW w:w="340" w:type="dxa"/>
            <w:vAlign w:val="bottom"/>
          </w:tcPr>
          <w:p>
            <w:pPr>
              <w:spacing w:after="0"/>
              <w:rPr>
                <w:sz w:val="17"/>
                <w:szCs w:val="17"/>
                <w:color w:val="auto"/>
              </w:rPr>
            </w:pPr>
          </w:p>
        </w:tc>
        <w:tc>
          <w:tcPr>
            <w:tcW w:w="1780" w:type="dxa"/>
            <w:vAlign w:val="bottom"/>
            <w:gridSpan w:val="2"/>
          </w:tcPr>
          <w:p>
            <w:pPr>
              <w:jc w:val="center"/>
              <w:ind w:right="400"/>
              <w:spacing w:after="0" w:line="196" w:lineRule="exact"/>
              <w:rPr>
                <w:sz w:val="20"/>
                <w:szCs w:val="20"/>
                <w:color w:val="auto"/>
              </w:rPr>
            </w:pPr>
            <w:r>
              <w:rPr>
                <w:rFonts w:ascii="Arial" w:cs="Arial" w:eastAsia="Arial" w:hAnsi="Arial"/>
                <w:sz w:val="18"/>
                <w:szCs w:val="18"/>
                <w:b w:val="1"/>
                <w:bCs w:val="1"/>
                <w:color w:val="auto"/>
                <w:w w:val="96"/>
              </w:rPr>
              <w:t>BRBR</w:t>
            </w:r>
          </w:p>
        </w:tc>
        <w:tc>
          <w:tcPr>
            <w:tcW w:w="400" w:type="dxa"/>
            <w:vAlign w:val="bottom"/>
          </w:tcPr>
          <w:p>
            <w:pPr>
              <w:spacing w:after="0"/>
              <w:rPr>
                <w:sz w:val="17"/>
                <w:szCs w:val="17"/>
                <w:color w:val="auto"/>
              </w:rPr>
            </w:pPr>
          </w:p>
        </w:tc>
        <w:tc>
          <w:tcPr>
            <w:tcW w:w="318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1040" w:type="dxa"/>
            <w:vAlign w:val="bottom"/>
          </w:tcPr>
          <w:p>
            <w:pPr>
              <w:spacing w:after="0"/>
              <w:rPr>
                <w:sz w:val="20"/>
                <w:szCs w:val="20"/>
                <w:color w:val="auto"/>
              </w:rPr>
            </w:pPr>
          </w:p>
        </w:tc>
        <w:tc>
          <w:tcPr>
            <w:tcW w:w="2680" w:type="dxa"/>
            <w:vAlign w:val="bottom"/>
            <w:gridSpan w:val="2"/>
          </w:tcPr>
          <w:p>
            <w:pPr>
              <w:jc w:val="center"/>
              <w:ind w:right="1380"/>
              <w:spacing w:after="0"/>
              <w:rPr>
                <w:sz w:val="20"/>
                <w:szCs w:val="20"/>
                <w:color w:val="auto"/>
              </w:rPr>
            </w:pPr>
            <w:r>
              <w:rPr>
                <w:rFonts w:ascii="Arial" w:cs="Arial" w:eastAsia="Arial" w:hAnsi="Arial"/>
                <w:sz w:val="18"/>
                <w:szCs w:val="18"/>
                <w:b w:val="1"/>
                <w:bCs w:val="1"/>
                <w:color w:val="auto"/>
                <w:w w:val="87"/>
              </w:rPr>
              <w:t>share</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89"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1110615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219075</wp:posOffset>
            </wp:positionV>
            <wp:extent cx="6026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2615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245110</wp:posOffset>
            </wp:positionV>
            <wp:extent cx="6026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4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On February 26, 2021, BellRing Brands, LLC (“BellRing LLC”), a subsidiary of BellRing Brands, Inc., (the "Company") entered into an Amendment No. 2 to Credit Agreement (the “Amendment”) by and among BellRing LLC, Credit Suisse AG, Cayman Islands Branch, as administrative agent, each Lender party thereto designated as a “2021 Refinancing Term Lender” (as defined in the Amendment), each Revolving Credit Lender (as defined in the Credit Agreement referred to below), and each of BellRing LLC’s subsidiary guarantors.</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The Amendment amends the Credit Agreement (as previously amended, the “Credit Agreement”) dated as of October 21, 2019 by and among BellRing LLC, certain lenders, Credit Suisse Loan Funding LLC, BofA Securities, Inc., Morgan Stanley Senior Funding, Inc., Barclays Bank PLC, Citibank, N.A., Goldman Sachs Bank USA and JPMorgan Chase Bank, N.A., as joint lead arrangers and joint bookrunners, BMO Capital Markets Corp., Coöperatieve Rabobank U.A., New York Branch, Nomura Securities International, Inc., Truist Securities, Inc. (successor to SunTrust Robinson Humphrey, Inc.), UBS Securities LLC and Wells Fargo Securities, LLC, as co-managers, and Credit Suisse AG, Cayman Islands Branch, as administrative agent for the lenders.</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Amendment provides for the refinancing of BellRing LLC’s existing term loan under the Credit Agreement (the “Term Loan”) on substantially the same terms as currently in effect, except as described below. The Amendment:</w:t>
      </w:r>
    </w:p>
    <w:p>
      <w:pPr>
        <w:spacing w:after="0" w:line="204" w:lineRule="exact"/>
        <w:rPr>
          <w:sz w:val="20"/>
          <w:szCs w:val="20"/>
          <w:color w:val="auto"/>
        </w:rPr>
      </w:pPr>
    </w:p>
    <w:p>
      <w:pPr>
        <w:jc w:val="both"/>
        <w:ind w:left="660" w:hanging="328"/>
        <w:spacing w:after="0" w:line="234"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reduces the interest rate margin for the Term Loan by 100 basis points, resulting in (A) for Eurodollar Rate Loans (as defined in the Credit Agreement), an interest rate of the Eurodollar Rate (as defined in the Credit Agreement) plus a margin of 4.00% and (B) for Base Rate Loans (as defined in the Credit Agreement), an interest rate of the Base Rate (as defined in the Credit Agreement) plus a margin of 3.00%;</w:t>
      </w:r>
    </w:p>
    <w:p>
      <w:pPr>
        <w:spacing w:after="0" w:line="75"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with respect to the Term Loan, reduces the floor for the Eurodollar Rate from 1.00% to 0.75%;</w:t>
      </w:r>
    </w:p>
    <w:p>
      <w:pPr>
        <w:spacing w:after="0" w:line="94" w:lineRule="exact"/>
        <w:rPr>
          <w:rFonts w:ascii="Arial" w:cs="Arial" w:eastAsia="Arial" w:hAnsi="Arial"/>
          <w:sz w:val="20"/>
          <w:szCs w:val="20"/>
          <w:color w:val="auto"/>
        </w:rPr>
      </w:pPr>
    </w:p>
    <w:p>
      <w:pPr>
        <w:ind w:left="660" w:hanging="328"/>
        <w:spacing w:after="0" w:line="246"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modifies the Credit Agreement to address the anticipated unavailability of LIBOR (used in the determination of the Eurodollar Rate under the Credit Agreement) as a reference interest rate; and</w:t>
      </w:r>
    </w:p>
    <w:p>
      <w:pPr>
        <w:spacing w:after="0" w:line="68" w:lineRule="exact"/>
        <w:rPr>
          <w:rFonts w:ascii="Arial" w:cs="Arial" w:eastAsia="Arial" w:hAnsi="Arial"/>
          <w:sz w:val="20"/>
          <w:szCs w:val="20"/>
          <w:color w:val="auto"/>
        </w:rPr>
      </w:pPr>
    </w:p>
    <w:p>
      <w:pPr>
        <w:jc w:val="both"/>
        <w:ind w:left="660" w:hanging="328"/>
        <w:spacing w:after="0" w:line="275" w:lineRule="auto"/>
        <w:tabs>
          <w:tab w:leader="none" w:pos="648"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provides that if on or before August 26, 2021 either (i) the Term Loan is prepaid in whole or in part using the proceeds of new or replacement debt with a lower effective interest rate, or (ii) the Credit Agreement is amended to reduce the effective interest rate applicable to the Term Loan, BellRing LLC must pay a 1% premium on the amount repaid or subject to the interest rate reduction.</w:t>
      </w:r>
    </w:p>
    <w:p>
      <w:pPr>
        <w:spacing w:after="0" w:line="17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maturity date for the Term Loan and for BellRing LLC’s revolving credit facility under the Credit Agreement remains October 21, 2024, and all other material provisions of the Credit Agreement remain unchanged. After giving effect to the Amendment, the principal amount outstanding under the term loan remained at $636.2 million, and the aggregate principal amount that BellRing may draw under the revolving credit facility remained at $200.0 million.</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foregoing description of the Amendment does not purport to be complete and is qualified in its entirety by reference to the Amendment, which is filed as Exhibit 10.1 hereto. The representations and warranties contained in the Amendment were made only for purposes of the Amendment and as of the dates specified therein; were solely for the benefit of the parties to the Amendment; and may be subject to standards of materiality applicable to the contracting parties that differ from those applicable to investors. Investors should not rely on the representations and warranties or any description thereof as characterizations of the actual state of facts or condition of the Company, BellRing LLC or its subsidiaries. Moreover, information concerning the subject matter of the representations and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870585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rPr>
          <w:sz w:val="20"/>
          <w:szCs w:val="20"/>
          <w:color w:val="auto"/>
        </w:rPr>
      </w:pPr>
      <w:r>
        <w:rPr>
          <w:rFonts w:ascii="Arial" w:cs="Arial" w:eastAsia="Arial" w:hAnsi="Arial"/>
          <w:sz w:val="19"/>
          <w:szCs w:val="19"/>
          <w:color w:val="auto"/>
        </w:rPr>
        <w:t>may change after the date of the Amendment, which subsequent information may or may not be fully reflected in public disclosures.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A copy of a press release issued in connection with the Amendment is attached hereto as Exhibit 99.1.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 disclosure under Item 1.01 of this Form 8-K is incorporated into this Item 2.03 by this reference.</w:t>
      </w:r>
    </w:p>
    <w:p>
      <w:pPr>
        <w:spacing w:after="0" w:line="223"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(d) Exhibits</w:t>
            </w:r>
          </w:p>
        </w:tc>
        <w:tc>
          <w:tcPr>
            <w:tcW w:w="8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8980" w:type="dxa"/>
            <w:vAlign w:val="bottom"/>
            <w:gridSpan w:val="8"/>
          </w:tcPr>
          <w:p>
            <w:pPr>
              <w:spacing w:after="0"/>
              <w:rPr>
                <w:sz w:val="20"/>
                <w:szCs w:val="20"/>
                <w:color w:val="auto"/>
              </w:rPr>
            </w:pPr>
            <w:r>
              <w:rPr>
                <w:rFonts w:ascii="Arial" w:cs="Arial" w:eastAsia="Arial" w:hAnsi="Arial"/>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400" w:type="dxa"/>
            <w:vAlign w:val="bottom"/>
          </w:tcPr>
          <w:p>
            <w:pPr>
              <w:spacing w:after="0"/>
              <w:rPr>
                <w:sz w:val="24"/>
                <w:szCs w:val="24"/>
                <w:color w:val="auto"/>
              </w:rPr>
            </w:pPr>
          </w:p>
        </w:tc>
        <w:tc>
          <w:tcPr>
            <w:tcW w:w="8980" w:type="dxa"/>
            <w:vAlign w:val="bottom"/>
            <w:gridSpan w:val="8"/>
          </w:tcPr>
          <w:p>
            <w:pPr>
              <w:spacing w:after="0"/>
              <w:rPr>
                <w:rFonts w:ascii="Arial" w:cs="Arial" w:eastAsia="Arial" w:hAnsi="Arial"/>
                <w:sz w:val="18"/>
                <w:szCs w:val="18"/>
                <w:color w:val="0000FF"/>
                <w:w w:val="99"/>
              </w:rPr>
            </w:pPr>
            <w:hyperlink w:anchor="page5">
              <w:r>
                <w:rPr>
                  <w:rFonts w:ascii="Arial" w:cs="Arial" w:eastAsia="Arial" w:hAnsi="Arial"/>
                  <w:sz w:val="18"/>
                  <w:szCs w:val="18"/>
                  <w:u w:val="single" w:color="auto"/>
                  <w:color w:val="0000FF"/>
                  <w:w w:val="99"/>
                </w:rPr>
                <w:t>Amendment No. 2 to Credit Agreement, dated as of February 26, 2021,</w:t>
              </w:r>
              <w:r>
                <w:rPr>
                  <w:rFonts w:ascii="Arial" w:cs="Arial" w:eastAsia="Arial" w:hAnsi="Arial"/>
                  <w:sz w:val="18"/>
                  <w:szCs w:val="18"/>
                  <w:color w:val="0000FF"/>
                  <w:w w:val="99"/>
                </w:rPr>
                <w:t xml:space="preserve"> by and among BellRing Brands, LLC, the</w:t>
              </w:r>
            </w:hyperlink>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980" w:type="dxa"/>
            <w:vAlign w:val="bottom"/>
            <w:gridSpan w:val="8"/>
          </w:tcPr>
          <w:p>
            <w:pPr>
              <w:spacing w:after="0" w:line="182" w:lineRule="exact"/>
              <w:rPr>
                <w:rFonts w:ascii="Arial" w:cs="Arial" w:eastAsia="Arial" w:hAnsi="Arial"/>
                <w:sz w:val="18"/>
                <w:szCs w:val="18"/>
                <w:color w:val="0000FF"/>
                <w:w w:val="94"/>
              </w:rPr>
            </w:pPr>
            <w:hyperlink w:anchor="page5">
              <w:r>
                <w:rPr>
                  <w:rFonts w:ascii="Arial" w:cs="Arial" w:eastAsia="Arial" w:hAnsi="Arial"/>
                  <w:sz w:val="18"/>
                  <w:szCs w:val="18"/>
                  <w:color w:val="0000FF"/>
                  <w:w w:val="94"/>
                </w:rPr>
                <w:t xml:space="preserve">institutions party thereto as 2021 Refinancing Term Lenders, </w:t>
              </w:r>
              <w:r>
                <w:rPr>
                  <w:rFonts w:ascii="Arial" w:cs="Arial" w:eastAsia="Arial" w:hAnsi="Arial"/>
                  <w:sz w:val="18"/>
                  <w:szCs w:val="18"/>
                  <w:u w:val="single" w:color="auto"/>
                  <w:color w:val="0000FF"/>
                  <w:w w:val="94"/>
                </w:rPr>
                <w:t>each Revolving Credit Lender,</w:t>
              </w:r>
              <w:r>
                <w:rPr>
                  <w:rFonts w:ascii="Arial" w:cs="Arial" w:eastAsia="Arial" w:hAnsi="Arial"/>
                  <w:sz w:val="18"/>
                  <w:szCs w:val="18"/>
                  <w:color w:val="0000FF"/>
                  <w:w w:val="94"/>
                </w:rPr>
                <w:t xml:space="preserve"> Credit Suisse AG, Cayman</w:t>
              </w:r>
            </w:hyperlink>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360" w:type="dxa"/>
            <w:vAlign w:val="bottom"/>
            <w:tcBorders>
              <w:top w:val="single" w:sz="8" w:color="0000FF"/>
            </w:tcBorders>
            <w:gridSpan w:val="2"/>
          </w:tcPr>
          <w:p>
            <w:pPr>
              <w:spacing w:after="0" w:line="182" w:lineRule="exact"/>
              <w:rPr>
                <w:rFonts w:ascii="Arial" w:cs="Arial" w:eastAsia="Arial" w:hAnsi="Arial"/>
                <w:sz w:val="18"/>
                <w:szCs w:val="18"/>
                <w:color w:val="0000FF"/>
                <w:w w:val="92"/>
              </w:rPr>
            </w:pPr>
            <w:hyperlink w:anchor="page5">
              <w:r>
                <w:rPr>
                  <w:rFonts w:ascii="Arial" w:cs="Arial" w:eastAsia="Arial" w:hAnsi="Arial"/>
                  <w:sz w:val="18"/>
                  <w:szCs w:val="18"/>
                  <w:color w:val="0000FF"/>
                  <w:w w:val="92"/>
                </w:rPr>
                <w:t>Islands Branch, as administrative agent, and the subsidiary</w:t>
              </w:r>
            </w:hyperlink>
          </w:p>
        </w:tc>
        <w:tc>
          <w:tcPr>
            <w:tcW w:w="2260" w:type="dxa"/>
            <w:vAlign w:val="bottom"/>
            <w:gridSpan w:val="3"/>
          </w:tcPr>
          <w:p>
            <w:pPr>
              <w:spacing w:after="0" w:line="182" w:lineRule="exact"/>
              <w:rPr>
                <w:rFonts w:ascii="Arial" w:cs="Arial" w:eastAsia="Arial" w:hAnsi="Arial"/>
                <w:sz w:val="18"/>
                <w:szCs w:val="18"/>
                <w:color w:val="0000FF"/>
                <w:w w:val="91"/>
              </w:rPr>
            </w:pPr>
            <w:hyperlink w:anchor="page5">
              <w:r>
                <w:rPr>
                  <w:rFonts w:ascii="Arial" w:cs="Arial" w:eastAsia="Arial" w:hAnsi="Arial"/>
                  <w:sz w:val="18"/>
                  <w:szCs w:val="18"/>
                  <w:color w:val="0000FF"/>
                  <w:w w:val="91"/>
                </w:rPr>
                <w:t>guarantors of BellRing Brands,</w:t>
              </w:r>
            </w:hyperlink>
          </w:p>
        </w:tc>
        <w:tc>
          <w:tcPr>
            <w:tcW w:w="2000" w:type="dxa"/>
            <w:vAlign w:val="bottom"/>
            <w:tcBorders>
              <w:top w:val="single" w:sz="8" w:color="0000FF"/>
            </w:tcBorders>
            <w:gridSpan w:val="2"/>
          </w:tcPr>
          <w:p>
            <w:pPr>
              <w:spacing w:after="0" w:line="182"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LLC</w:t>
              </w:r>
            </w:hyperlink>
          </w:p>
        </w:tc>
        <w:tc>
          <w:tcPr>
            <w:tcW w:w="360" w:type="dxa"/>
            <w:vAlign w:val="bottom"/>
          </w:tcPr>
          <w:p>
            <w:pPr>
              <w:spacing w:after="0"/>
              <w:rPr>
                <w:sz w:val="15"/>
                <w:szCs w:val="15"/>
                <w:color w:val="auto"/>
              </w:rPr>
            </w:pPr>
          </w:p>
        </w:tc>
      </w:tr>
      <w:tr>
        <w:trPr>
          <w:trHeight w:val="263"/>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99.1</w:t>
            </w:r>
          </w:p>
        </w:tc>
        <w:tc>
          <w:tcPr>
            <w:tcW w:w="1400" w:type="dxa"/>
            <w:vAlign w:val="bottom"/>
          </w:tcPr>
          <w:p>
            <w:pPr>
              <w:spacing w:after="0"/>
              <w:rPr>
                <w:sz w:val="22"/>
                <w:szCs w:val="22"/>
                <w:color w:val="auto"/>
              </w:rPr>
            </w:pPr>
          </w:p>
        </w:tc>
        <w:tc>
          <w:tcPr>
            <w:tcW w:w="6500" w:type="dxa"/>
            <w:vAlign w:val="bottom"/>
            <w:tcBorders>
              <w:top w:val="single" w:sz="8" w:color="0000FF"/>
            </w:tcBorders>
            <w:gridSpan w:val="4"/>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Press Release dated February 26, 2021</w:t>
              </w:r>
            </w:hyperlink>
          </w:p>
        </w:tc>
        <w:tc>
          <w:tcPr>
            <w:tcW w:w="2480" w:type="dxa"/>
            <w:vAlign w:val="bottom"/>
            <w:gridSpan w:val="4"/>
          </w:tcPr>
          <w:p>
            <w:pPr>
              <w:spacing w:after="0"/>
              <w:rPr>
                <w:sz w:val="22"/>
                <w:szCs w:val="22"/>
                <w:color w:val="auto"/>
              </w:rPr>
            </w:pPr>
          </w:p>
        </w:tc>
      </w:tr>
      <w:tr>
        <w:trPr>
          <w:trHeight w:val="230"/>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400" w:type="dxa"/>
            <w:vAlign w:val="bottom"/>
          </w:tcPr>
          <w:p>
            <w:pPr>
              <w:spacing w:after="0"/>
              <w:rPr>
                <w:sz w:val="20"/>
                <w:szCs w:val="20"/>
                <w:color w:val="auto"/>
              </w:rPr>
            </w:pPr>
          </w:p>
        </w:tc>
        <w:tc>
          <w:tcPr>
            <w:tcW w:w="8980" w:type="dxa"/>
            <w:vAlign w:val="bottom"/>
            <w:gridSpan w:val="8"/>
          </w:tcPr>
          <w:p>
            <w:pPr>
              <w:spacing w:after="0"/>
              <w:rPr>
                <w:sz w:val="20"/>
                <w:szCs w:val="20"/>
                <w:color w:val="auto"/>
              </w:rPr>
            </w:pPr>
            <w:r>
              <w:rPr>
                <w:rFonts w:ascii="Arial" w:cs="Arial" w:eastAsia="Arial" w:hAnsi="Arial"/>
                <w:sz w:val="18"/>
                <w:szCs w:val="18"/>
                <w:color w:val="auto"/>
              </w:rPr>
              <w:t>Cover Page Interactive Data File (the cover page iXBRL tags are embedded within the Inline XBRL document)</w:t>
            </w:r>
          </w:p>
        </w:tc>
      </w:tr>
      <w:tr>
        <w:trPr>
          <w:trHeight w:val="3274"/>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3" w:name="page4"/>
    <w:bookmarkEnd w:id="3"/>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Arial" w:cs="Arial" w:eastAsia="Arial" w:hAnsi="Arial"/>
                <w:sz w:val="18"/>
                <w:szCs w:val="18"/>
                <w:color w:val="auto"/>
              </w:rPr>
              <w:t>Date: February 26, 2021</w:t>
            </w:r>
          </w:p>
        </w:tc>
        <w:tc>
          <w:tcPr>
            <w:tcW w:w="7360" w:type="dxa"/>
            <w:vAlign w:val="bottom"/>
            <w:gridSpan w:val="2"/>
          </w:tcPr>
          <w:p>
            <w:pPr>
              <w:ind w:left="1860"/>
              <w:spacing w:after="0"/>
              <w:rPr>
                <w:sz w:val="20"/>
                <w:szCs w:val="20"/>
                <w:color w:val="auto"/>
              </w:rPr>
            </w:pPr>
            <w:r>
              <w:rPr>
                <w:rFonts w:ascii="Arial" w:cs="Arial" w:eastAsia="Arial" w:hAnsi="Arial"/>
                <w:sz w:val="18"/>
                <w:szCs w:val="18"/>
                <w:b w:val="1"/>
                <w:bCs w:val="1"/>
                <w:color w:val="auto"/>
              </w:rPr>
              <w:t>BellRing Brands, Inc.</w:t>
            </w:r>
          </w:p>
        </w:tc>
      </w:tr>
      <w:tr>
        <w:trPr>
          <w:trHeight w:val="338"/>
        </w:trPr>
        <w:tc>
          <w:tcPr>
            <w:tcW w:w="3640" w:type="dxa"/>
            <w:vAlign w:val="bottom"/>
          </w:tcPr>
          <w:p>
            <w:pPr>
              <w:spacing w:after="0"/>
              <w:rPr>
                <w:sz w:val="24"/>
                <w:szCs w:val="24"/>
                <w:color w:val="auto"/>
              </w:rPr>
            </w:pPr>
          </w:p>
        </w:tc>
        <w:tc>
          <w:tcPr>
            <w:tcW w:w="2760" w:type="dxa"/>
            <w:vAlign w:val="bottom"/>
          </w:tcPr>
          <w:p>
            <w:pPr>
              <w:ind w:left="1860"/>
              <w:spacing w:after="0"/>
              <w:rPr>
                <w:sz w:val="20"/>
                <w:szCs w:val="20"/>
                <w:color w:val="auto"/>
              </w:rPr>
            </w:pPr>
            <w:r>
              <w:rPr>
                <w:rFonts w:ascii="Arial" w:cs="Arial" w:eastAsia="Arial" w:hAnsi="Arial"/>
                <w:sz w:val="18"/>
                <w:szCs w:val="18"/>
                <w:color w:val="auto"/>
                <w:w w:val="93"/>
              </w:rPr>
              <w:t>(Registrant)</w:t>
            </w:r>
          </w:p>
        </w:tc>
        <w:tc>
          <w:tcPr>
            <w:tcW w:w="4600" w:type="dxa"/>
            <w:vAlign w:val="bottom"/>
          </w:tcPr>
          <w:p>
            <w:pPr>
              <w:spacing w:after="0"/>
              <w:rPr>
                <w:sz w:val="24"/>
                <w:szCs w:val="24"/>
                <w:color w:val="auto"/>
              </w:rPr>
            </w:pPr>
          </w:p>
        </w:tc>
      </w:tr>
      <w:tr>
        <w:trPr>
          <w:trHeight w:val="675"/>
        </w:trPr>
        <w:tc>
          <w:tcPr>
            <w:tcW w:w="3640" w:type="dxa"/>
            <w:vAlign w:val="bottom"/>
          </w:tcPr>
          <w:p>
            <w:pPr>
              <w:spacing w:after="0"/>
              <w:rPr>
                <w:sz w:val="24"/>
                <w:szCs w:val="24"/>
                <w:color w:val="auto"/>
              </w:rPr>
            </w:pPr>
          </w:p>
        </w:tc>
        <w:tc>
          <w:tcPr>
            <w:tcW w:w="2760" w:type="dxa"/>
            <w:vAlign w:val="bottom"/>
          </w:tcPr>
          <w:p>
            <w:pPr>
              <w:ind w:left="186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Craig L. Rosenthal</w:t>
            </w:r>
          </w:p>
        </w:tc>
      </w:tr>
      <w:tr>
        <w:trPr>
          <w:trHeight w:val="317"/>
        </w:trPr>
        <w:tc>
          <w:tcPr>
            <w:tcW w:w="3640" w:type="dxa"/>
            <w:vAlign w:val="bottom"/>
          </w:tcPr>
          <w:p>
            <w:pPr>
              <w:spacing w:after="0"/>
              <w:rPr>
                <w:sz w:val="24"/>
                <w:szCs w:val="24"/>
                <w:color w:val="auto"/>
              </w:rPr>
            </w:pPr>
          </w:p>
        </w:tc>
        <w:tc>
          <w:tcPr>
            <w:tcW w:w="2760" w:type="dxa"/>
            <w:vAlign w:val="bottom"/>
          </w:tcPr>
          <w:p>
            <w:pPr>
              <w:ind w:left="186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Craig L. Rosenthal</w:t>
            </w:r>
          </w:p>
        </w:tc>
      </w:tr>
      <w:tr>
        <w:trPr>
          <w:trHeight w:val="230"/>
        </w:trPr>
        <w:tc>
          <w:tcPr>
            <w:tcW w:w="3640" w:type="dxa"/>
            <w:vAlign w:val="bottom"/>
          </w:tcPr>
          <w:p>
            <w:pPr>
              <w:spacing w:after="0"/>
              <w:rPr>
                <w:sz w:val="20"/>
                <w:szCs w:val="20"/>
                <w:color w:val="auto"/>
              </w:rPr>
            </w:pPr>
          </w:p>
        </w:tc>
        <w:tc>
          <w:tcPr>
            <w:tcW w:w="2760" w:type="dxa"/>
            <w:vAlign w:val="bottom"/>
          </w:tcPr>
          <w:p>
            <w:pPr>
              <w:ind w:left="1860"/>
              <w:spacing w:after="0"/>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rPr>
                <w:sz w:val="20"/>
                <w:szCs w:val="20"/>
                <w:color w:val="auto"/>
              </w:rPr>
            </w:pPr>
            <w:r>
              <w:rPr>
                <w:rFonts w:ascii="Arial" w:cs="Arial" w:eastAsia="Arial" w:hAnsi="Arial"/>
                <w:sz w:val="18"/>
                <w:szCs w:val="18"/>
                <w:color w:val="auto"/>
              </w:rPr>
              <w:t>SVP, General Counsel and Secretary</w:t>
            </w:r>
          </w:p>
        </w:tc>
      </w:tr>
    </w:tbl>
    <w:p>
      <w:pPr>
        <w:sectPr>
          <w:pgSz w:w="11900" w:h="16838" w:orient="portrait"/>
          <w:cols w:equalWidth="0" w:num="1">
            <w:col w:w="11200"/>
          </w:cols>
          <w:pgMar w:left="320" w:top="1440"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u w:val="single" w:color="auto"/>
          <w:color w:val="auto"/>
        </w:rPr>
        <w:t>Exhibit 10.1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AMENDMENT NO. 2 TO CREDIT AGREEMENT</w:t>
      </w:r>
    </w:p>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THIS AMENDMENT NO. 2 TO CREDIT AGREEMENT, dated as of February 26, 2021 (this “</w:t>
      </w:r>
      <w:r>
        <w:rPr>
          <w:rFonts w:ascii="Arial" w:cs="Arial" w:eastAsia="Arial" w:hAnsi="Arial"/>
          <w:sz w:val="19"/>
          <w:szCs w:val="19"/>
          <w:b w:val="1"/>
          <w:bCs w:val="1"/>
          <w:i w:val="1"/>
          <w:iCs w:val="1"/>
          <w:color w:val="auto"/>
        </w:rPr>
        <w:t>Amendment</w:t>
      </w:r>
      <w:r>
        <w:rPr>
          <w:rFonts w:ascii="Arial" w:cs="Arial" w:eastAsia="Arial" w:hAnsi="Arial"/>
          <w:sz w:val="19"/>
          <w:szCs w:val="19"/>
          <w:color w:val="auto"/>
        </w:rPr>
        <w:t>”), is entered into by and among BELLRING BRANDS, LLC, a Delaware limited liability company (the “</w:t>
      </w:r>
      <w:r>
        <w:rPr>
          <w:rFonts w:ascii="Arial" w:cs="Arial" w:eastAsia="Arial" w:hAnsi="Arial"/>
          <w:sz w:val="19"/>
          <w:szCs w:val="19"/>
          <w:b w:val="1"/>
          <w:bCs w:val="1"/>
          <w:i w:val="1"/>
          <w:iCs w:val="1"/>
          <w:color w:val="auto"/>
        </w:rPr>
        <w:t>Borrower</w:t>
      </w:r>
      <w:r>
        <w:rPr>
          <w:rFonts w:ascii="Arial" w:cs="Arial" w:eastAsia="Arial" w:hAnsi="Arial"/>
          <w:sz w:val="19"/>
          <w:szCs w:val="19"/>
          <w:color w:val="auto"/>
        </w:rPr>
        <w:t>”), the Guarantors (as defined in the Existing Credit Agreement referred to below) party hereto, each Lender party hereto designated as a “2021 Refinancing Term Lender” on its signature page hereto (each, a “</w:t>
      </w:r>
      <w:r>
        <w:rPr>
          <w:rFonts w:ascii="Arial" w:cs="Arial" w:eastAsia="Arial" w:hAnsi="Arial"/>
          <w:sz w:val="19"/>
          <w:szCs w:val="19"/>
          <w:b w:val="1"/>
          <w:bCs w:val="1"/>
          <w:i w:val="1"/>
          <w:iCs w:val="1"/>
          <w:color w:val="auto"/>
        </w:rPr>
        <w:t>2021 Refinancing Term Lender</w:t>
      </w:r>
      <w:r>
        <w:rPr>
          <w:rFonts w:ascii="Arial" w:cs="Arial" w:eastAsia="Arial" w:hAnsi="Arial"/>
          <w:sz w:val="19"/>
          <w:szCs w:val="19"/>
          <w:color w:val="auto"/>
        </w:rPr>
        <w:t>” and, collectively, the “</w:t>
      </w:r>
      <w:r>
        <w:rPr>
          <w:rFonts w:ascii="Arial" w:cs="Arial" w:eastAsia="Arial" w:hAnsi="Arial"/>
          <w:sz w:val="19"/>
          <w:szCs w:val="19"/>
          <w:b w:val="1"/>
          <w:bCs w:val="1"/>
          <w:i w:val="1"/>
          <w:iCs w:val="1"/>
          <w:color w:val="auto"/>
        </w:rPr>
        <w:t>2021 Refinancing Term Lenders</w:t>
      </w:r>
      <w:r>
        <w:rPr>
          <w:rFonts w:ascii="Arial" w:cs="Arial" w:eastAsia="Arial" w:hAnsi="Arial"/>
          <w:sz w:val="19"/>
          <w:szCs w:val="19"/>
          <w:color w:val="auto"/>
        </w:rPr>
        <w:t>”), each Revolving Credit Lender (as defined in the Existing Credit Agreement referred to below) and Credit Suisse AG, Cayman Islands Branch, as Administrative Agent (in such capacity, the “</w:t>
      </w:r>
      <w:r>
        <w:rPr>
          <w:rFonts w:ascii="Arial" w:cs="Arial" w:eastAsia="Arial" w:hAnsi="Arial"/>
          <w:sz w:val="19"/>
          <w:szCs w:val="19"/>
          <w:b w:val="1"/>
          <w:bCs w:val="1"/>
          <w:i w:val="1"/>
          <w:iCs w:val="1"/>
          <w:color w:val="auto"/>
        </w:rPr>
        <w:t>Administrative Agent</w:t>
      </w:r>
      <w:r>
        <w:rPr>
          <w:rFonts w:ascii="Arial" w:cs="Arial" w:eastAsia="Arial" w:hAnsi="Arial"/>
          <w:sz w:val="19"/>
          <w:szCs w:val="19"/>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RECITALS:</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Borrower, the several Lenders from time to time party thereto and the Administrative Agent have entered into that</w:t>
      </w:r>
      <w:r>
        <w:rPr>
          <w:rFonts w:ascii="Arial" w:cs="Arial" w:eastAsia="Arial" w:hAnsi="Arial"/>
          <w:sz w:val="19"/>
          <w:szCs w:val="19"/>
          <w:b w:val="1"/>
          <w:bCs w:val="1"/>
          <w:color w:val="auto"/>
        </w:rPr>
        <w:t xml:space="preserve"> </w:t>
      </w:r>
      <w:r>
        <w:rPr>
          <w:rFonts w:ascii="Arial" w:cs="Arial" w:eastAsia="Arial" w:hAnsi="Arial"/>
          <w:sz w:val="19"/>
          <w:szCs w:val="19"/>
          <w:color w:val="auto"/>
        </w:rPr>
        <w:t>certain Credit Agreement, dated as of October 21, 2019 (as amended, restated, amended and restated, supplemented or otherwise modified from time to time and immediately prior to the Amendment No. 2 Effective Date (as defined below), the “</w:t>
      </w:r>
      <w:r>
        <w:rPr>
          <w:rFonts w:ascii="Arial" w:cs="Arial" w:eastAsia="Arial" w:hAnsi="Arial"/>
          <w:sz w:val="19"/>
          <w:szCs w:val="19"/>
          <w:b w:val="1"/>
          <w:bCs w:val="1"/>
          <w:i w:val="1"/>
          <w:iCs w:val="1"/>
          <w:color w:val="auto"/>
        </w:rPr>
        <w:t>Existing Credit Agreement</w:t>
      </w:r>
      <w:r>
        <w:rPr>
          <w:rFonts w:ascii="Arial" w:cs="Arial" w:eastAsia="Arial" w:hAnsi="Arial"/>
          <w:sz w:val="19"/>
          <w:szCs w:val="19"/>
          <w:color w:val="auto"/>
        </w:rPr>
        <w:t>” and, as amended by this Amendment, the “</w:t>
      </w:r>
      <w:r>
        <w:rPr>
          <w:rFonts w:ascii="Arial" w:cs="Arial" w:eastAsia="Arial" w:hAnsi="Arial"/>
          <w:sz w:val="19"/>
          <w:szCs w:val="19"/>
          <w:b w:val="1"/>
          <w:bCs w:val="1"/>
          <w:i w:val="1"/>
          <w:iCs w:val="1"/>
          <w:color w:val="auto"/>
        </w:rPr>
        <w:t>Amended Credit Agreement</w:t>
      </w:r>
      <w:r>
        <w:rPr>
          <w:rFonts w:ascii="Arial" w:cs="Arial" w:eastAsia="Arial" w:hAnsi="Arial"/>
          <w:sz w:val="19"/>
          <w:szCs w:val="19"/>
          <w:color w:val="auto"/>
        </w:rPr>
        <w:t>”);</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Borrower requests that the 2021 Refinancing Term Lenders make Term Loans in an aggregate principal amount up to</w:t>
      </w:r>
      <w:r>
        <w:rPr>
          <w:rFonts w:ascii="Arial" w:cs="Arial" w:eastAsia="Arial" w:hAnsi="Arial"/>
          <w:sz w:val="19"/>
          <w:szCs w:val="19"/>
          <w:b w:val="1"/>
          <w:bCs w:val="1"/>
          <w:color w:val="auto"/>
        </w:rPr>
        <w:t xml:space="preserve"> </w:t>
      </w:r>
      <w:r>
        <w:rPr>
          <w:rFonts w:ascii="Arial" w:cs="Arial" w:eastAsia="Arial" w:hAnsi="Arial"/>
          <w:sz w:val="19"/>
          <w:szCs w:val="19"/>
          <w:color w:val="auto"/>
        </w:rPr>
        <w:t>$636,200,000 on the Amendment No. 2 Effective Date (the “</w:t>
      </w:r>
      <w:r>
        <w:rPr>
          <w:rFonts w:ascii="Arial" w:cs="Arial" w:eastAsia="Arial" w:hAnsi="Arial"/>
          <w:sz w:val="19"/>
          <w:szCs w:val="19"/>
          <w:b w:val="1"/>
          <w:bCs w:val="1"/>
          <w:i w:val="1"/>
          <w:iCs w:val="1"/>
          <w:color w:val="auto"/>
        </w:rPr>
        <w:t>2021 Refinancing Term Loans</w:t>
      </w:r>
      <w:r>
        <w:rPr>
          <w:rFonts w:ascii="Arial" w:cs="Arial" w:eastAsia="Arial" w:hAnsi="Arial"/>
          <w:sz w:val="19"/>
          <w:szCs w:val="19"/>
          <w:color w:val="auto"/>
        </w:rPr>
        <w:t>”) in order to enable the Borrower to refinance all outstanding Term B Loans (the “</w:t>
      </w:r>
      <w:r>
        <w:rPr>
          <w:rFonts w:ascii="Arial" w:cs="Arial" w:eastAsia="Arial" w:hAnsi="Arial"/>
          <w:sz w:val="19"/>
          <w:szCs w:val="19"/>
          <w:b w:val="1"/>
          <w:bCs w:val="1"/>
          <w:i w:val="1"/>
          <w:iCs w:val="1"/>
          <w:color w:val="auto"/>
        </w:rPr>
        <w:t>Existing Term Loans</w:t>
      </w:r>
      <w:r>
        <w:rPr>
          <w:rFonts w:ascii="Arial" w:cs="Arial" w:eastAsia="Arial" w:hAnsi="Arial"/>
          <w:sz w:val="19"/>
          <w:szCs w:val="19"/>
          <w:color w:val="auto"/>
        </w:rPr>
        <w:t>”) under the Existing Credit Agreement and to pay accrued and unpaid interest (if any) and fees and expenses incurred in connection therewith;</w:t>
      </w:r>
    </w:p>
    <w:p>
      <w:pPr>
        <w:spacing w:after="0" w:line="173"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subject to the terms and conditions of the Amended Credit Agreement and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2.17(d)</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and except</w:t>
      </w:r>
      <w:r>
        <w:rPr>
          <w:rFonts w:ascii="Arial" w:cs="Arial" w:eastAsia="Arial" w:hAnsi="Arial"/>
          <w:sz w:val="18"/>
          <w:szCs w:val="18"/>
          <w:b w:val="1"/>
          <w:bCs w:val="1"/>
          <w:color w:val="auto"/>
        </w:rPr>
        <w:t xml:space="preserve"> </w:t>
      </w:r>
      <w:r>
        <w:rPr>
          <w:rFonts w:ascii="Arial" w:cs="Arial" w:eastAsia="Arial" w:hAnsi="Arial"/>
          <w:sz w:val="18"/>
          <w:szCs w:val="18"/>
          <w:color w:val="auto"/>
        </w:rPr>
        <w:t>as expressly otherwise set forth herein, immediately after giving effect to this Amendment, the 2021 Refinancing Term Loans shall have the same terms (other than the Applicable Rate and as otherwise set forth herein) as the Existing Term Loans, and such 2021 Refinancing Term Loans shall be “Term Loans” and “Term B Loans” for all purposes of and under the Amended Credit Agreement;</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each 2021 Refinancing Term Lender is willing to provide the amount of 2021 Refinancing Term Loans set forth opposite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its name under the heading “2021 Refinancing Term Commitments”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(the “</w:t>
      </w:r>
      <w:r>
        <w:rPr>
          <w:rFonts w:ascii="Arial" w:cs="Arial" w:eastAsia="Arial" w:hAnsi="Arial"/>
          <w:sz w:val="19"/>
          <w:szCs w:val="19"/>
          <w:b w:val="1"/>
          <w:bCs w:val="1"/>
          <w:i w:val="1"/>
          <w:iCs w:val="1"/>
          <w:color w:val="auto"/>
        </w:rPr>
        <w:t>2021 Refinancing Term Commitments</w:t>
      </w:r>
      <w:r>
        <w:rPr>
          <w:rFonts w:ascii="Arial" w:cs="Arial" w:eastAsia="Arial" w:hAnsi="Arial"/>
          <w:sz w:val="19"/>
          <w:szCs w:val="19"/>
          <w:color w:val="auto"/>
        </w:rPr>
        <w:t>”) to the Borrower on the Amendment No. 2 Effective Date on the terms and subject to the conditions set forth herein and in the Amended Credit Agreement; and</w:t>
      </w:r>
    </w:p>
    <w:p>
      <w:pPr>
        <w:spacing w:after="0" w:line="17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each existing Term Lender in respect of Term B Loans that executes and delivers a consent in the form of the Lender</w:t>
      </w:r>
      <w:r>
        <w:rPr>
          <w:rFonts w:ascii="Arial" w:cs="Arial" w:eastAsia="Arial" w:hAnsi="Arial"/>
          <w:sz w:val="17"/>
          <w:szCs w:val="17"/>
          <w:b w:val="1"/>
          <w:bCs w:val="1"/>
          <w:color w:val="auto"/>
        </w:rPr>
        <w:t xml:space="preserve"> </w:t>
      </w:r>
      <w:r>
        <w:rPr>
          <w:rFonts w:ascii="Arial" w:cs="Arial" w:eastAsia="Arial" w:hAnsi="Arial"/>
          <w:sz w:val="17"/>
          <w:szCs w:val="17"/>
          <w:color w:val="auto"/>
        </w:rPr>
        <w:t>Consent attached to the Election Notice Memorandum posted to the Term Lenders as a Term Lender of Term B Loans will be deemed to have irrevocably agreed to the terms of this Amendment and the Amended Credit Agreement and the transactions contemplated herein and therein.</w:t>
      </w:r>
    </w:p>
    <w:p>
      <w:pPr>
        <w:spacing w:after="0" w:line="13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premises and agreements, provisions and covenants herein contained, the parties hereto</w:t>
      </w:r>
      <w:r>
        <w:rPr>
          <w:rFonts w:ascii="Arial" w:cs="Arial" w:eastAsia="Arial" w:hAnsi="Arial"/>
          <w:sz w:val="19"/>
          <w:szCs w:val="19"/>
          <w:b w:val="1"/>
          <w:bCs w:val="1"/>
          <w:color w:val="auto"/>
        </w:rPr>
        <w:t xml:space="preserve"> </w:t>
      </w:r>
      <w:r>
        <w:rPr>
          <w:rFonts w:ascii="Arial" w:cs="Arial" w:eastAsia="Arial" w:hAnsi="Arial"/>
          <w:sz w:val="19"/>
          <w:szCs w:val="19"/>
          <w:color w:val="auto"/>
        </w:rPr>
        <w:t>agree as follows:</w:t>
      </w:r>
    </w:p>
    <w:p>
      <w:pPr>
        <w:spacing w:after="0" w:line="147" w:lineRule="exact"/>
        <w:rPr>
          <w:sz w:val="20"/>
          <w:szCs w:val="20"/>
          <w:color w:val="auto"/>
        </w:rPr>
      </w:pPr>
    </w:p>
    <w:p>
      <w:pPr>
        <w:ind w:left="1940" w:hanging="636"/>
        <w:spacing w:after="0"/>
        <w:tabs>
          <w:tab w:leader="none" w:pos="19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Defined Terms; Interpretation; Etc.</w:t>
      </w:r>
    </w:p>
    <w:p>
      <w:pPr>
        <w:spacing w:after="0" w:line="233" w:lineRule="exact"/>
        <w:rPr>
          <w:sz w:val="20"/>
          <w:szCs w:val="20"/>
          <w:color w:val="auto"/>
        </w:rPr>
      </w:pPr>
    </w:p>
    <w:p>
      <w:pPr>
        <w:ind w:firstLine="648"/>
        <w:spacing w:after="0" w:line="283" w:lineRule="auto"/>
        <w:rPr>
          <w:sz w:val="20"/>
          <w:szCs w:val="20"/>
          <w:color w:val="auto"/>
        </w:rPr>
      </w:pPr>
      <w:r>
        <w:rPr>
          <w:rFonts w:ascii="Arial" w:cs="Arial" w:eastAsia="Arial" w:hAnsi="Arial"/>
          <w:sz w:val="19"/>
          <w:szCs w:val="19"/>
          <w:color w:val="auto"/>
        </w:rPr>
        <w:t xml:space="preserve">Capitalized terms used and not defined herein shall have the meanings assigned to such terms in the Amended Credit Agreement. The rules of construction specified in </w:t>
      </w:r>
      <w:r>
        <w:rPr>
          <w:rFonts w:ascii="Arial" w:cs="Arial" w:eastAsia="Arial" w:hAnsi="Arial"/>
          <w:sz w:val="19"/>
          <w:szCs w:val="19"/>
          <w:u w:val="single" w:color="auto"/>
          <w:color w:val="auto"/>
        </w:rPr>
        <w:t>Sections 1.02</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1.10</w:t>
      </w:r>
      <w:r>
        <w:rPr>
          <w:rFonts w:ascii="Arial" w:cs="Arial" w:eastAsia="Arial" w:hAnsi="Arial"/>
          <w:sz w:val="19"/>
          <w:szCs w:val="19"/>
          <w:color w:val="auto"/>
        </w:rPr>
        <w:t xml:space="preserve"> of the</w:t>
      </w:r>
    </w:p>
    <w:p>
      <w:pPr>
        <w:sectPr>
          <w:pgSz w:w="11900" w:h="16838" w:orient="portrait"/>
          <w:cols w:equalWidth="0" w:num="1">
            <w:col w:w="11240"/>
          </w:cols>
          <w:pgMar w:left="320" w:top="125" w:right="339" w:bottom="1440" w:gutter="0" w:footer="0" w:header="0"/>
        </w:sectPr>
      </w:pPr>
    </w:p>
    <w:bookmarkStart w:id="5" w:name="page6"/>
    <w:bookmarkEnd w:id="5"/>
    <w:p>
      <w:pPr>
        <w:jc w:val="both"/>
        <w:spacing w:after="0" w:line="262" w:lineRule="auto"/>
        <w:rPr>
          <w:sz w:val="20"/>
          <w:szCs w:val="20"/>
          <w:color w:val="auto"/>
        </w:rPr>
      </w:pPr>
      <w:r>
        <w:rPr>
          <w:rFonts w:ascii="Arial" w:cs="Arial" w:eastAsia="Arial" w:hAnsi="Arial"/>
          <w:sz w:val="19"/>
          <w:szCs w:val="19"/>
          <w:color w:val="auto"/>
        </w:rPr>
        <w:t xml:space="preserve">Existing Credit Agreement also apply to this Amendment, </w:t>
      </w:r>
      <w:r>
        <w:rPr>
          <w:rFonts w:ascii="Arial" w:cs="Arial" w:eastAsia="Arial" w:hAnsi="Arial"/>
          <w:sz w:val="19"/>
          <w:szCs w:val="19"/>
          <w:i w:val="1"/>
          <w:iCs w:val="1"/>
          <w:color w:val="auto"/>
        </w:rPr>
        <w:t>mutatis mutandis</w:t>
      </w:r>
      <w:r>
        <w:rPr>
          <w:rFonts w:ascii="Arial" w:cs="Arial" w:eastAsia="Arial" w:hAnsi="Arial"/>
          <w:sz w:val="19"/>
          <w:szCs w:val="19"/>
          <w:color w:val="auto"/>
        </w:rPr>
        <w:t>, as if fully set forth herein. Each reference to “hereof”, “hereunder”, “herein” and “hereby” and each other similar reference and each reference to “this Agreement” and each other similar reference contained in the Existing Credit Agreement or any other Loan Document shall, after this Amendment becomes effective, refer to the Amended Credit Agreement.</w:t>
      </w:r>
    </w:p>
    <w:p>
      <w:pPr>
        <w:spacing w:after="0" w:line="174" w:lineRule="exact"/>
        <w:rPr>
          <w:sz w:val="20"/>
          <w:szCs w:val="20"/>
          <w:color w:val="auto"/>
        </w:rPr>
      </w:pPr>
    </w:p>
    <w:p>
      <w:pPr>
        <w:ind w:left="1940" w:hanging="636"/>
        <w:spacing w:after="0"/>
        <w:tabs>
          <w:tab w:leader="none" w:pos="1940" w:val="left"/>
        </w:tabs>
        <w:numPr>
          <w:ilvl w:val="1"/>
          <w:numId w:val="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2021 Refinancing Term Loans.</w:t>
      </w:r>
    </w:p>
    <w:p>
      <w:pPr>
        <w:spacing w:after="0" w:line="233" w:lineRule="exact"/>
        <w:rPr>
          <w:rFonts w:ascii="Arial" w:cs="Arial" w:eastAsia="Arial" w:hAnsi="Arial"/>
          <w:sz w:val="19"/>
          <w:szCs w:val="19"/>
          <w:b w:val="1"/>
          <w:bCs w:val="1"/>
          <w:color w:val="auto"/>
        </w:rPr>
      </w:pPr>
    </w:p>
    <w:p>
      <w:pPr>
        <w:jc w:val="both"/>
        <w:ind w:firstLine="656"/>
        <w:spacing w:after="0" w:line="289" w:lineRule="auto"/>
        <w:tabs>
          <w:tab w:leader="none" w:pos="1377"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Each 2021 Refinancing Term Lender hereby agrees, severally and not jointly, to make 2021 Refinancing Term Loans in Dollars to the Borrower on the Amendment No. 2 Effective Date in an aggregate principal amount equal to its 2021 Refinancing Term Commitment, on the terms set forth herein and in the Amended Credit Agreement, and subject to the conditions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below.</w:t>
      </w:r>
    </w:p>
    <w:p>
      <w:pPr>
        <w:spacing w:after="0" w:line="156" w:lineRule="exact"/>
        <w:rPr>
          <w:rFonts w:ascii="Arial" w:cs="Arial" w:eastAsia="Arial" w:hAnsi="Arial"/>
          <w:sz w:val="18"/>
          <w:szCs w:val="18"/>
          <w:color w:val="auto"/>
        </w:rPr>
      </w:pPr>
    </w:p>
    <w:p>
      <w:pPr>
        <w:ind w:firstLine="656"/>
        <w:spacing w:after="0" w:line="283" w:lineRule="auto"/>
        <w:tabs>
          <w:tab w:leader="none" w:pos="1374"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2021 Refinancing Term Commitments shall automatically terminate upon the funding of the 2021 Refinancing Term Loans on the Amendment No. 2 Effective Date.</w:t>
      </w:r>
    </w:p>
    <w:p>
      <w:pPr>
        <w:spacing w:after="0" w:line="159" w:lineRule="exact"/>
        <w:rPr>
          <w:rFonts w:ascii="Arial" w:cs="Arial" w:eastAsia="Arial" w:hAnsi="Arial"/>
          <w:sz w:val="19"/>
          <w:szCs w:val="19"/>
          <w:color w:val="auto"/>
        </w:rPr>
      </w:pPr>
    </w:p>
    <w:p>
      <w:pPr>
        <w:jc w:val="both"/>
        <w:ind w:firstLine="656"/>
        <w:spacing w:after="0" w:line="275" w:lineRule="auto"/>
        <w:tabs>
          <w:tab w:leader="none" w:pos="1377"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From and after the Amendment No. 2 Effective Date, for all purposes of the Amended Credit Agreement and the other Loan Documents, (i) the 2021 Refinancing Term Loans (A) shall constitute “Refinancing Term Loans” as contemplated by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of the Amended Credit Agreement, (B) shall be deemed to be “Term Loans” and “Term B Loans” and (C) shall have the same terms as the Term B Loans (for the avoidance of doubt, the 2021 Refinancing Term Loans shall be treated as Term B Loans for purposes of the definition of “Applicable Rate” in the Amended Credit Agreement) and (ii) each 2021 Refinancing Term Lender shall be deemed to be a “Term Lender” and a “ Term B Lender” with outstanding “Term Loans” and “Term B Loans” under the Amended Credit Agreement.</w:t>
      </w:r>
    </w:p>
    <w:p>
      <w:pPr>
        <w:spacing w:after="0" w:line="169" w:lineRule="exact"/>
        <w:rPr>
          <w:rFonts w:ascii="Arial" w:cs="Arial" w:eastAsia="Arial" w:hAnsi="Arial"/>
          <w:sz w:val="18"/>
          <w:szCs w:val="18"/>
          <w:color w:val="auto"/>
        </w:rPr>
      </w:pPr>
    </w:p>
    <w:p>
      <w:pPr>
        <w:jc w:val="both"/>
        <w:ind w:firstLine="656"/>
        <w:spacing w:after="0" w:line="262" w:lineRule="auto"/>
        <w:tabs>
          <w:tab w:leader="none" w:pos="1374" w:val="left"/>
        </w:tabs>
        <w:numPr>
          <w:ilvl w:val="0"/>
          <w:numId w:val="5"/>
        </w:numPr>
        <w:rPr>
          <w:rFonts w:ascii="Arial" w:cs="Arial" w:eastAsia="Arial" w:hAnsi="Arial"/>
          <w:sz w:val="19"/>
          <w:szCs w:val="19"/>
          <w:color w:val="auto"/>
        </w:rPr>
      </w:pPr>
      <w:r>
        <w:rPr>
          <w:rFonts w:ascii="Arial" w:cs="Arial" w:eastAsia="Arial" w:hAnsi="Arial"/>
          <w:sz w:val="19"/>
          <w:szCs w:val="19"/>
          <w:color w:val="auto"/>
        </w:rPr>
        <w:t xml:space="preserve">This Amendment constitutes notice by the Borrower to the Administrative Agent of prepayment of the Existing Term Loans in the amount equal to the aggregate principal amount of the 2021 Refinancing Term Loans on the Amendment No. 2 Effective Date, and the Administrative Agent hereby acknowledges receipt of such notice as of the Amendment No. 2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notice shall be automatically rescinded if the Amendment No. 2 Effective Date does not occur.</w:t>
      </w:r>
    </w:p>
    <w:p>
      <w:pPr>
        <w:spacing w:after="0" w:line="173" w:lineRule="exact"/>
        <w:rPr>
          <w:rFonts w:ascii="Arial" w:cs="Arial" w:eastAsia="Arial" w:hAnsi="Arial"/>
          <w:sz w:val="19"/>
          <w:szCs w:val="19"/>
          <w:color w:val="auto"/>
        </w:rPr>
      </w:pPr>
    </w:p>
    <w:p>
      <w:pPr>
        <w:ind w:left="1940" w:hanging="636"/>
        <w:spacing w:after="0"/>
        <w:tabs>
          <w:tab w:leader="none" w:pos="1940" w:val="left"/>
        </w:tabs>
        <w:numPr>
          <w:ilvl w:val="1"/>
          <w:numId w:val="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Amendments to Existing Credit Agreement.</w:t>
      </w:r>
    </w:p>
    <w:p>
      <w:pPr>
        <w:spacing w:after="0" w:line="233" w:lineRule="exact"/>
        <w:rPr>
          <w:sz w:val="20"/>
          <w:szCs w:val="20"/>
          <w:color w:val="auto"/>
        </w:rPr>
      </w:pPr>
    </w:p>
    <w:p>
      <w:pPr>
        <w:ind w:right="20" w:firstLine="648"/>
        <w:spacing w:after="0" w:line="283" w:lineRule="auto"/>
        <w:rPr>
          <w:sz w:val="20"/>
          <w:szCs w:val="20"/>
          <w:color w:val="auto"/>
        </w:rPr>
      </w:pPr>
      <w:r>
        <w:rPr>
          <w:rFonts w:ascii="Arial" w:cs="Arial" w:eastAsia="Arial" w:hAnsi="Arial"/>
          <w:sz w:val="19"/>
          <w:szCs w:val="19"/>
          <w:color w:val="auto"/>
        </w:rPr>
        <w:t xml:space="preserve">Pursuant to </w:t>
      </w:r>
      <w:r>
        <w:rPr>
          <w:rFonts w:ascii="Arial" w:cs="Arial" w:eastAsia="Arial" w:hAnsi="Arial"/>
          <w:sz w:val="19"/>
          <w:szCs w:val="19"/>
          <w:u w:val="single" w:color="auto"/>
          <w:color w:val="auto"/>
        </w:rPr>
        <w:t>Section 2.17(d)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of the Existing Credit Agreement and subject to the satisfaction of the conditions precedent set forth in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below, the Existing Credit Agreement is hereby amended as follows:</w:t>
      </w:r>
    </w:p>
    <w:p>
      <w:pPr>
        <w:spacing w:after="0" w:line="160" w:lineRule="exact"/>
        <w:rPr>
          <w:sz w:val="20"/>
          <w:szCs w:val="20"/>
          <w:color w:val="auto"/>
        </w:rPr>
      </w:pPr>
    </w:p>
    <w:p>
      <w:pPr>
        <w:ind w:left="660" w:firstLine="542"/>
        <w:spacing w:after="0" w:line="283" w:lineRule="auto"/>
        <w:tabs>
          <w:tab w:leader="none" w:pos="1956"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Existing Credit Agreement is hereby amended by adding each of the following defined terms in appropriate alphabetical order:</w:t>
      </w:r>
    </w:p>
    <w:p>
      <w:pPr>
        <w:spacing w:after="0" w:line="154" w:lineRule="exact"/>
        <w:rPr>
          <w:sz w:val="20"/>
          <w:szCs w:val="20"/>
          <w:color w:val="auto"/>
        </w:rPr>
      </w:pPr>
    </w:p>
    <w:p>
      <w:pPr>
        <w:ind w:left="1960"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2021 Refinancing Term Loans</w:t>
      </w:r>
      <w:r>
        <w:rPr>
          <w:rFonts w:ascii="Arial" w:cs="Arial" w:eastAsia="Arial" w:hAnsi="Arial"/>
          <w:sz w:val="19"/>
          <w:szCs w:val="19"/>
          <w:color w:val="auto"/>
        </w:rPr>
        <w:t>” means the 2021 Refinancing Term Loans (as defined in the Recitals to Amendment No. 2) incurred in accordance with, and pursuant to, Amendment No. 2.</w:t>
      </w:r>
    </w:p>
    <w:p>
      <w:pPr>
        <w:spacing w:after="0" w:line="14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39"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Agreed Currency</w:t>
      </w:r>
      <w:r>
        <w:rPr>
          <w:rFonts w:ascii="Arial" w:cs="Arial" w:eastAsia="Arial" w:hAnsi="Arial"/>
          <w:sz w:val="19"/>
          <w:szCs w:val="19"/>
          <w:color w:val="auto"/>
        </w:rPr>
        <w:t>” means U.S. Dollars and Alternative Currencies.</w:t>
      </w:r>
    </w:p>
    <w:p>
      <w:pPr>
        <w:spacing w:after="0" w:line="227" w:lineRule="exact"/>
        <w:rPr>
          <w:sz w:val="20"/>
          <w:szCs w:val="20"/>
          <w:color w:val="auto"/>
        </w:rPr>
      </w:pPr>
    </w:p>
    <w:p>
      <w:pPr>
        <w:ind w:left="1960" w:right="20"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Amendment No. 2</w:t>
      </w:r>
      <w:r>
        <w:rPr>
          <w:rFonts w:ascii="Arial" w:cs="Arial" w:eastAsia="Arial" w:hAnsi="Arial"/>
          <w:sz w:val="19"/>
          <w:szCs w:val="19"/>
          <w:color w:val="auto"/>
        </w:rPr>
        <w:t>” means Amendment No. 2 to Credit Agreement, dated as of February 26, 2021, among the Borrower, the Subsidiary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22" w:right="339" w:bottom="1440" w:gutter="0" w:footer="0" w:header="0"/>
        </w:sectPr>
      </w:pPr>
    </w:p>
    <w:bookmarkStart w:id="6" w:name="page7"/>
    <w:bookmarkEnd w:id="6"/>
    <w:p>
      <w:pPr>
        <w:ind w:left="840"/>
        <w:spacing w:after="0"/>
        <w:rPr>
          <w:sz w:val="20"/>
          <w:szCs w:val="20"/>
          <w:color w:val="auto"/>
        </w:rPr>
      </w:pPr>
      <w:r>
        <w:rPr>
          <w:rFonts w:ascii="Arial" w:cs="Arial" w:eastAsia="Arial" w:hAnsi="Arial"/>
          <w:sz w:val="19"/>
          <w:szCs w:val="19"/>
          <w:color w:val="auto"/>
        </w:rPr>
        <w:t>listed on the signature pages thereto, the Administrative Agent and the Lenders party thereto.</w:t>
      </w:r>
    </w:p>
    <w:p>
      <w:pPr>
        <w:spacing w:after="0" w:line="221" w:lineRule="exact"/>
        <w:rPr>
          <w:sz w:val="20"/>
          <w:szCs w:val="20"/>
          <w:color w:val="auto"/>
        </w:rPr>
      </w:pPr>
    </w:p>
    <w:p>
      <w:pPr>
        <w:jc w:val="both"/>
        <w:ind w:left="840" w:right="20"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Amendment No. 2 Effective Date</w:t>
      </w:r>
      <w:r>
        <w:rPr>
          <w:rFonts w:ascii="Arial" w:cs="Arial" w:eastAsia="Arial" w:hAnsi="Arial"/>
          <w:sz w:val="19"/>
          <w:szCs w:val="19"/>
          <w:color w:val="auto"/>
        </w:rPr>
        <w:t xml:space="preserve">” means the date on which all of the conditions precedent in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of Amendment No. 2 are satisfied or waived, which date is February 26, 2021.</w:t>
      </w:r>
    </w:p>
    <w:p>
      <w:pPr>
        <w:spacing w:after="0" w:line="147" w:lineRule="exact"/>
        <w:rPr>
          <w:sz w:val="20"/>
          <w:szCs w:val="20"/>
          <w:color w:val="auto"/>
        </w:rPr>
      </w:pPr>
    </w:p>
    <w:p>
      <w:pPr>
        <w:jc w:val="both"/>
        <w:ind w:left="840" w:firstLine="648"/>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Tenor</w:t>
      </w:r>
      <w:r>
        <w:rPr>
          <w:rFonts w:ascii="Arial" w:cs="Arial" w:eastAsia="Arial" w:hAnsi="Arial"/>
          <w:sz w:val="18"/>
          <w:szCs w:val="18"/>
          <w:color w:val="auto"/>
        </w:rPr>
        <w:t xml:space="preserve">”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(d) of </w:t>
      </w:r>
      <w:r>
        <w:rPr>
          <w:rFonts w:ascii="Arial" w:cs="Arial" w:eastAsia="Arial" w:hAnsi="Arial"/>
          <w:sz w:val="18"/>
          <w:szCs w:val="18"/>
          <w:u w:val="single" w:color="auto"/>
          <w:color w:val="auto"/>
        </w:rPr>
        <w:t>Section 3.08</w:t>
      </w:r>
      <w:r>
        <w:rPr>
          <w:rFonts w:ascii="Arial" w:cs="Arial" w:eastAsia="Arial" w:hAnsi="Arial"/>
          <w:sz w:val="18"/>
          <w:szCs w:val="18"/>
          <w:color w:val="auto"/>
        </w:rPr>
        <w:t>.</w:t>
      </w:r>
    </w:p>
    <w:p>
      <w:pPr>
        <w:spacing w:after="0" w:line="187" w:lineRule="exact"/>
        <w:rPr>
          <w:sz w:val="20"/>
          <w:szCs w:val="20"/>
          <w:color w:val="auto"/>
        </w:rPr>
      </w:pPr>
    </w:p>
    <w:p>
      <w:pPr>
        <w:jc w:val="both"/>
        <w:ind w:left="840" w:firstLine="648"/>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Benchmark</w:t>
      </w:r>
      <w:r>
        <w:rPr>
          <w:rFonts w:ascii="Arial" w:cs="Arial" w:eastAsia="Arial" w:hAnsi="Arial"/>
          <w:sz w:val="19"/>
          <w:szCs w:val="19"/>
          <w:color w:val="auto"/>
        </w:rPr>
        <w:t xml:space="preserve">” means, initially, the LIBO Rate;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 Benchmark Transition Event, a Term SOFR Transition Event or an Early Opt-in Election, as applicable, and its related Benchmark Replacement Date have occurred with respect to the LIBO Rate or the then-current Benchmark, then “Benchmark” means the applicable Benchmark Replacement to the extent that such Benchmark Replacement has replaced such prior benchmark rate pursuant to clause (a) of </w:t>
      </w:r>
      <w:r>
        <w:rPr>
          <w:rFonts w:ascii="Arial" w:cs="Arial" w:eastAsia="Arial" w:hAnsi="Arial"/>
          <w:sz w:val="19"/>
          <w:szCs w:val="19"/>
          <w:u w:val="single" w:color="auto"/>
          <w:color w:val="auto"/>
        </w:rPr>
        <w:t>Section 3.08</w:t>
      </w:r>
      <w:r>
        <w:rPr>
          <w:rFonts w:ascii="Arial" w:cs="Arial" w:eastAsia="Arial" w:hAnsi="Arial"/>
          <w:sz w:val="19"/>
          <w:szCs w:val="19"/>
          <w:color w:val="auto"/>
        </w:rPr>
        <w:t>.</w:t>
      </w:r>
    </w:p>
    <w:p>
      <w:pPr>
        <w:spacing w:after="0" w:line="175" w:lineRule="exact"/>
        <w:rPr>
          <w:sz w:val="20"/>
          <w:szCs w:val="20"/>
          <w:color w:val="auto"/>
        </w:rPr>
      </w:pPr>
    </w:p>
    <w:p>
      <w:pPr>
        <w:jc w:val="both"/>
        <w:ind w:left="840"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Corresponding Tenor</w:t>
      </w:r>
      <w:r>
        <w:rPr>
          <w:rFonts w:ascii="Arial" w:cs="Arial" w:eastAsia="Arial" w:hAnsi="Arial"/>
          <w:sz w:val="19"/>
          <w:szCs w:val="19"/>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4" w:lineRule="exact"/>
        <w:rPr>
          <w:sz w:val="20"/>
          <w:szCs w:val="20"/>
          <w:color w:val="auto"/>
        </w:rPr>
      </w:pPr>
    </w:p>
    <w:p>
      <w:pPr>
        <w:jc w:val="both"/>
        <w:ind w:left="840" w:firstLine="648"/>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Daily Simple SOFR</w:t>
      </w:r>
      <w:r>
        <w:rPr>
          <w:rFonts w:ascii="Arial" w:cs="Arial" w:eastAsia="Arial" w:hAnsi="Arial"/>
          <w:sz w:val="17"/>
          <w:szCs w:val="17"/>
          <w:color w:val="auto"/>
        </w:rPr>
        <w:t xml:space="preserve">”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Arial" w:cs="Arial" w:eastAsia="Arial" w:hAnsi="Arial"/>
          <w:sz w:val="17"/>
          <w:szCs w:val="17"/>
          <w:i w:val="1"/>
          <w:iCs w:val="1"/>
          <w:color w:val="auto"/>
        </w:rPr>
        <w:t>provided</w:t>
      </w:r>
      <w:r>
        <w:rPr>
          <w:rFonts w:ascii="Arial" w:cs="Arial" w:eastAsia="Arial" w:hAnsi="Arial"/>
          <w:sz w:val="17"/>
          <w:szCs w:val="17"/>
          <w:color w:val="auto"/>
        </w:rPr>
        <w:t>, that if the Administrative Agent decides that any such convention is not administratively feasible for the Administrative Agent, then the Administrative Agent may establish another convention in its reasonable discretion.</w:t>
      </w:r>
    </w:p>
    <w:p>
      <w:pPr>
        <w:spacing w:after="0" w:line="146" w:lineRule="exact"/>
        <w:rPr>
          <w:sz w:val="20"/>
          <w:szCs w:val="20"/>
          <w:color w:val="auto"/>
        </w:rPr>
      </w:pPr>
    </w:p>
    <w:p>
      <w:pPr>
        <w:jc w:val="both"/>
        <w:ind w:left="840"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Floor</w:t>
      </w:r>
      <w:r>
        <w:rPr>
          <w:rFonts w:ascii="Arial" w:cs="Arial" w:eastAsia="Arial" w:hAnsi="Arial"/>
          <w:sz w:val="19"/>
          <w:szCs w:val="19"/>
          <w:color w:val="auto"/>
        </w:rPr>
        <w:t>” means the benchmark rate floor, if any, provided in this Agreement initially (as of the execution of this Agreement, the modification, amendment or renewal of this Agreement or otherwise) with respect to the Eurodollar Rate.</w:t>
      </w:r>
    </w:p>
    <w:p>
      <w:pPr>
        <w:spacing w:after="0" w:line="164" w:lineRule="exact"/>
        <w:rPr>
          <w:sz w:val="20"/>
          <w:szCs w:val="20"/>
          <w:color w:val="auto"/>
        </w:rPr>
      </w:pPr>
    </w:p>
    <w:p>
      <w:pPr>
        <w:jc w:val="both"/>
        <w:ind w:left="840" w:firstLine="648"/>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ISDA Definitions</w:t>
      </w:r>
      <w:r>
        <w:rPr>
          <w:rFonts w:ascii="Arial" w:cs="Arial" w:eastAsia="Arial" w:hAnsi="Arial"/>
          <w:sz w:val="19"/>
          <w:szCs w:val="19"/>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3" w:lineRule="exact"/>
        <w:rPr>
          <w:sz w:val="20"/>
          <w:szCs w:val="20"/>
          <w:color w:val="auto"/>
        </w:rPr>
      </w:pPr>
    </w:p>
    <w:p>
      <w:pPr>
        <w:jc w:val="both"/>
        <w:ind w:left="840"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Reference Time</w:t>
      </w:r>
      <w:r>
        <w:rPr>
          <w:rFonts w:ascii="Arial" w:cs="Arial" w:eastAsia="Arial" w:hAnsi="Arial"/>
          <w:sz w:val="19"/>
          <w:szCs w:val="19"/>
          <w:color w:val="auto"/>
        </w:rPr>
        <w:t>” with respect to any setting of the then-current Benchmark means (i) if such Benchmark is the LIBO Rate, 11:00 a.m. (London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120"/>
          </w:cols>
          <w:pgMar w:left="1440" w:top="1422" w:right="339" w:bottom="1440" w:gutter="0" w:footer="0" w:header="0"/>
        </w:sectPr>
      </w:pPr>
    </w:p>
    <w:bookmarkStart w:id="7" w:name="page8"/>
    <w:bookmarkEnd w:id="7"/>
    <w:p>
      <w:pPr>
        <w:jc w:val="both"/>
        <w:ind w:left="866"/>
        <w:spacing w:after="0" w:line="283" w:lineRule="auto"/>
        <w:rPr>
          <w:sz w:val="20"/>
          <w:szCs w:val="20"/>
          <w:color w:val="auto"/>
        </w:rPr>
      </w:pPr>
      <w:r>
        <w:rPr>
          <w:rFonts w:ascii="Arial" w:cs="Arial" w:eastAsia="Arial" w:hAnsi="Arial"/>
          <w:sz w:val="19"/>
          <w:szCs w:val="19"/>
          <w:color w:val="auto"/>
        </w:rPr>
        <w:t>time) on the day that is two London banking days preceding the date of such setting, and (ii) if such Benchmark is not the LIBO Rate, the time determined by the Administrative Agent in its reasonable discretion.</w:t>
      </w:r>
    </w:p>
    <w:p>
      <w:pPr>
        <w:spacing w:after="0" w:line="154" w:lineRule="exact"/>
        <w:rPr>
          <w:sz w:val="20"/>
          <w:szCs w:val="20"/>
          <w:color w:val="auto"/>
        </w:rPr>
      </w:pPr>
    </w:p>
    <w:p>
      <w:pPr>
        <w:ind w:left="150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Repricing Event</w:t>
      </w:r>
      <w:r>
        <w:rPr>
          <w:rFonts w:ascii="Arial" w:cs="Arial" w:eastAsia="Arial" w:hAnsi="Arial"/>
          <w:sz w:val="19"/>
          <w:szCs w:val="19"/>
          <w:color w:val="auto"/>
        </w:rPr>
        <w:t>” has the meaning specified in Section 2.05(b)(ix).</w:t>
      </w:r>
    </w:p>
    <w:p>
      <w:pPr>
        <w:spacing w:after="0" w:line="227" w:lineRule="exact"/>
        <w:rPr>
          <w:sz w:val="20"/>
          <w:szCs w:val="20"/>
          <w:color w:val="auto"/>
        </w:rPr>
      </w:pPr>
    </w:p>
    <w:p>
      <w:pPr>
        <w:jc w:val="both"/>
        <w:ind w:left="866"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Resolution Authority</w:t>
      </w:r>
      <w:r>
        <w:rPr>
          <w:rFonts w:ascii="Arial" w:cs="Arial" w:eastAsia="Arial" w:hAnsi="Arial"/>
          <w:sz w:val="19"/>
          <w:szCs w:val="19"/>
          <w:color w:val="auto"/>
        </w:rPr>
        <w:t>” means an EEA Resolution Authority or, with respect to any UK Financial Institution, a UK Resolution Authority.</w:t>
      </w:r>
    </w:p>
    <w:p>
      <w:pPr>
        <w:spacing w:after="0" w:line="147" w:lineRule="exact"/>
        <w:rPr>
          <w:sz w:val="20"/>
          <w:szCs w:val="20"/>
          <w:color w:val="auto"/>
        </w:rPr>
      </w:pPr>
    </w:p>
    <w:p>
      <w:pPr>
        <w:jc w:val="both"/>
        <w:ind w:left="866"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SOFR Administrator</w:t>
      </w:r>
      <w:r>
        <w:rPr>
          <w:rFonts w:ascii="Arial" w:cs="Arial" w:eastAsia="Arial" w:hAnsi="Arial"/>
          <w:sz w:val="19"/>
          <w:szCs w:val="19"/>
          <w:color w:val="auto"/>
        </w:rPr>
        <w:t>” means the Federal Reserve Bank of New York (or a successor administrator of the secured overnight financing rate).</w:t>
      </w:r>
    </w:p>
    <w:p>
      <w:pPr>
        <w:spacing w:after="0" w:line="147" w:lineRule="exact"/>
        <w:rPr>
          <w:sz w:val="20"/>
          <w:szCs w:val="20"/>
          <w:color w:val="auto"/>
        </w:rPr>
      </w:pPr>
    </w:p>
    <w:p>
      <w:pPr>
        <w:jc w:val="both"/>
        <w:ind w:left="866"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SOFR Administrator’s Website</w:t>
      </w:r>
      <w:r>
        <w:rPr>
          <w:rFonts w:ascii="Arial" w:cs="Arial" w:eastAsia="Arial" w:hAnsi="Arial"/>
          <w:sz w:val="19"/>
          <w:szCs w:val="19"/>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64" w:lineRule="exact"/>
        <w:rPr>
          <w:sz w:val="20"/>
          <w:szCs w:val="20"/>
          <w:color w:val="auto"/>
        </w:rPr>
      </w:pPr>
    </w:p>
    <w:p>
      <w:pPr>
        <w:jc w:val="both"/>
        <w:ind w:left="866"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SOFR Notice</w:t>
      </w:r>
      <w:r>
        <w:rPr>
          <w:rFonts w:ascii="Arial" w:cs="Arial" w:eastAsia="Arial" w:hAnsi="Arial"/>
          <w:sz w:val="19"/>
          <w:szCs w:val="19"/>
          <w:color w:val="auto"/>
        </w:rPr>
        <w:t>” means a notification by the Administrative Agent to the Lenders and the Borrower of the occurrence of a Term SOFR Transition Event.</w:t>
      </w:r>
    </w:p>
    <w:p>
      <w:pPr>
        <w:spacing w:after="0" w:line="147" w:lineRule="exact"/>
        <w:rPr>
          <w:sz w:val="20"/>
          <w:szCs w:val="20"/>
          <w:color w:val="auto"/>
        </w:rPr>
      </w:pPr>
    </w:p>
    <w:p>
      <w:pPr>
        <w:jc w:val="both"/>
        <w:ind w:left="866" w:firstLine="648"/>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SOFR Transition Event</w:t>
      </w:r>
      <w:r>
        <w:rPr>
          <w:rFonts w:ascii="Arial" w:cs="Arial" w:eastAsia="Arial" w:hAnsi="Arial"/>
          <w:sz w:val="19"/>
          <w:szCs w:val="19"/>
          <w:color w:val="auto"/>
        </w:rPr>
        <w:t xml:space="preserve">” means the determination by the Administrative Agent that (i) Term SOFR has been recommended for use by the Relevant Governmental Body, (ii) the administration of Term SOFR is administratively feasible for the Administrative Agent and (iii) a Benchmark Transition Event or an Early Opt-in Election, as applicable, has previously occurred resulting in a Benchmark Replacement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3.08</w:t>
      </w:r>
      <w:r>
        <w:rPr>
          <w:rFonts w:ascii="Arial" w:cs="Arial" w:eastAsia="Arial" w:hAnsi="Arial"/>
          <w:sz w:val="19"/>
          <w:szCs w:val="19"/>
          <w:color w:val="auto"/>
        </w:rPr>
        <w:t xml:space="preserve"> that is not Term SOFR.</w:t>
      </w:r>
    </w:p>
    <w:p>
      <w:pPr>
        <w:spacing w:after="0" w:line="175" w:lineRule="exact"/>
        <w:rPr>
          <w:sz w:val="20"/>
          <w:szCs w:val="20"/>
          <w:color w:val="auto"/>
        </w:rPr>
      </w:pPr>
    </w:p>
    <w:p>
      <w:pPr>
        <w:jc w:val="both"/>
        <w:ind w:left="866" w:firstLine="648"/>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UK Financial Institution</w:t>
      </w:r>
      <w:r>
        <w:rPr>
          <w:rFonts w:ascii="Arial" w:cs="Arial" w:eastAsia="Arial" w:hAnsi="Arial"/>
          <w:sz w:val="19"/>
          <w:szCs w:val="19"/>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5" w:lineRule="exact"/>
        <w:rPr>
          <w:sz w:val="20"/>
          <w:szCs w:val="20"/>
          <w:color w:val="auto"/>
        </w:rPr>
      </w:pPr>
    </w:p>
    <w:p>
      <w:pPr>
        <w:jc w:val="both"/>
        <w:ind w:left="866"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UK Resolution Authority</w:t>
      </w:r>
      <w:r>
        <w:rPr>
          <w:rFonts w:ascii="Arial" w:cs="Arial" w:eastAsia="Arial" w:hAnsi="Arial"/>
          <w:sz w:val="19"/>
          <w:szCs w:val="19"/>
          <w:color w:val="auto"/>
        </w:rPr>
        <w:t>” means the Bank of England or any other public administrative authority having responsibility for the resolution of any UK Financial Institution.</w:t>
      </w:r>
    </w:p>
    <w:p>
      <w:pPr>
        <w:spacing w:after="0" w:line="147" w:lineRule="exact"/>
        <w:rPr>
          <w:sz w:val="20"/>
          <w:szCs w:val="20"/>
          <w:color w:val="auto"/>
        </w:rPr>
      </w:pPr>
    </w:p>
    <w:p>
      <w:pPr>
        <w:ind w:left="-434" w:firstLine="488"/>
        <w:spacing w:after="0" w:line="290" w:lineRule="auto"/>
        <w:tabs>
          <w:tab w:leader="none" w:pos="862"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defined term “</w:t>
      </w:r>
      <w:r>
        <w:rPr>
          <w:rFonts w:ascii="Arial" w:cs="Arial" w:eastAsia="Arial" w:hAnsi="Arial"/>
          <w:sz w:val="19"/>
          <w:szCs w:val="19"/>
          <w:b w:val="1"/>
          <w:bCs w:val="1"/>
          <w:color w:val="auto"/>
        </w:rPr>
        <w:t>Bail-In Action</w:t>
      </w:r>
      <w:r>
        <w:rPr>
          <w:rFonts w:ascii="Arial" w:cs="Arial" w:eastAsia="Arial" w:hAnsi="Arial"/>
          <w:sz w:val="19"/>
          <w:szCs w:val="19"/>
          <w:color w:val="auto"/>
        </w:rPr>
        <w:t xml:space="preserve">”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Existing Credit Agreement is hereby amended and restated in its entirety to read as follows:</w:t>
      </w:r>
    </w:p>
    <w:p>
      <w:pPr>
        <w:spacing w:after="0" w:line="147" w:lineRule="exact"/>
        <w:rPr>
          <w:sz w:val="20"/>
          <w:szCs w:val="20"/>
          <w:color w:val="auto"/>
        </w:rPr>
      </w:pPr>
    </w:p>
    <w:p>
      <w:pPr>
        <w:ind w:left="866"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Bail-In Action</w:t>
      </w:r>
      <w:r>
        <w:rPr>
          <w:rFonts w:ascii="Arial" w:cs="Arial" w:eastAsia="Arial" w:hAnsi="Arial"/>
          <w:sz w:val="19"/>
          <w:szCs w:val="19"/>
          <w:color w:val="auto"/>
        </w:rPr>
        <w:t>” means the exercise of any Write-Down and Conversion Powers by the applicable Resolution Authority in respect of any liability of an Affected Financial Institution.</w:t>
      </w:r>
    </w:p>
    <w:p>
      <w:pPr>
        <w:spacing w:after="0" w:line="147" w:lineRule="exact"/>
        <w:rPr>
          <w:sz w:val="20"/>
          <w:szCs w:val="20"/>
          <w:color w:val="auto"/>
        </w:rPr>
      </w:pPr>
    </w:p>
    <w:p>
      <w:pPr>
        <w:ind w:left="-434" w:firstLine="434"/>
        <w:spacing w:after="0" w:line="290" w:lineRule="auto"/>
        <w:tabs>
          <w:tab w:leader="none" w:pos="862"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defined term “</w:t>
      </w:r>
      <w:r>
        <w:rPr>
          <w:rFonts w:ascii="Arial" w:cs="Arial" w:eastAsia="Arial" w:hAnsi="Arial"/>
          <w:sz w:val="19"/>
          <w:szCs w:val="19"/>
          <w:b w:val="1"/>
          <w:bCs w:val="1"/>
          <w:color w:val="auto"/>
        </w:rPr>
        <w:t>Bail-In Legislation</w:t>
      </w:r>
      <w:r>
        <w:rPr>
          <w:rFonts w:ascii="Arial" w:cs="Arial" w:eastAsia="Arial" w:hAnsi="Arial"/>
          <w:sz w:val="19"/>
          <w:szCs w:val="19"/>
          <w:color w:val="auto"/>
        </w:rPr>
        <w:t xml:space="preserve">”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Existing Credit Agreement is hereby amended and restated in its entirety to read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86"/>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146"/>
          </w:cols>
          <w:pgMar w:left="1414" w:top="1422" w:right="339" w:bottom="1440" w:gutter="0" w:footer="0" w:header="0"/>
        </w:sectPr>
      </w:pPr>
    </w:p>
    <w:bookmarkStart w:id="8" w:name="page9"/>
    <w:bookmarkEnd w:id="8"/>
    <w:p>
      <w:pPr>
        <w:jc w:val="both"/>
        <w:ind w:left="853"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8" w:lineRule="exact"/>
        <w:rPr>
          <w:sz w:val="20"/>
          <w:szCs w:val="20"/>
          <w:color w:val="auto"/>
        </w:rPr>
      </w:pPr>
    </w:p>
    <w:p>
      <w:pPr>
        <w:ind w:left="-447" w:firstLine="447"/>
        <w:spacing w:after="0" w:line="288" w:lineRule="auto"/>
        <w:tabs>
          <w:tab w:leader="none" w:pos="849"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defined term “</w:t>
      </w:r>
      <w:r>
        <w:rPr>
          <w:rFonts w:ascii="Arial" w:cs="Arial" w:eastAsia="Arial" w:hAnsi="Arial"/>
          <w:sz w:val="19"/>
          <w:szCs w:val="19"/>
          <w:b w:val="1"/>
          <w:bCs w:val="1"/>
          <w:color w:val="auto"/>
        </w:rPr>
        <w:t>Write-Down and Conversion Powers</w:t>
      </w:r>
      <w:r>
        <w:rPr>
          <w:rFonts w:ascii="Arial" w:cs="Arial" w:eastAsia="Arial" w:hAnsi="Arial"/>
          <w:sz w:val="19"/>
          <w:szCs w:val="19"/>
          <w:color w:val="auto"/>
        </w:rPr>
        <w:t xml:space="preserve">”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Existing Credit Agreement is hereby amended and restated in its entirety to read as follows:</w:t>
      </w:r>
    </w:p>
    <w:p>
      <w:pPr>
        <w:spacing w:after="0" w:line="151" w:lineRule="exact"/>
        <w:rPr>
          <w:sz w:val="20"/>
          <w:szCs w:val="20"/>
          <w:color w:val="auto"/>
        </w:rPr>
      </w:pPr>
    </w:p>
    <w:p>
      <w:pPr>
        <w:jc w:val="both"/>
        <w:ind w:left="853"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Write-Down and Conversion Powers</w:t>
      </w:r>
      <w:r>
        <w:rPr>
          <w:rFonts w:ascii="Arial" w:cs="Arial" w:eastAsia="Arial" w:hAnsi="Arial"/>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0" w:lineRule="exact"/>
        <w:rPr>
          <w:sz w:val="20"/>
          <w:szCs w:val="20"/>
          <w:color w:val="auto"/>
        </w:rPr>
      </w:pPr>
    </w:p>
    <w:p>
      <w:pPr>
        <w:ind w:left="-447" w:right="20" w:firstLine="500"/>
        <w:spacing w:after="0" w:line="288" w:lineRule="auto"/>
        <w:tabs>
          <w:tab w:leader="none" w:pos="91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defined term “</w:t>
      </w:r>
      <w:r>
        <w:rPr>
          <w:rFonts w:ascii="Arial" w:cs="Arial" w:eastAsia="Arial" w:hAnsi="Arial"/>
          <w:sz w:val="19"/>
          <w:szCs w:val="19"/>
          <w:b w:val="1"/>
          <w:bCs w:val="1"/>
          <w:color w:val="auto"/>
        </w:rPr>
        <w:t>Benchmark Replacement</w:t>
      </w:r>
      <w:r>
        <w:rPr>
          <w:rFonts w:ascii="Arial" w:cs="Arial" w:eastAsia="Arial" w:hAnsi="Arial"/>
          <w:sz w:val="19"/>
          <w:szCs w:val="19"/>
          <w:color w:val="auto"/>
        </w:rPr>
        <w:t xml:space="preserve">”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Existing Credit Agreement is hereby amended and restated in its entirety to read as follows:</w:t>
      </w:r>
    </w:p>
    <w:p>
      <w:pPr>
        <w:spacing w:after="0" w:line="151" w:lineRule="exact"/>
        <w:rPr>
          <w:sz w:val="20"/>
          <w:szCs w:val="20"/>
          <w:color w:val="auto"/>
        </w:rPr>
      </w:pPr>
    </w:p>
    <w:p>
      <w:pPr>
        <w:jc w:val="both"/>
        <w:ind w:left="853" w:firstLine="648"/>
        <w:spacing w:after="0" w:line="29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Benchmark Replacement</w:t>
      </w:r>
      <w:r>
        <w:rPr>
          <w:rFonts w:ascii="Arial" w:cs="Arial" w:eastAsia="Arial" w:hAnsi="Arial"/>
          <w:sz w:val="17"/>
          <w:szCs w:val="17"/>
          <w:color w:val="auto"/>
        </w:rPr>
        <w:t xml:space="preserve">” means, for any Available Tenor, the first alternative set forth in the order below that can be determined by the Administrative Agent for the applicable Benchmark Replacement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Borrowing in an Alternative Currency, “Benchmark Replacement” shall mean the alternative set forth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-172085</wp:posOffset>
            </wp:positionV>
            <wp:extent cx="304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480" cy="8890"/>
                    </a:xfrm>
                    <a:prstGeom prst="rect">
                      <a:avLst/>
                    </a:prstGeom>
                    <a:noFill/>
                  </pic:spPr>
                </pic:pic>
              </a:graphicData>
            </a:graphic>
          </wp:anchor>
        </w:drawing>
      </w:r>
    </w:p>
    <w:p>
      <w:pPr>
        <w:jc w:val="both"/>
        <w:ind w:left="853" w:hanging="8"/>
        <w:spacing w:after="0" w:line="253" w:lineRule="auto"/>
        <w:tabs>
          <w:tab w:leader="none" w:pos="1196"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below: (i) the sum of (a) Term SOFR and (b) the related Benchmark Replacement Adjustment, (ii) the sum of (a) Daily Simple SOFR and (b) the related Benchmark Replacement Adjustment and (iii) the sum of (a) the alternate benchmark rate that has been selected by the Administrative Agent and the Borrower as the replacement for the then-current Benchmark for the applicable Corresponding Tenor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the then-current Benchmark for syndicated credit facilities denominated in the applicable Agreed Currency at such time, and (b) the related Benchmark Replacement Adjustment;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clause (i), such Unadjusted Benchmark Replacement is displayed on a screen or other information service that publishes such rate from time to time as selected by the Administrative Agent in its reasonable discretion;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further that, notwithstanding anything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73"/>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133"/>
          </w:cols>
          <w:pgMar w:left="1427" w:top="1417" w:right="339" w:bottom="1440" w:gutter="0" w:footer="0" w:header="0"/>
        </w:sectPr>
      </w:pPr>
    </w:p>
    <w:bookmarkStart w:id="9" w:name="page10"/>
    <w:bookmarkEnd w:id="9"/>
    <w:p>
      <w:pPr>
        <w:jc w:val="both"/>
        <w:ind w:left="904"/>
        <w:spacing w:after="0" w:line="279" w:lineRule="auto"/>
        <w:rPr>
          <w:sz w:val="20"/>
          <w:szCs w:val="20"/>
          <w:color w:val="auto"/>
        </w:rPr>
      </w:pPr>
      <w:r>
        <w:rPr>
          <w:rFonts w:ascii="Arial" w:cs="Arial" w:eastAsia="Arial" w:hAnsi="Arial"/>
          <w:sz w:val="18"/>
          <w:szCs w:val="18"/>
          <w:color w:val="auto"/>
        </w:rPr>
        <w:t>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(i) of this definition (subject to the first proviso above).</w:t>
      </w:r>
    </w:p>
    <w:p>
      <w:pPr>
        <w:spacing w:after="0" w:line="172" w:lineRule="exact"/>
        <w:rPr>
          <w:sz w:val="20"/>
          <w:szCs w:val="20"/>
          <w:color w:val="auto"/>
        </w:rPr>
      </w:pPr>
    </w:p>
    <w:p>
      <w:pPr>
        <w:jc w:val="both"/>
        <w:ind w:left="904" w:firstLine="648"/>
        <w:spacing w:after="0" w:line="265" w:lineRule="auto"/>
        <w:rPr>
          <w:sz w:val="20"/>
          <w:szCs w:val="20"/>
          <w:color w:val="auto"/>
        </w:rPr>
      </w:pPr>
      <w:r>
        <w:rPr>
          <w:rFonts w:ascii="Arial" w:cs="Arial" w:eastAsia="Arial" w:hAnsi="Arial"/>
          <w:sz w:val="19"/>
          <w:szCs w:val="19"/>
          <w:color w:val="auto"/>
        </w:rPr>
        <w:t>If the Benchmark Replacement as determined pursuant to clause (i), (ii) or (iii) above would be less than the Floor, the Benchmark Replacement will be deemed to be the Floor for the purposes of this Agreement and the other Loan Documents.</w:t>
      </w:r>
    </w:p>
    <w:p>
      <w:pPr>
        <w:spacing w:after="0" w:line="175" w:lineRule="exact"/>
        <w:rPr>
          <w:sz w:val="20"/>
          <w:szCs w:val="20"/>
          <w:color w:val="auto"/>
        </w:rPr>
      </w:pPr>
    </w:p>
    <w:p>
      <w:pPr>
        <w:ind w:left="-396" w:firstLine="449"/>
        <w:spacing w:after="0" w:line="285" w:lineRule="auto"/>
        <w:tabs>
          <w:tab w:leader="none" w:pos="901"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defined term “</w:t>
      </w:r>
      <w:r>
        <w:rPr>
          <w:rFonts w:ascii="Arial" w:cs="Arial" w:eastAsia="Arial" w:hAnsi="Arial"/>
          <w:sz w:val="19"/>
          <w:szCs w:val="19"/>
          <w:b w:val="1"/>
          <w:bCs w:val="1"/>
          <w:color w:val="auto"/>
        </w:rPr>
        <w:t>Benchmark Replacement Adjustment</w:t>
      </w:r>
      <w:r>
        <w:rPr>
          <w:rFonts w:ascii="Arial" w:cs="Arial" w:eastAsia="Arial" w:hAnsi="Arial"/>
          <w:sz w:val="19"/>
          <w:szCs w:val="19"/>
          <w:color w:val="auto"/>
        </w:rPr>
        <w:t xml:space="preserve">”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Existing Credit Agreement is hereby amended and restated in its entirety to read as follows:</w:t>
      </w:r>
    </w:p>
    <w:p>
      <w:pPr>
        <w:spacing w:after="0" w:line="156" w:lineRule="exact"/>
        <w:rPr>
          <w:sz w:val="20"/>
          <w:szCs w:val="20"/>
          <w:color w:val="auto"/>
        </w:rPr>
      </w:pPr>
    </w:p>
    <w:p>
      <w:pPr>
        <w:jc w:val="both"/>
        <w:ind w:left="904"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 Adjustment</w:t>
      </w:r>
      <w:r>
        <w:rPr>
          <w:rFonts w:ascii="Arial" w:cs="Arial" w:eastAsia="Arial" w:hAnsi="Arial"/>
          <w:sz w:val="18"/>
          <w:szCs w:val="18"/>
          <w:color w:val="auto"/>
        </w:rPr>
        <w:t xml:space="preserve">” means, with respect to any replacement of the then current Benchmark with an Unadjusted Benchmark Replacement for any applicable Interest Period and Available Tenor for any setting of such Unadjusted Benchmark Replacement: (1) for purposes of clauses (i) and (ii) of the definition of “Benchmark Replacement,” the first alternative set forth in the order below that can be determined by the Administrative Agent, (a) 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 or (b) 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 (2) for purposes of clause (iii)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(A)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78" w:lineRule="exact"/>
        <w:rPr>
          <w:sz w:val="20"/>
          <w:szCs w:val="20"/>
          <w:color w:val="auto"/>
        </w:rPr>
      </w:pPr>
    </w:p>
    <w:p>
      <w:pPr>
        <w:ind w:left="-396" w:right="20" w:firstLine="396"/>
        <w:spacing w:after="0" w:line="285" w:lineRule="auto"/>
        <w:tabs>
          <w:tab w:leader="none" w:pos="901"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defined term “</w:t>
      </w:r>
      <w:r>
        <w:rPr>
          <w:rFonts w:ascii="Arial" w:cs="Arial" w:eastAsia="Arial" w:hAnsi="Arial"/>
          <w:sz w:val="19"/>
          <w:szCs w:val="19"/>
          <w:b w:val="1"/>
          <w:bCs w:val="1"/>
          <w:color w:val="auto"/>
        </w:rPr>
        <w:t>Benchmark Replacement Conforming Changes</w:t>
      </w:r>
      <w:r>
        <w:rPr>
          <w:rFonts w:ascii="Arial" w:cs="Arial" w:eastAsia="Arial" w:hAnsi="Arial"/>
          <w:sz w:val="19"/>
          <w:szCs w:val="19"/>
          <w:color w:val="auto"/>
        </w:rPr>
        <w:t xml:space="preserve">”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Existing Credit Agreement is hereby amended and restated in its entirety to read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524"/>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184"/>
          </w:cols>
          <w:pgMar w:left="1376" w:top="1424" w:right="339" w:bottom="1440" w:gutter="0" w:footer="0" w:header="0"/>
        </w:sectPr>
      </w:pPr>
    </w:p>
    <w:bookmarkStart w:id="10" w:name="page11"/>
    <w:bookmarkEnd w:id="10"/>
    <w:p>
      <w:pPr>
        <w:jc w:val="both"/>
        <w:ind w:left="964" w:firstLine="648"/>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Benchmark Replacement Conforming Changes</w:t>
      </w:r>
      <w:r>
        <w:rPr>
          <w:rFonts w:ascii="Arial" w:cs="Arial" w:eastAsia="Arial" w:hAnsi="Arial"/>
          <w:sz w:val="17"/>
          <w:szCs w:val="17"/>
          <w:color w:val="auto"/>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60" w:lineRule="exact"/>
        <w:rPr>
          <w:sz w:val="20"/>
          <w:szCs w:val="20"/>
          <w:color w:val="auto"/>
        </w:rPr>
      </w:pPr>
    </w:p>
    <w:p>
      <w:pPr>
        <w:ind w:left="-336" w:firstLine="336"/>
        <w:spacing w:after="0" w:line="290" w:lineRule="auto"/>
        <w:tabs>
          <w:tab w:leader="none" w:pos="959"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defined term “</w:t>
      </w:r>
      <w:r>
        <w:rPr>
          <w:rFonts w:ascii="Arial" w:cs="Arial" w:eastAsia="Arial" w:hAnsi="Arial"/>
          <w:sz w:val="19"/>
          <w:szCs w:val="19"/>
          <w:b w:val="1"/>
          <w:bCs w:val="1"/>
          <w:color w:val="auto"/>
        </w:rPr>
        <w:t>Benchmark Replacement Date</w:t>
      </w:r>
      <w:r>
        <w:rPr>
          <w:rFonts w:ascii="Arial" w:cs="Arial" w:eastAsia="Arial" w:hAnsi="Arial"/>
          <w:sz w:val="19"/>
          <w:szCs w:val="19"/>
          <w:color w:val="auto"/>
        </w:rPr>
        <w:t xml:space="preserve">”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Existing Credit Agreement is hereby amended and restated in its entirety to read as follows:</w:t>
      </w:r>
    </w:p>
    <w:p>
      <w:pPr>
        <w:spacing w:after="0" w:line="147" w:lineRule="exact"/>
        <w:rPr>
          <w:sz w:val="20"/>
          <w:szCs w:val="20"/>
          <w:color w:val="auto"/>
        </w:rPr>
      </w:pPr>
    </w:p>
    <w:p>
      <w:pPr>
        <w:ind w:left="964" w:firstLine="648"/>
        <w:spacing w:after="0" w:line="29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Benchmark Replacement Date</w:t>
      </w:r>
      <w:r>
        <w:rPr>
          <w:rFonts w:ascii="Arial" w:cs="Arial" w:eastAsia="Arial" w:hAnsi="Arial"/>
          <w:sz w:val="17"/>
          <w:szCs w:val="17"/>
          <w:color w:val="auto"/>
        </w:rPr>
        <w:t>” means the earliest to occur of the following events with respect to the then-current Benchmark: (i) in the case of clause (i) or (ii) of the definition of “Benchmark Transition Event,” the later of</w:t>
      </w:r>
    </w:p>
    <w:p>
      <w:pPr>
        <w:jc w:val="both"/>
        <w:ind w:left="964" w:hanging="8"/>
        <w:spacing w:after="0" w:line="266" w:lineRule="auto"/>
        <w:tabs>
          <w:tab w:leader="none" w:pos="1304"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(ii) in the case of clause (iii) of the definition of “Benchmark Transition Event,” the date of the public statement or publication of information referenced therein; or (iii) in the case of a Term SOFR Transition Event, the date that is thirty (30) days after the date a Term SOFR Notice is provided to the Lenders and the Borrower pursuant to Section 3.08; or (iv) in the case of an Early Opt-in Election, the sixth (6</w:t>
      </w:r>
      <w:r>
        <w:rPr>
          <w:rFonts w:ascii="Arial" w:cs="Arial" w:eastAsia="Arial" w:hAnsi="Arial"/>
          <w:sz w:val="22"/>
          <w:szCs w:val="22"/>
          <w:color w:val="auto"/>
          <w:vertAlign w:val="superscript"/>
        </w:rPr>
        <w:t>th</w:t>
      </w:r>
      <w:r>
        <w:rPr>
          <w:rFonts w:ascii="Arial" w:cs="Arial" w:eastAsia="Arial" w:hAnsi="Arial"/>
          <w:sz w:val="17"/>
          <w:szCs w:val="17"/>
          <w:color w:val="auto"/>
        </w:rPr>
        <w:t>) Business Day after the date notice of such Early Opt-in Election is provided to the Lenders, so long as the Administrative Agent has not received, by 5:00 p.m. (New York City time) on the fifth (5</w:t>
      </w:r>
      <w:r>
        <w:rPr>
          <w:rFonts w:ascii="Arial" w:cs="Arial" w:eastAsia="Arial" w:hAnsi="Arial"/>
          <w:sz w:val="22"/>
          <w:szCs w:val="22"/>
          <w:color w:val="auto"/>
          <w:vertAlign w:val="superscript"/>
        </w:rPr>
        <w:t>th</w:t>
      </w:r>
      <w:r>
        <w:rPr>
          <w:rFonts w:ascii="Arial" w:cs="Arial" w:eastAsia="Arial" w:hAnsi="Arial"/>
          <w:sz w:val="17"/>
          <w:szCs w:val="17"/>
          <w:color w:val="auto"/>
        </w:rPr>
        <w:t>) Business Day after the date notice of such Early Opt-in Election is provided to the Lenders, written notice of objection to such Early Opt-in Election from Lenders comprising the Required Lenders. For the avoidance of doubt,</w:t>
      </w:r>
    </w:p>
    <w:p>
      <w:pPr>
        <w:spacing w:after="0" w:line="1" w:lineRule="exact"/>
        <w:rPr>
          <w:rFonts w:ascii="Arial" w:cs="Arial" w:eastAsia="Arial" w:hAnsi="Arial"/>
          <w:sz w:val="17"/>
          <w:szCs w:val="17"/>
          <w:color w:val="auto"/>
        </w:rPr>
      </w:pPr>
    </w:p>
    <w:p>
      <w:pPr>
        <w:jc w:val="both"/>
        <w:ind w:left="964"/>
        <w:spacing w:after="0" w:line="254" w:lineRule="auto"/>
        <w:rPr>
          <w:rFonts w:ascii="Arial" w:cs="Arial" w:eastAsia="Arial" w:hAnsi="Arial"/>
          <w:sz w:val="17"/>
          <w:szCs w:val="17"/>
          <w:color w:val="auto"/>
        </w:rPr>
      </w:pPr>
      <w:r>
        <w:rPr>
          <w:rFonts w:ascii="Arial" w:cs="Arial" w:eastAsia="Arial" w:hAnsi="Arial"/>
          <w:sz w:val="19"/>
          <w:szCs w:val="19"/>
          <w:color w:val="auto"/>
        </w:rPr>
        <w:t>(i)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(i) or (ii) with respect to any Benchmark upon the occurrence of the applicable event or events set forth therein with respect to all then-current Available Tenors of such Benchmark (or the published component used in the calculation thereof).</w:t>
      </w:r>
    </w:p>
    <w:p>
      <w:pPr>
        <w:spacing w:after="0" w:line="183" w:lineRule="exact"/>
        <w:rPr>
          <w:rFonts w:ascii="Arial" w:cs="Arial" w:eastAsia="Arial" w:hAnsi="Arial"/>
          <w:sz w:val="17"/>
          <w:szCs w:val="17"/>
          <w:color w:val="auto"/>
        </w:rPr>
      </w:pPr>
    </w:p>
    <w:p>
      <w:pPr>
        <w:ind w:left="-336" w:firstLine="444"/>
        <w:spacing w:after="0" w:line="290" w:lineRule="auto"/>
        <w:tabs>
          <w:tab w:leader="none" w:pos="959"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defined term “</w:t>
      </w:r>
      <w:r>
        <w:rPr>
          <w:rFonts w:ascii="Arial" w:cs="Arial" w:eastAsia="Arial" w:hAnsi="Arial"/>
          <w:sz w:val="19"/>
          <w:szCs w:val="19"/>
          <w:b w:val="1"/>
          <w:bCs w:val="1"/>
          <w:color w:val="auto"/>
        </w:rPr>
        <w:t>Benchmark Transition Event</w:t>
      </w:r>
      <w:r>
        <w:rPr>
          <w:rFonts w:ascii="Arial" w:cs="Arial" w:eastAsia="Arial" w:hAnsi="Arial"/>
          <w:sz w:val="19"/>
          <w:szCs w:val="19"/>
          <w:color w:val="auto"/>
        </w:rPr>
        <w:t xml:space="preserve">”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Existing Credit Agreement is hereby amended and restated in its entirety to read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584"/>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244"/>
          </w:cols>
          <w:pgMar w:left="1316" w:top="1416" w:right="339" w:bottom="1440" w:gutter="0" w:footer="0" w:header="0"/>
        </w:sectPr>
      </w:pPr>
    </w:p>
    <w:bookmarkStart w:id="11" w:name="page12"/>
    <w:bookmarkEnd w:id="11"/>
    <w:p>
      <w:pPr>
        <w:spacing w:after="0" w:line="221" w:lineRule="exact"/>
        <w:rPr>
          <w:sz w:val="20"/>
          <w:szCs w:val="20"/>
          <w:color w:val="auto"/>
        </w:rPr>
      </w:pPr>
    </w:p>
    <w:p>
      <w:pPr>
        <w:jc w:val="both"/>
        <w:ind w:left="84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Benchmark Transition Event</w:t>
      </w:r>
      <w:r>
        <w:rPr>
          <w:rFonts w:ascii="Arial" w:cs="Arial" w:eastAsia="Arial" w:hAnsi="Arial"/>
          <w:sz w:val="16"/>
          <w:szCs w:val="16"/>
          <w:color w:val="auto"/>
        </w:rPr>
        <w:t xml:space="preserve">” means the occurrence of one or more of the following events with respect to the then-current Benchmark: (i)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the time of such statement or publication, there is no successor administrator that will continue to provide any Available Tenor of such Benchmark (or such component thereof), (ii)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such statement or publication, there is no successor administrator that will continue to provide any Available Tenor of such Benchmark (or such component thereof), or (iii) 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387" w:lineRule="exact"/>
        <w:rPr>
          <w:sz w:val="20"/>
          <w:szCs w:val="20"/>
          <w:color w:val="auto"/>
        </w:rPr>
      </w:pPr>
    </w:p>
    <w:p>
      <w:pPr>
        <w:ind w:left="-460" w:firstLine="515"/>
        <w:spacing w:after="0" w:line="282" w:lineRule="auto"/>
        <w:tabs>
          <w:tab w:leader="none" w:pos="8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defined term “</w:t>
      </w:r>
      <w:r>
        <w:rPr>
          <w:rFonts w:ascii="Arial" w:cs="Arial" w:eastAsia="Arial" w:hAnsi="Arial"/>
          <w:sz w:val="18"/>
          <w:szCs w:val="18"/>
          <w:b w:val="1"/>
          <w:bCs w:val="1"/>
          <w:color w:val="auto"/>
        </w:rPr>
        <w:t>Benchmark Unavailability Period</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Existing Credit Agreement is hereby amended and restated in its entirety to read as follows:</w:t>
      </w:r>
    </w:p>
    <w:p>
      <w:pPr>
        <w:spacing w:after="0" w:line="162" w:lineRule="exact"/>
        <w:rPr>
          <w:sz w:val="20"/>
          <w:szCs w:val="20"/>
          <w:color w:val="auto"/>
        </w:rPr>
      </w:pPr>
    </w:p>
    <w:p>
      <w:pPr>
        <w:jc w:val="both"/>
        <w:ind w:left="8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Unavailability Period</w:t>
      </w:r>
      <w:r>
        <w:rPr>
          <w:rFonts w:ascii="Arial" w:cs="Arial" w:eastAsia="Arial" w:hAnsi="Arial"/>
          <w:sz w:val="18"/>
          <w:szCs w:val="18"/>
          <w:color w:val="auto"/>
        </w:rPr>
        <w:t xml:space="preserve">” means the period (if any) (x) beginning at the time that a Benchmark Replacement Date pursuant to clauses (i) or (ii) of that definition has occurred if, at such time, no Benchmark Replacement has replaced the then-current Benchmark for all purposes hereunder and under any Loan Document in accordance with </w:t>
      </w:r>
      <w:r>
        <w:rPr>
          <w:rFonts w:ascii="Arial" w:cs="Arial" w:eastAsia="Arial" w:hAnsi="Arial"/>
          <w:sz w:val="18"/>
          <w:szCs w:val="18"/>
          <w:u w:val="single" w:color="auto"/>
          <w:color w:val="auto"/>
        </w:rPr>
        <w:t>Section 3.08</w:t>
      </w:r>
      <w:r>
        <w:rPr>
          <w:rFonts w:ascii="Arial" w:cs="Arial" w:eastAsia="Arial" w:hAnsi="Arial"/>
          <w:sz w:val="18"/>
          <w:szCs w:val="18"/>
          <w:color w:val="auto"/>
        </w:rPr>
        <w:t xml:space="preserve"> and (y) ending at the time that a Benchmark Replacement has replaced the then-current Benchmark for all purposes hereunder and under any Loan Document in accordance with </w:t>
      </w:r>
      <w:r>
        <w:rPr>
          <w:rFonts w:ascii="Arial" w:cs="Arial" w:eastAsia="Arial" w:hAnsi="Arial"/>
          <w:sz w:val="18"/>
          <w:szCs w:val="18"/>
          <w:u w:val="single" w:color="auto"/>
          <w:color w:val="auto"/>
        </w:rPr>
        <w:t>Section 3.08</w:t>
      </w:r>
      <w:r>
        <w:rPr>
          <w:rFonts w:ascii="Arial" w:cs="Arial" w:eastAsia="Arial" w:hAnsi="Arial"/>
          <w:sz w:val="18"/>
          <w:szCs w:val="18"/>
          <w:color w:val="auto"/>
        </w:rPr>
        <w:t>.</w:t>
      </w:r>
    </w:p>
    <w:p>
      <w:pPr>
        <w:spacing w:after="0" w:line="183" w:lineRule="exact"/>
        <w:rPr>
          <w:sz w:val="20"/>
          <w:szCs w:val="20"/>
          <w:color w:val="auto"/>
        </w:rPr>
      </w:pPr>
    </w:p>
    <w:p>
      <w:pPr>
        <w:ind w:left="-460" w:firstLine="465"/>
        <w:spacing w:after="0" w:line="282" w:lineRule="auto"/>
        <w:tabs>
          <w:tab w:leader="none" w:pos="8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defined term “</w:t>
      </w:r>
      <w:r>
        <w:rPr>
          <w:rFonts w:ascii="Arial" w:cs="Arial" w:eastAsia="Arial" w:hAnsi="Arial"/>
          <w:sz w:val="18"/>
          <w:szCs w:val="18"/>
          <w:b w:val="1"/>
          <w:bCs w:val="1"/>
          <w:color w:val="auto"/>
        </w:rPr>
        <w:t>Early Opt-In Election</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Existing Credit Agreement is hereby amended and restated in its entirety to read as follows:</w:t>
      </w:r>
    </w:p>
    <w:p>
      <w:pPr>
        <w:spacing w:after="0" w:line="16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Opt-in Election</w:t>
      </w:r>
      <w:r>
        <w:rPr>
          <w:rFonts w:ascii="Arial" w:cs="Arial" w:eastAsia="Arial" w:hAnsi="Arial"/>
          <w:sz w:val="18"/>
          <w:szCs w:val="18"/>
          <w:color w:val="auto"/>
        </w:rPr>
        <w:t>” means:</w:t>
      </w:r>
    </w:p>
    <w:p>
      <w:pPr>
        <w:spacing w:after="0" w:line="229" w:lineRule="exact"/>
        <w:rPr>
          <w:sz w:val="20"/>
          <w:szCs w:val="20"/>
          <w:color w:val="auto"/>
        </w:rPr>
      </w:pPr>
    </w:p>
    <w:p>
      <w:pPr>
        <w:jc w:val="both"/>
        <w:ind w:left="840" w:firstLine="640"/>
        <w:spacing w:after="0" w:line="273" w:lineRule="auto"/>
        <w:tabs>
          <w:tab w:leader="none" w:pos="1723"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the case of Borrowings denominated in U.S. Dollars, (a) a notification by the Administrative Agent to (or the request by the Borrower to the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 (b) the joint election by the Administrative Agent and the Borrower to trigger a fallback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120"/>
          </w:cols>
          <w:pgMar w:left="1440" w:top="1440" w:right="3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color w:val="auto"/>
        </w:rPr>
        <w:t>LIBO Rate and the provision by the Administrative Agent of written notice of such election to the Lenders; and</w:t>
      </w:r>
    </w:p>
    <w:p>
      <w:pPr>
        <w:spacing w:after="0" w:line="225" w:lineRule="exact"/>
        <w:rPr>
          <w:sz w:val="20"/>
          <w:szCs w:val="20"/>
          <w:color w:val="auto"/>
        </w:rPr>
      </w:pPr>
    </w:p>
    <w:p>
      <w:pPr>
        <w:jc w:val="both"/>
        <w:ind w:left="1300" w:firstLine="640"/>
        <w:spacing w:after="0" w:line="290" w:lineRule="auto"/>
        <w:tabs>
          <w:tab w:leader="none" w:pos="2226" w:val="left"/>
        </w:tabs>
        <w:numPr>
          <w:ilvl w:val="1"/>
          <w:numId w:val="20"/>
        </w:numPr>
        <w:rPr>
          <w:rFonts w:ascii="Arial" w:cs="Arial" w:eastAsia="Arial" w:hAnsi="Arial"/>
          <w:sz w:val="16"/>
          <w:szCs w:val="16"/>
          <w:color w:val="auto"/>
        </w:rPr>
      </w:pPr>
      <w:r>
        <w:rPr>
          <w:rFonts w:ascii="Arial" w:cs="Arial" w:eastAsia="Arial" w:hAnsi="Arial"/>
          <w:sz w:val="16"/>
          <w:szCs w:val="16"/>
          <w:color w:val="auto"/>
        </w:rPr>
        <w:t xml:space="preserve">in the case of Borrowings denominated in any Alternative Currency, the occurrence of (a) (A) a determination by the Administrative Agent or (B) a notification by the Required Lenders to the Administrative Agent (with a copy to the Borrower) that the Required Lenders have determined that syndicated credit facilities denominated in the applicable Alternative Currency being executed at such time, or that include language similar to that contained in </w:t>
      </w:r>
      <w:r>
        <w:rPr>
          <w:rFonts w:ascii="Arial" w:cs="Arial" w:eastAsia="Arial" w:hAnsi="Arial"/>
          <w:sz w:val="16"/>
          <w:szCs w:val="16"/>
          <w:u w:val="single" w:color="auto"/>
          <w:color w:val="auto"/>
        </w:rPr>
        <w:t>Section 3.08</w:t>
      </w:r>
      <w:r>
        <w:rPr>
          <w:rFonts w:ascii="Arial" w:cs="Arial" w:eastAsia="Arial" w:hAnsi="Arial"/>
          <w:sz w:val="16"/>
          <w:szCs w:val="16"/>
          <w:color w:val="auto"/>
        </w:rPr>
        <w:t xml:space="preserve"> are being executed or amended, as applicable, to incorporate or adopt a new benchmark interest rate to replace the LIBO Rate, and (b) (A) the election by the Administrative Agent or (B) the election by the Required Lenders to declare that an Early Opt-in Election has occurred and the provision, as applicable, by the Administrative Agent of written notice of such election to the Borrower and the Lenders or by the Required Lenders of written notice of such election to the Administrative Agent.</w:t>
      </w:r>
    </w:p>
    <w:p>
      <w:pPr>
        <w:spacing w:after="0" w:line="161" w:lineRule="exact"/>
        <w:rPr>
          <w:rFonts w:ascii="Arial" w:cs="Arial" w:eastAsia="Arial" w:hAnsi="Arial"/>
          <w:sz w:val="16"/>
          <w:szCs w:val="16"/>
          <w:color w:val="auto"/>
        </w:rPr>
      </w:pPr>
    </w:p>
    <w:p>
      <w:pPr>
        <w:ind w:right="20" w:firstLine="415"/>
        <w:spacing w:after="0" w:line="282" w:lineRule="auto"/>
        <w:tabs>
          <w:tab w:leader="none" w:pos="12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defined term “</w:t>
      </w:r>
      <w:r>
        <w:rPr>
          <w:rFonts w:ascii="Arial" w:cs="Arial" w:eastAsia="Arial" w:hAnsi="Arial"/>
          <w:sz w:val="18"/>
          <w:szCs w:val="18"/>
          <w:b w:val="1"/>
          <w:bCs w:val="1"/>
          <w:color w:val="auto"/>
        </w:rPr>
        <w:t>Relevant Governmental Body</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Existing Credit Agreement is hereby amended and restated in its entirety to read as follows:</w:t>
      </w:r>
    </w:p>
    <w:p>
      <w:pPr>
        <w:spacing w:after="0" w:line="162" w:lineRule="exact"/>
        <w:rPr>
          <w:sz w:val="20"/>
          <w:szCs w:val="20"/>
          <w:color w:val="auto"/>
        </w:rPr>
      </w:pPr>
    </w:p>
    <w:p>
      <w:pPr>
        <w:jc w:val="both"/>
        <w:ind w:left="130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Relevant Governmental Body</w:t>
      </w:r>
      <w:r>
        <w:rPr>
          <w:rFonts w:ascii="Arial" w:cs="Arial" w:eastAsia="Arial" w:hAnsi="Arial"/>
          <w:sz w:val="16"/>
          <w:szCs w:val="16"/>
          <w:color w:val="auto"/>
        </w:rPr>
        <w:t>” means: (i) with respect to a Benchmark Replacement in respect of Loans denominated in U.S. Dollars, the Federal Reserve Board and/or the Federal Reserve Bank of New York, or a committee officially endorsed or convened by the Federal Reserve Board and/or the Federal Reserve Bank of New York or, in each case, any successor thereto, and (ii) with respect to a Benchmark Replacement in respect of Loans denominated in any Alternative Currency, (a) the central bank for the currency in which such Benchmark Replacement is denominated or any central bank or other supervisor which is responsible for supervising either (A) such Benchmark Replacement or (B) the administrator of such Benchmark Replacement or (b) any working group or committee officially endorsed or convened by (A) the central bank for the currency in which such Benchmark Replacement is denominated, (B) any central bank or other supervisor that is responsible for supervising either (1) such Benchmark Replacement or (2) the administrator of such Benchmark Replacement, (C) a group of those central banks or other supervisors or (D) the Financial Stability Board or any part thereof.</w:t>
      </w:r>
    </w:p>
    <w:p>
      <w:pPr>
        <w:spacing w:after="0" w:line="161" w:lineRule="exact"/>
        <w:rPr>
          <w:sz w:val="20"/>
          <w:szCs w:val="20"/>
          <w:color w:val="auto"/>
        </w:rPr>
      </w:pPr>
    </w:p>
    <w:p>
      <w:pPr>
        <w:ind w:left="1300" w:hanging="935"/>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defined term “</w:t>
      </w:r>
      <w:r>
        <w:rPr>
          <w:rFonts w:ascii="Arial" w:cs="Arial" w:eastAsia="Arial" w:hAnsi="Arial"/>
          <w:sz w:val="17"/>
          <w:szCs w:val="17"/>
          <w:b w:val="1"/>
          <w:bCs w:val="1"/>
          <w:color w:val="auto"/>
        </w:rPr>
        <w:t>SOFR</w:t>
      </w:r>
      <w:r>
        <w:rPr>
          <w:rFonts w:ascii="Arial" w:cs="Arial" w:eastAsia="Arial" w:hAnsi="Arial"/>
          <w:sz w:val="17"/>
          <w:szCs w:val="17"/>
          <w:color w:val="auto"/>
        </w:rPr>
        <w:t xml:space="preserve">” in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of the Existing Credit Agreement is hereby amended and restated in its entirety to</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read as follows:</w:t>
      </w:r>
    </w:p>
    <w:p>
      <w:pPr>
        <w:spacing w:after="0" w:line="207" w:lineRule="exact"/>
        <w:rPr>
          <w:sz w:val="20"/>
          <w:szCs w:val="20"/>
          <w:color w:val="auto"/>
        </w:rPr>
      </w:pPr>
    </w:p>
    <w:p>
      <w:pPr>
        <w:jc w:val="both"/>
        <w:ind w:left="13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w:t>
      </w:r>
      <w:r>
        <w:rPr>
          <w:rFonts w:ascii="Arial" w:cs="Arial" w:eastAsia="Arial" w:hAnsi="Arial"/>
          <w:sz w:val="18"/>
          <w:szCs w:val="18"/>
          <w:color w:val="auto"/>
        </w:rPr>
        <w:t>” means, with respect to any Business Day, a rate per annum equal to the secured overnight financing rate for such Business Day published by the SOFR Administrator on the SOFR Administrator’s Website at approximately 8:00 a.m. (New York City time) on the immediately succeeding Business Day.</w:t>
      </w:r>
    </w:p>
    <w:p>
      <w:pPr>
        <w:spacing w:after="0" w:line="176" w:lineRule="exact"/>
        <w:rPr>
          <w:sz w:val="20"/>
          <w:szCs w:val="20"/>
          <w:color w:val="auto"/>
        </w:rPr>
      </w:pPr>
    </w:p>
    <w:p>
      <w:pPr>
        <w:ind w:firstLine="375"/>
        <w:spacing w:after="0" w:line="282" w:lineRule="auto"/>
        <w:tabs>
          <w:tab w:leader="none" w:pos="129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defined term “</w:t>
      </w:r>
      <w:r>
        <w:rPr>
          <w:rFonts w:ascii="Arial" w:cs="Arial" w:eastAsia="Arial" w:hAnsi="Arial"/>
          <w:sz w:val="18"/>
          <w:szCs w:val="18"/>
          <w:b w:val="1"/>
          <w:bCs w:val="1"/>
          <w:color w:val="auto"/>
        </w:rPr>
        <w:t>Term SOFR</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Existing Credit Agreement is hereby amended and restated in its entirety to read as follows:</w:t>
      </w:r>
    </w:p>
    <w:p>
      <w:pPr>
        <w:spacing w:after="0" w:line="162" w:lineRule="exact"/>
        <w:rPr>
          <w:sz w:val="20"/>
          <w:szCs w:val="20"/>
          <w:color w:val="auto"/>
        </w:rPr>
      </w:pPr>
    </w:p>
    <w:p>
      <w:pPr>
        <w:ind w:left="1300" w:right="2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SOFR</w:t>
      </w:r>
      <w:r>
        <w:rPr>
          <w:rFonts w:ascii="Arial" w:cs="Arial" w:eastAsia="Arial" w:hAnsi="Arial"/>
          <w:sz w:val="17"/>
          <w:szCs w:val="17"/>
          <w:color w:val="auto"/>
        </w:rPr>
        <w:t>” means, for the applicable Corresponding Tenor as of the applicable Reference Time, the forward-looking term rate based on SOFR that has been selected or recommended by the Relevant Governmental Body.</w:t>
      </w:r>
    </w:p>
    <w:p>
      <w:pPr>
        <w:spacing w:after="0" w:line="140" w:lineRule="exact"/>
        <w:rPr>
          <w:sz w:val="20"/>
          <w:szCs w:val="20"/>
          <w:color w:val="auto"/>
        </w:rPr>
      </w:pPr>
    </w:p>
    <w:p>
      <w:pPr>
        <w:ind w:firstLine="425"/>
        <w:spacing w:after="0" w:line="282" w:lineRule="auto"/>
        <w:tabs>
          <w:tab w:leader="none" w:pos="12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defined term “</w:t>
      </w:r>
      <w:r>
        <w:rPr>
          <w:rFonts w:ascii="Arial" w:cs="Arial" w:eastAsia="Arial" w:hAnsi="Arial"/>
          <w:sz w:val="18"/>
          <w:szCs w:val="18"/>
          <w:b w:val="1"/>
          <w:bCs w:val="1"/>
          <w:color w:val="auto"/>
        </w:rPr>
        <w:t>Unadjusted Benchmark Replacement</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Existing Credit Agreement is hereby amended and restated in its entirety to read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580"/>
          </w:cols>
          <w:pgMar w:left="980" w:top="1421" w:right="339" w:bottom="1440" w:gutter="0" w:footer="0" w:header="0"/>
        </w:sectPr>
      </w:pPr>
    </w:p>
    <w:bookmarkStart w:id="13" w:name="page14"/>
    <w:bookmarkEnd w:id="13"/>
    <w:p>
      <w:pPr>
        <w:ind w:left="1300"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Unadjusted Benchmark Replacement</w:t>
      </w:r>
      <w:r>
        <w:rPr>
          <w:rFonts w:ascii="Arial" w:cs="Arial" w:eastAsia="Arial" w:hAnsi="Arial"/>
          <w:sz w:val="19"/>
          <w:szCs w:val="19"/>
          <w:color w:val="auto"/>
        </w:rPr>
        <w:t>” means the applicable Benchmark Replacement excluding the related Benchmark Replacement Adjustment.</w:t>
      </w:r>
    </w:p>
    <w:p>
      <w:pPr>
        <w:spacing w:after="0" w:line="149" w:lineRule="exact"/>
        <w:rPr>
          <w:sz w:val="20"/>
          <w:szCs w:val="20"/>
          <w:color w:val="auto"/>
        </w:rPr>
      </w:pPr>
    </w:p>
    <w:p>
      <w:pPr>
        <w:ind w:left="1300" w:hanging="951"/>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defined term “</w:t>
      </w:r>
      <w:r>
        <w:rPr>
          <w:rFonts w:ascii="Arial" w:cs="Arial" w:eastAsia="Arial" w:hAnsi="Arial"/>
          <w:sz w:val="18"/>
          <w:szCs w:val="18"/>
          <w:b w:val="1"/>
          <w:bCs w:val="1"/>
          <w:color w:val="auto"/>
        </w:rPr>
        <w:t>Benchmark Transition Start Date</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Existing Credit Agreement shall be</w:t>
      </w:r>
    </w:p>
    <w:p>
      <w:pPr>
        <w:spacing w:after="0" w:line="4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deleted.</w:t>
      </w:r>
    </w:p>
    <w:p>
      <w:pPr>
        <w:spacing w:after="0" w:line="205" w:lineRule="exact"/>
        <w:rPr>
          <w:rFonts w:ascii="Arial" w:cs="Arial" w:eastAsia="Arial" w:hAnsi="Arial"/>
          <w:sz w:val="18"/>
          <w:szCs w:val="18"/>
          <w:color w:val="auto"/>
        </w:rPr>
      </w:pPr>
    </w:p>
    <w:p>
      <w:pPr>
        <w:ind w:firstLine="296"/>
        <w:spacing w:after="0" w:line="289" w:lineRule="auto"/>
        <w:tabs>
          <w:tab w:leader="none" w:pos="1296" w:val="left"/>
        </w:tabs>
        <w:numPr>
          <w:ilvl w:val="0"/>
          <w:numId w:val="25"/>
        </w:numPr>
        <w:rPr>
          <w:rFonts w:ascii="Arial" w:cs="Arial" w:eastAsia="Arial" w:hAnsi="Arial"/>
          <w:sz w:val="19"/>
          <w:szCs w:val="19"/>
          <w:color w:val="auto"/>
        </w:rPr>
      </w:pPr>
      <w:r>
        <w:rPr>
          <w:rFonts w:ascii="Arial" w:cs="Arial" w:eastAsia="Arial" w:hAnsi="Arial"/>
          <w:sz w:val="19"/>
          <w:szCs w:val="19"/>
          <w:color w:val="auto"/>
        </w:rPr>
        <w:t>Clause (a) of the defined term “</w:t>
      </w:r>
      <w:r>
        <w:rPr>
          <w:rFonts w:ascii="Arial" w:cs="Arial" w:eastAsia="Arial" w:hAnsi="Arial"/>
          <w:sz w:val="19"/>
          <w:szCs w:val="19"/>
          <w:b w:val="1"/>
          <w:bCs w:val="1"/>
          <w:color w:val="auto"/>
        </w:rPr>
        <w:t>Applicable Rate</w:t>
      </w:r>
      <w:r>
        <w:rPr>
          <w:rFonts w:ascii="Arial" w:cs="Arial" w:eastAsia="Arial" w:hAnsi="Arial"/>
          <w:sz w:val="19"/>
          <w:szCs w:val="19"/>
          <w:color w:val="auto"/>
        </w:rPr>
        <w:t xml:space="preserve">”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Existing Credit Agreement is hereby amended and restated in its entirety to read as follows:</w:t>
      </w:r>
    </w:p>
    <w:p>
      <w:pPr>
        <w:spacing w:after="0" w:line="155" w:lineRule="exact"/>
        <w:rPr>
          <w:sz w:val="20"/>
          <w:szCs w:val="20"/>
          <w:color w:val="auto"/>
        </w:rPr>
      </w:pPr>
    </w:p>
    <w:p>
      <w:pPr>
        <w:jc w:val="both"/>
        <w:ind w:left="640" w:firstLine="1944"/>
        <w:spacing w:after="0" w:line="282" w:lineRule="auto"/>
        <w:rPr>
          <w:sz w:val="20"/>
          <w:szCs w:val="20"/>
          <w:color w:val="auto"/>
        </w:rPr>
      </w:pPr>
      <w:r>
        <w:rPr>
          <w:rFonts w:ascii="Arial" w:cs="Arial" w:eastAsia="Arial" w:hAnsi="Arial"/>
          <w:sz w:val="19"/>
          <w:szCs w:val="19"/>
          <w:color w:val="auto"/>
        </w:rPr>
        <w:t>“(a) in respect of Term B Loans, 3.00% per annum for Base Rate Loans and 4.00% per annum for Eurodollar Rate Loans and”</w:t>
      </w:r>
    </w:p>
    <w:p>
      <w:pPr>
        <w:spacing w:after="0" w:line="156" w:lineRule="exact"/>
        <w:rPr>
          <w:sz w:val="20"/>
          <w:szCs w:val="20"/>
          <w:color w:val="auto"/>
        </w:rPr>
      </w:pPr>
    </w:p>
    <w:p>
      <w:pPr>
        <w:ind w:firstLine="165"/>
        <w:spacing w:after="0" w:line="289" w:lineRule="auto"/>
        <w:rPr>
          <w:sz w:val="20"/>
          <w:szCs w:val="20"/>
          <w:color w:val="auto"/>
        </w:rPr>
      </w:pPr>
      <w:r>
        <w:rPr>
          <w:rFonts w:ascii="Arial" w:cs="Arial" w:eastAsia="Arial" w:hAnsi="Arial"/>
          <w:sz w:val="19"/>
          <w:szCs w:val="19"/>
          <w:color w:val="auto"/>
        </w:rPr>
        <w:t>(xviii)The proviso of the defined term “</w:t>
      </w:r>
      <w:r>
        <w:rPr>
          <w:rFonts w:ascii="Arial" w:cs="Arial" w:eastAsia="Arial" w:hAnsi="Arial"/>
          <w:sz w:val="19"/>
          <w:szCs w:val="19"/>
          <w:b w:val="1"/>
          <w:bCs w:val="1"/>
          <w:color w:val="auto"/>
        </w:rPr>
        <w:t>Eurodollar Rate</w:t>
      </w:r>
      <w:r>
        <w:rPr>
          <w:rFonts w:ascii="Arial" w:cs="Arial" w:eastAsia="Arial" w:hAnsi="Arial"/>
          <w:sz w:val="19"/>
          <w:szCs w:val="19"/>
          <w:color w:val="auto"/>
        </w:rPr>
        <w:t xml:space="preserve">”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Existing Credit Agreement is hereby amended and restated in its entirety to read as follows:</w:t>
      </w:r>
    </w:p>
    <w:p>
      <w:pPr>
        <w:spacing w:after="0" w:line="155" w:lineRule="exact"/>
        <w:rPr>
          <w:sz w:val="20"/>
          <w:szCs w:val="20"/>
          <w:color w:val="auto"/>
        </w:rPr>
      </w:pPr>
    </w:p>
    <w:p>
      <w:pPr>
        <w:jc w:val="both"/>
        <w:ind w:left="640" w:firstLine="1944"/>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provided, however</w:t>
      </w:r>
      <w:r>
        <w:rPr>
          <w:rFonts w:ascii="Arial" w:cs="Arial" w:eastAsia="Arial" w:hAnsi="Arial"/>
          <w:sz w:val="19"/>
          <w:szCs w:val="19"/>
          <w:color w:val="auto"/>
        </w:rPr>
        <w:t>, notwithstanding the foregoing, at no time will the Eurodollar Rate be deemed to be (i) in the case of Revolving Credit Loans, less than 1.00% per annum and (ii) in the case of Term Loans, less than 0.75% per annum.”</w:t>
      </w:r>
    </w:p>
    <w:p>
      <w:pPr>
        <w:spacing w:after="0" w:line="175" w:lineRule="exact"/>
        <w:rPr>
          <w:sz w:val="20"/>
          <w:szCs w:val="20"/>
          <w:color w:val="auto"/>
        </w:rPr>
      </w:pPr>
    </w:p>
    <w:p>
      <w:pPr>
        <w:ind w:left="1300" w:hanging="951"/>
        <w:spacing w:after="0"/>
        <w:tabs>
          <w:tab w:leader="none" w:pos="1300"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Section 1.10</w:t>
      </w:r>
      <w:r>
        <w:rPr>
          <w:rFonts w:ascii="Arial" w:cs="Arial" w:eastAsia="Arial" w:hAnsi="Arial"/>
          <w:sz w:val="19"/>
          <w:szCs w:val="19"/>
          <w:color w:val="auto"/>
        </w:rPr>
        <w:t xml:space="preserve"> of the Existing Credit Agreement is hereby amended and restated in its entirety to read as follows</w:t>
      </w:r>
    </w:p>
    <w:p>
      <w:pPr>
        <w:spacing w:after="0" w:line="227" w:lineRule="exact"/>
        <w:rPr>
          <w:sz w:val="20"/>
          <w:szCs w:val="20"/>
          <w:color w:val="auto"/>
        </w:rPr>
      </w:pPr>
    </w:p>
    <w:p>
      <w:pPr>
        <w:jc w:val="both"/>
        <w:ind w:left="1300" w:firstLine="129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Rates; LIBOR Notification</w:t>
      </w:r>
      <w:r>
        <w:rPr>
          <w:rFonts w:ascii="Arial" w:cs="Arial" w:eastAsia="Arial" w:hAnsi="Arial"/>
          <w:sz w:val="18"/>
          <w:szCs w:val="18"/>
          <w:color w:val="auto"/>
        </w:rPr>
        <w:t>. The interest rate on Eurodollar Rate Loans is determined by reference to the LIBO 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w:t>
      </w:r>
      <w:r>
        <w:rPr>
          <w:rFonts w:ascii="Arial" w:cs="Arial" w:eastAsia="Arial" w:hAnsi="Arial"/>
          <w:sz w:val="18"/>
          <w:szCs w:val="18"/>
          <w:b w:val="1"/>
          <w:bCs w:val="1"/>
          <w:i w:val="1"/>
          <w:iCs w:val="1"/>
          <w:color w:val="auto"/>
        </w:rPr>
        <w:t>IBA</w:t>
      </w:r>
      <w:r>
        <w:rPr>
          <w:rFonts w:ascii="Arial" w:cs="Arial" w:eastAsia="Arial" w:hAnsi="Arial"/>
          <w:sz w:val="18"/>
          <w:szCs w:val="18"/>
          <w:color w:val="auto"/>
        </w:rPr>
        <w:t xml:space="preserve">”) for purposes of the IBA setting the London interbank offered rate. As a result, it is possible that commencing in 2022 or at some point thereafter, the London interbank offered rate may no longer be available or may no longer be deemed an appropriate reference rate upon which to determine the interest rate on Eurodollar Rate Loans for one or more currencies available for borrowing hereunder. In light of this eventuality, public and private sector industry initiatives are currently underway to identify new or alternative reference rates to be used in place of the London interbank offered rate. Upon the occurrence of a Benchmark Transition Event, a Term SOFR Transition Event or an Early Opt-in Election, </w:t>
      </w:r>
      <w:r>
        <w:rPr>
          <w:rFonts w:ascii="Arial" w:cs="Arial" w:eastAsia="Arial" w:hAnsi="Arial"/>
          <w:sz w:val="18"/>
          <w:szCs w:val="18"/>
          <w:u w:val="single" w:color="auto"/>
          <w:color w:val="auto"/>
        </w:rPr>
        <w:t>Section 3.08</w:t>
      </w:r>
      <w:r>
        <w:rPr>
          <w:rFonts w:ascii="Arial" w:cs="Arial" w:eastAsia="Arial" w:hAnsi="Arial"/>
          <w:sz w:val="18"/>
          <w:szCs w:val="18"/>
          <w:color w:val="auto"/>
        </w:rPr>
        <w:t xml:space="preserve"> provides a mechanism for determining an alternative rate of interest. The Administrative Agent will promptly notify the Borrower, pursuant to </w:t>
      </w:r>
      <w:r>
        <w:rPr>
          <w:rFonts w:ascii="Arial" w:cs="Arial" w:eastAsia="Arial" w:hAnsi="Arial"/>
          <w:sz w:val="18"/>
          <w:szCs w:val="18"/>
          <w:u w:val="single" w:color="auto"/>
          <w:color w:val="auto"/>
        </w:rPr>
        <w:t>Section 3.08</w:t>
      </w:r>
      <w:r>
        <w:rPr>
          <w:rFonts w:ascii="Arial" w:cs="Arial" w:eastAsia="Arial" w:hAnsi="Arial"/>
          <w:sz w:val="18"/>
          <w:szCs w:val="18"/>
          <w:color w:val="auto"/>
        </w:rPr>
        <w:t xml:space="preserve">, of any change to the reference rate upon which the interest rate on Eurodollar Rate Loans is based. However, the Administrative Agent does not warrant or accept any responsibility for, and shall not have any liability with respect to, the administration, submission or any other matter related to the London interbank offered rate or other rates in the definition of “Eurodollar Rate” or with respect to any alternative or successor rate thereto, or replacement rate thereof including, without limitation, (i) any such alternative, successor or replacement rate implemented pursuant to </w:t>
      </w:r>
      <w:r>
        <w:rPr>
          <w:rFonts w:ascii="Arial" w:cs="Arial" w:eastAsia="Arial" w:hAnsi="Arial"/>
          <w:sz w:val="18"/>
          <w:szCs w:val="18"/>
          <w:u w:val="single" w:color="auto"/>
          <w:color w:val="auto"/>
        </w:rPr>
        <w:t>Section 3.08</w:t>
      </w:r>
      <w:r>
        <w:rPr>
          <w:rFonts w:ascii="Arial" w:cs="Arial" w:eastAsia="Arial" w:hAnsi="Arial"/>
          <w:sz w:val="18"/>
          <w:szCs w:val="18"/>
          <w:color w:val="auto"/>
        </w:rPr>
        <w:t>, whether upon the occurrence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580"/>
          </w:cols>
          <w:pgMar w:left="980" w:top="1417" w:right="339" w:bottom="1440" w:gutter="0" w:footer="0" w:header="0"/>
        </w:sectPr>
      </w:pPr>
    </w:p>
    <w:bookmarkStart w:id="14" w:name="page15"/>
    <w:bookmarkEnd w:id="14"/>
    <w:p>
      <w:pPr>
        <w:jc w:val="both"/>
        <w:ind w:left="897"/>
        <w:spacing w:after="0" w:line="277" w:lineRule="auto"/>
        <w:rPr>
          <w:sz w:val="20"/>
          <w:szCs w:val="20"/>
          <w:color w:val="auto"/>
        </w:rPr>
      </w:pPr>
      <w:r>
        <w:rPr>
          <w:rFonts w:ascii="Arial" w:cs="Arial" w:eastAsia="Arial" w:hAnsi="Arial"/>
          <w:sz w:val="18"/>
          <w:szCs w:val="18"/>
          <w:color w:val="auto"/>
        </w:rPr>
        <w:t xml:space="preserve">Benchmark Transition Event, a Term SOFR Transition Event or an Early Opt-in Election, and (ii) the implementation of any Benchmark Replacement Conforming Changes pursuant to </w:t>
      </w:r>
      <w:r>
        <w:rPr>
          <w:rFonts w:ascii="Arial" w:cs="Arial" w:eastAsia="Arial" w:hAnsi="Arial"/>
          <w:sz w:val="18"/>
          <w:szCs w:val="18"/>
          <w:u w:val="single" w:color="auto"/>
          <w:color w:val="auto"/>
        </w:rPr>
        <w:t>Section 3.08</w:t>
      </w:r>
      <w:r>
        <w:rPr>
          <w:rFonts w:ascii="Arial" w:cs="Arial" w:eastAsia="Arial" w:hAnsi="Arial"/>
          <w:sz w:val="18"/>
          <w:szCs w:val="18"/>
          <w:color w:val="auto"/>
        </w:rPr>
        <w:t>, including without limitation, whether the composition or characteristics of any such alternative, successor or replacement reference rate will be similar to, or produce the same value or economic equivalence of, the Eurodollar Rate or have the same volume or liquidity as did the London interbank offered rate prior to its discontinuance or unavailability.”</w:t>
      </w:r>
    </w:p>
    <w:p>
      <w:pPr>
        <w:spacing w:after="0" w:line="169" w:lineRule="exact"/>
        <w:rPr>
          <w:sz w:val="20"/>
          <w:szCs w:val="20"/>
          <w:color w:val="auto"/>
        </w:rPr>
      </w:pPr>
    </w:p>
    <w:p>
      <w:pPr>
        <w:ind w:left="-403" w:firstLine="403"/>
        <w:spacing w:after="0" w:line="282" w:lineRule="auto"/>
        <w:tabs>
          <w:tab w:leader="none" w:pos="893"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of the Existing Credit Agreement is hereby amended by adding the following sentence after the last sentence thereof:</w:t>
      </w:r>
    </w:p>
    <w:p>
      <w:pPr>
        <w:spacing w:after="0" w:line="162" w:lineRule="exact"/>
        <w:rPr>
          <w:sz w:val="20"/>
          <w:szCs w:val="20"/>
          <w:color w:val="auto"/>
        </w:rPr>
      </w:pPr>
    </w:p>
    <w:p>
      <w:pPr>
        <w:ind w:left="897" w:firstLine="648"/>
        <w:spacing w:after="0" w:line="311" w:lineRule="auto"/>
        <w:rPr>
          <w:sz w:val="20"/>
          <w:szCs w:val="20"/>
          <w:color w:val="auto"/>
        </w:rPr>
      </w:pPr>
      <w:r>
        <w:rPr>
          <w:rFonts w:ascii="Arial" w:cs="Arial" w:eastAsia="Arial" w:hAnsi="Arial"/>
          <w:sz w:val="18"/>
          <w:szCs w:val="18"/>
          <w:color w:val="auto"/>
        </w:rPr>
        <w:t>“From and after the Amendment No. 2 Effective Date, the 2021 Refinancing Term Loans shall be deemed to be “Term Loans” and “Term B Loans” for all purposes of this Agreement and the other Loan Documents.”</w:t>
      </w:r>
    </w:p>
    <w:p>
      <w:pPr>
        <w:spacing w:after="0" w:line="139" w:lineRule="exact"/>
        <w:rPr>
          <w:sz w:val="20"/>
          <w:szCs w:val="20"/>
          <w:color w:val="auto"/>
        </w:rPr>
      </w:pPr>
    </w:p>
    <w:p>
      <w:pPr>
        <w:ind w:left="877" w:hanging="798"/>
        <w:spacing w:after="0"/>
        <w:tabs>
          <w:tab w:leader="none" w:pos="877"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Section 2.05(b)(ix)</w:t>
      </w:r>
      <w:r>
        <w:rPr>
          <w:rFonts w:ascii="Arial" w:cs="Arial" w:eastAsia="Arial" w:hAnsi="Arial"/>
          <w:sz w:val="17"/>
          <w:szCs w:val="17"/>
          <w:color w:val="auto"/>
        </w:rPr>
        <w:t xml:space="preserve"> of the Existing Credit Agreement is hereby amended and restated in its entirety to read as follows:</w:t>
      </w:r>
    </w:p>
    <w:p>
      <w:pPr>
        <w:spacing w:after="0" w:line="250" w:lineRule="exact"/>
        <w:rPr>
          <w:sz w:val="20"/>
          <w:szCs w:val="20"/>
          <w:color w:val="auto"/>
        </w:rPr>
      </w:pPr>
    </w:p>
    <w:p>
      <w:pPr>
        <w:jc w:val="both"/>
        <w:ind w:left="897"/>
        <w:spacing w:after="0" w:line="285" w:lineRule="auto"/>
        <w:rPr>
          <w:sz w:val="20"/>
          <w:szCs w:val="20"/>
          <w:color w:val="auto"/>
        </w:rPr>
      </w:pPr>
      <w:r>
        <w:rPr>
          <w:rFonts w:ascii="Arial" w:cs="Arial" w:eastAsia="Arial" w:hAnsi="Arial"/>
          <w:sz w:val="17"/>
          <w:szCs w:val="17"/>
          <w:color w:val="auto"/>
        </w:rPr>
        <w:t xml:space="preserve">“(ix) If on or before the date that is 6 months after the Amendment No. 2 Effective Date, there occurs any (i) prepayment or repayment of Term B Loans with the proceeds of, or any conversion of such Term B Loans into, any new debt financing or any replacement debt financing, in either case, bearing interest at an “effective” interest rate that is less than the “effective” interest rate applicable to the Term B Loans (as such comparative rates are determined by the Administrative Agent) or (ii) amendment to the terms of the Term B Loans which reduces the “effective” interest rate applicable to the Term B Loans (as such comparative rates are determined by the Administrative Agent) (in each case, with original issue discount and upfront fees, which shall be deemed to constitute like amounts of original issue discount, being equated to interest margins in a manner consistent with generally accepted financial practice based on an assumed four-year life to maturity) (any such transaction or event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a “</w:t>
      </w:r>
      <w:r>
        <w:rPr>
          <w:rFonts w:ascii="Arial" w:cs="Arial" w:eastAsia="Arial" w:hAnsi="Arial"/>
          <w:sz w:val="17"/>
          <w:szCs w:val="17"/>
          <w:b w:val="1"/>
          <w:bCs w:val="1"/>
          <w:color w:val="auto"/>
        </w:rPr>
        <w:t>Repricing</w:t>
      </w:r>
      <w:r>
        <w:rPr>
          <w:rFonts w:ascii="Arial" w:cs="Arial" w:eastAsia="Arial" w:hAnsi="Arial"/>
          <w:sz w:val="17"/>
          <w:szCs w:val="17"/>
          <w:color w:val="auto"/>
        </w:rPr>
        <w:t xml:space="preserve"> </w:t>
      </w:r>
      <w:r>
        <w:rPr>
          <w:rFonts w:ascii="Arial" w:cs="Arial" w:eastAsia="Arial" w:hAnsi="Arial"/>
          <w:sz w:val="17"/>
          <w:szCs w:val="17"/>
          <w:b w:val="1"/>
          <w:bCs w:val="1"/>
          <w:color w:val="auto"/>
        </w:rPr>
        <w:t>Event</w:t>
      </w:r>
      <w:r>
        <w:rPr>
          <w:rFonts w:ascii="Arial" w:cs="Arial" w:eastAsia="Arial" w:hAnsi="Arial"/>
          <w:sz w:val="17"/>
          <w:szCs w:val="17"/>
          <w:color w:val="auto"/>
        </w:rPr>
        <w:t>”), then, simultaneously with the consummation of such Repricing Event, the Borrower shall pay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Administrative Agent, for the ratable account of each of the applicable Term B Lenders, (I) in the case of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an amount equal to 1.00% of the aggregate principal amount of the Term B Loans so repriced or refinanced in such Repricing Event and (II) in the case of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above, an amount equal to 1.00% of the aggregate principal amount of the Term B Loans that are the subject of such Repricing Event outstanding immediately prior to such amendment (including to each Term B Lender that refuses to consent to such amendment (which shall include each Term B Lender that refuses to consent to an amendment if such Term B Lender is required to make a mandatory assignment pursuant to </w:t>
      </w:r>
      <w:r>
        <w:rPr>
          <w:rFonts w:ascii="Arial" w:cs="Arial" w:eastAsia="Arial" w:hAnsi="Arial"/>
          <w:sz w:val="17"/>
          <w:szCs w:val="17"/>
          <w:u w:val="single" w:color="auto"/>
          <w:color w:val="auto"/>
        </w:rPr>
        <w:t>Section 10.13</w:t>
      </w:r>
      <w:r>
        <w:rPr>
          <w:rFonts w:ascii="Arial" w:cs="Arial" w:eastAsia="Arial" w:hAnsi="Arial"/>
          <w:sz w:val="17"/>
          <w:szCs w:val="17"/>
          <w:color w:val="auto"/>
        </w:rPr>
        <w:t xml:space="preserve"> in connection therewith)).</w:t>
      </w:r>
    </w:p>
    <w:p>
      <w:pPr>
        <w:spacing w:after="0" w:line="200" w:lineRule="exact"/>
        <w:rPr>
          <w:sz w:val="20"/>
          <w:szCs w:val="20"/>
          <w:color w:val="auto"/>
        </w:rPr>
      </w:pPr>
    </w:p>
    <w:p>
      <w:pPr>
        <w:spacing w:after="0" w:line="204" w:lineRule="exact"/>
        <w:rPr>
          <w:sz w:val="20"/>
          <w:szCs w:val="20"/>
          <w:color w:val="auto"/>
        </w:rPr>
      </w:pPr>
    </w:p>
    <w:p>
      <w:pPr>
        <w:ind w:left="897" w:right="680" w:hanging="818"/>
        <w:spacing w:after="0" w:line="489" w:lineRule="auto"/>
        <w:tabs>
          <w:tab w:leader="none" w:pos="894"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Section 3.08</w:t>
      </w:r>
      <w:r>
        <w:rPr>
          <w:rFonts w:ascii="Arial" w:cs="Arial" w:eastAsia="Arial" w:hAnsi="Arial"/>
          <w:sz w:val="19"/>
          <w:szCs w:val="19"/>
          <w:color w:val="auto"/>
        </w:rPr>
        <w:t xml:space="preserve"> of the Existing Credit Agreement is hereby amended and restated in its entirety to read as follows: “</w:t>
      </w:r>
      <w:r>
        <w:rPr>
          <w:rFonts w:ascii="Arial" w:cs="Arial" w:eastAsia="Arial" w:hAnsi="Arial"/>
          <w:sz w:val="19"/>
          <w:szCs w:val="19"/>
          <w:i w:val="1"/>
          <w:iCs w:val="1"/>
          <w:color w:val="auto"/>
        </w:rPr>
        <w:t>Benchmark Replacement Setting</w:t>
      </w:r>
      <w:r>
        <w:rPr>
          <w:rFonts w:ascii="Arial" w:cs="Arial" w:eastAsia="Arial" w:hAnsi="Arial"/>
          <w:sz w:val="19"/>
          <w:szCs w:val="19"/>
          <w:color w:val="auto"/>
        </w:rPr>
        <w:t>.</w:t>
      </w:r>
    </w:p>
    <w:p>
      <w:pPr>
        <w:ind w:left="897" w:right="20" w:firstLine="640"/>
        <w:spacing w:after="0" w:line="282" w:lineRule="auto"/>
        <w:tabs>
          <w:tab w:leader="none" w:pos="1808" w:val="left"/>
        </w:tabs>
        <w:numPr>
          <w:ilvl w:val="1"/>
          <w:numId w:val="29"/>
        </w:numPr>
        <w:rPr>
          <w:rFonts w:ascii="Arial" w:cs="Arial" w:eastAsia="Arial" w:hAnsi="Arial"/>
          <w:sz w:val="19"/>
          <w:szCs w:val="19"/>
          <w:color w:val="auto"/>
        </w:rPr>
      </w:pPr>
      <w:r>
        <w:rPr>
          <w:rFonts w:ascii="Arial" w:cs="Arial" w:eastAsia="Arial" w:hAnsi="Arial"/>
          <w:sz w:val="19"/>
          <w:szCs w:val="19"/>
          <w:i w:val="1"/>
          <w:iCs w:val="1"/>
          <w:color w:val="auto"/>
        </w:rPr>
        <w:t>Benchmark Replacement</w:t>
      </w:r>
      <w:r>
        <w:rPr>
          <w:rFonts w:ascii="Arial" w:cs="Arial" w:eastAsia="Arial" w:hAnsi="Arial"/>
          <w:sz w:val="19"/>
          <w:szCs w:val="19"/>
          <w:color w:val="auto"/>
        </w:rPr>
        <w:t>. Notwithstanding anything to the contrary herein or in any other Loan Document,</w:t>
      </w:r>
      <w:r>
        <w:rPr>
          <w:rFonts w:ascii="Arial" w:cs="Arial" w:eastAsia="Arial" w:hAnsi="Arial"/>
          <w:sz w:val="19"/>
          <w:szCs w:val="19"/>
          <w:i w:val="1"/>
          <w:iCs w:val="1"/>
          <w:color w:val="auto"/>
        </w:rPr>
        <w:t xml:space="preserve"> </w:t>
      </w:r>
      <w:r>
        <w:rPr>
          <w:rFonts w:ascii="Arial" w:cs="Arial" w:eastAsia="Arial" w:hAnsi="Arial"/>
          <w:sz w:val="19"/>
          <w:szCs w:val="19"/>
          <w:color w:val="auto"/>
        </w:rPr>
        <w:t>if a Benchmark Transition Event or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1172845</wp:posOffset>
            </wp:positionH>
            <wp:positionV relativeFrom="paragraph">
              <wp:posOffset>-883285</wp:posOffset>
            </wp:positionV>
            <wp:extent cx="486029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6029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57"/>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177"/>
          </w:cols>
          <w:pgMar w:left="1383" w:top="1423" w:right="339" w:bottom="1440" w:gutter="0" w:footer="0" w:header="0"/>
        </w:sectPr>
      </w:pPr>
    </w:p>
    <w:bookmarkStart w:id="15" w:name="page16"/>
    <w:bookmarkEnd w:id="15"/>
    <w:p>
      <w:pPr>
        <w:jc w:val="both"/>
        <w:ind w:left="840"/>
        <w:spacing w:after="0" w:line="263" w:lineRule="auto"/>
        <w:rPr>
          <w:sz w:val="20"/>
          <w:szCs w:val="20"/>
          <w:color w:val="auto"/>
        </w:rPr>
      </w:pPr>
      <w:r>
        <w:rPr>
          <w:rFonts w:ascii="Arial" w:cs="Arial" w:eastAsia="Arial" w:hAnsi="Arial"/>
          <w:sz w:val="18"/>
          <w:szCs w:val="18"/>
          <w:color w:val="auto"/>
        </w:rPr>
        <w:t>Early Opt-in Election, as applicable, and its related Benchmark Replacement Date have occurred prior to the Reference Time in respect of any setting of the then-current Benchmark, then (x) if a Benchmark Replacement is determined in accordance with clause (i) or (ii)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(iii) of the definition of “Benchmark Replacement” for such Benchmark Replacement Date, such Benchmark Replacement will replace such Benchmark for all purposes hereunder and under any Loan Document in respect of any Benchmark setting at or after 5:00 p.m. (New York City time) on the fifth (5</w:t>
      </w:r>
      <w:r>
        <w:rPr>
          <w:rFonts w:ascii="Arial" w:cs="Arial" w:eastAsia="Arial" w:hAnsi="Arial"/>
          <w:sz w:val="23"/>
          <w:szCs w:val="23"/>
          <w:color w:val="auto"/>
          <w:vertAlign w:val="superscript"/>
        </w:rPr>
        <w:t>th</w:t>
      </w:r>
      <w:r>
        <w:rPr>
          <w:rFonts w:ascii="Arial" w:cs="Arial" w:eastAsia="Arial" w:hAnsi="Arial"/>
          <w:sz w:val="18"/>
          <w:szCs w:val="18"/>
          <w:color w:val="auto"/>
        </w:rPr>
        <w:t>)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Class.</w:t>
      </w:r>
    </w:p>
    <w:p>
      <w:pPr>
        <w:spacing w:after="0" w:line="187" w:lineRule="exact"/>
        <w:rPr>
          <w:sz w:val="20"/>
          <w:szCs w:val="20"/>
          <w:color w:val="auto"/>
        </w:rPr>
      </w:pPr>
    </w:p>
    <w:p>
      <w:pPr>
        <w:jc w:val="both"/>
        <w:ind w:left="840"/>
        <w:spacing w:after="0" w:line="271" w:lineRule="auto"/>
        <w:rPr>
          <w:sz w:val="20"/>
          <w:szCs w:val="20"/>
          <w:color w:val="auto"/>
        </w:rPr>
      </w:pPr>
      <w:r>
        <w:rPr>
          <w:rFonts w:ascii="Arial" w:cs="Arial" w:eastAsia="Arial" w:hAnsi="Arial"/>
          <w:sz w:val="18"/>
          <w:szCs w:val="18"/>
          <w:color w:val="auto"/>
        </w:rPr>
        <w:t xml:space="preserve">Notwithstanding anything to the contrary herein or in any other Loan Document and subject to the proviso below in this paragraph,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this paragraph shall not be effective unless the Administrative Agent has delivered to the Lenders and the Borrower a Term SOFR Notice. For the avoidance of doubt, the Administrative Agent shall not be required to determine that a Term SOFR Transition Event has occurred and may do so in its sole discretion.</w:t>
      </w:r>
    </w:p>
    <w:p>
      <w:pPr>
        <w:spacing w:after="0" w:line="178" w:lineRule="exact"/>
        <w:rPr>
          <w:sz w:val="20"/>
          <w:szCs w:val="20"/>
          <w:color w:val="auto"/>
        </w:rPr>
      </w:pPr>
    </w:p>
    <w:p>
      <w:pPr>
        <w:jc w:val="both"/>
        <w:ind w:left="840" w:firstLine="640"/>
        <w:spacing w:after="0" w:line="277" w:lineRule="auto"/>
        <w:tabs>
          <w:tab w:leader="none" w:pos="1777"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Benchmark Replacement Conforming Changes</w:t>
      </w:r>
      <w:r>
        <w:rPr>
          <w:rFonts w:ascii="Arial" w:cs="Arial" w:eastAsia="Arial" w:hAnsi="Arial"/>
          <w:sz w:val="18"/>
          <w:szCs w:val="18"/>
          <w:color w:val="auto"/>
        </w:rPr>
        <w:t>. In connection with the implementation of a Benchmark</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69" w:lineRule="exact"/>
        <w:rPr>
          <w:rFonts w:ascii="Arial" w:cs="Arial" w:eastAsia="Arial" w:hAnsi="Arial"/>
          <w:sz w:val="18"/>
          <w:szCs w:val="18"/>
          <w:color w:val="auto"/>
        </w:rPr>
      </w:pPr>
    </w:p>
    <w:p>
      <w:pPr>
        <w:jc w:val="both"/>
        <w:ind w:left="840" w:firstLine="640"/>
        <w:spacing w:after="0" w:line="258" w:lineRule="auto"/>
        <w:tabs>
          <w:tab w:leader="none" w:pos="1763" w:val="left"/>
        </w:tabs>
        <w:numPr>
          <w:ilvl w:val="0"/>
          <w:numId w:val="30"/>
        </w:numPr>
        <w:rPr>
          <w:rFonts w:ascii="Arial" w:cs="Arial" w:eastAsia="Arial" w:hAnsi="Arial"/>
          <w:sz w:val="19"/>
          <w:szCs w:val="19"/>
          <w:color w:val="auto"/>
        </w:rPr>
      </w:pPr>
      <w:r>
        <w:rPr>
          <w:rFonts w:ascii="Arial" w:cs="Arial" w:eastAsia="Arial" w:hAnsi="Arial"/>
          <w:sz w:val="19"/>
          <w:szCs w:val="19"/>
          <w:i w:val="1"/>
          <w:iCs w:val="1"/>
          <w:color w:val="auto"/>
        </w:rPr>
        <w:t>Notices; Standards for Decisions and Determinations</w:t>
      </w:r>
      <w:r>
        <w:rPr>
          <w:rFonts w:ascii="Arial" w:cs="Arial" w:eastAsia="Arial" w:hAnsi="Arial"/>
          <w:sz w:val="19"/>
          <w:szCs w:val="19"/>
          <w:color w:val="auto"/>
        </w:rPr>
        <w:t>. The Administrative Agent will promptly notify the</w:t>
      </w:r>
      <w:r>
        <w:rPr>
          <w:rFonts w:ascii="Arial" w:cs="Arial" w:eastAsia="Arial" w:hAnsi="Arial"/>
          <w:sz w:val="19"/>
          <w:szCs w:val="19"/>
          <w:i w:val="1"/>
          <w:iCs w:val="1"/>
          <w:color w:val="auto"/>
        </w:rPr>
        <w:t xml:space="preserve"> </w:t>
      </w:r>
      <w:r>
        <w:rPr>
          <w:rFonts w:ascii="Arial" w:cs="Arial" w:eastAsia="Arial" w:hAnsi="Arial"/>
          <w:sz w:val="19"/>
          <w:szCs w:val="19"/>
          <w:color w:val="auto"/>
        </w:rPr>
        <w:t>Borrower and the Lenders of (i) any occurrence of a Benchmark Transition Event, a Term SOFR Transition Event or an Early Opt-in Election, as applicable, and its related Benchmark Replacement Date, (ii) the implementation of any Benchmark Replacement, (iii) the effectiveness of any Benchmark Replacement Conforming Changes, (iv) the removal or reinstatement of any tenor of a Benchmark pursuant to clause (d) below and (v) the commencement or conclusion of any Benchmark Unavailability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100"/>
          </w:cols>
          <w:pgMar w:left="1440" w:top="1423" w:right="359" w:bottom="1440" w:gutter="0" w:footer="0" w:header="0"/>
        </w:sectPr>
      </w:pPr>
    </w:p>
    <w:bookmarkStart w:id="16" w:name="page17"/>
    <w:bookmarkEnd w:id="16"/>
    <w:p>
      <w:pPr>
        <w:jc w:val="both"/>
        <w:ind w:left="899"/>
        <w:spacing w:after="0" w:line="275" w:lineRule="auto"/>
        <w:rPr>
          <w:sz w:val="20"/>
          <w:szCs w:val="20"/>
          <w:color w:val="auto"/>
        </w:rPr>
      </w:pPr>
      <w:r>
        <w:rPr>
          <w:rFonts w:ascii="Arial" w:cs="Arial" w:eastAsia="Arial" w:hAnsi="Arial"/>
          <w:sz w:val="18"/>
          <w:szCs w:val="18"/>
          <w:color w:val="auto"/>
        </w:rPr>
        <w:t xml:space="preserve">Period. Any determination, decision or election that may be made by the Administrative Agent or, if applicable, any Lender (or group of Lenders) pursuant to this </w:t>
      </w:r>
      <w:r>
        <w:rPr>
          <w:rFonts w:ascii="Arial" w:cs="Arial" w:eastAsia="Arial" w:hAnsi="Arial"/>
          <w:sz w:val="18"/>
          <w:szCs w:val="18"/>
          <w:u w:val="single" w:color="auto"/>
          <w:color w:val="auto"/>
        </w:rPr>
        <w:t>Section 3.08</w:t>
      </w:r>
      <w:r>
        <w:rPr>
          <w:rFonts w:ascii="Arial" w:cs="Arial" w:eastAsia="Arial" w:hAnsi="Arial"/>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8"/>
          <w:szCs w:val="18"/>
          <w:u w:val="single" w:color="auto"/>
          <w:color w:val="auto"/>
        </w:rPr>
        <w:t>Section 3.08</w:t>
      </w:r>
      <w:r>
        <w:rPr>
          <w:rFonts w:ascii="Arial" w:cs="Arial" w:eastAsia="Arial" w:hAnsi="Arial"/>
          <w:sz w:val="18"/>
          <w:szCs w:val="18"/>
          <w:color w:val="auto"/>
        </w:rPr>
        <w:t>.</w:t>
      </w:r>
    </w:p>
    <w:p>
      <w:pPr>
        <w:spacing w:after="0" w:line="170" w:lineRule="exact"/>
        <w:rPr>
          <w:sz w:val="20"/>
          <w:szCs w:val="20"/>
          <w:color w:val="auto"/>
        </w:rPr>
      </w:pPr>
    </w:p>
    <w:p>
      <w:pPr>
        <w:jc w:val="both"/>
        <w:ind w:left="899" w:firstLine="640"/>
        <w:spacing w:after="0" w:line="284" w:lineRule="auto"/>
        <w:tabs>
          <w:tab w:leader="none" w:pos="1836" w:val="left"/>
        </w:tabs>
        <w:numPr>
          <w:ilvl w:val="2"/>
          <w:numId w:val="31"/>
        </w:numPr>
        <w:rPr>
          <w:rFonts w:ascii="Arial" w:cs="Arial" w:eastAsia="Arial" w:hAnsi="Arial"/>
          <w:sz w:val="17"/>
          <w:szCs w:val="17"/>
          <w:color w:val="auto"/>
        </w:rPr>
      </w:pPr>
      <w:r>
        <w:rPr>
          <w:rFonts w:ascii="Arial" w:cs="Arial" w:eastAsia="Arial" w:hAnsi="Arial"/>
          <w:sz w:val="17"/>
          <w:szCs w:val="17"/>
          <w:i w:val="1"/>
          <w:iCs w:val="1"/>
          <w:color w:val="auto"/>
        </w:rPr>
        <w:t>Unavailability of Tenor of Benchmark</w:t>
      </w:r>
      <w:r>
        <w:rPr>
          <w:rFonts w:ascii="Arial" w:cs="Arial" w:eastAsia="Arial" w:hAnsi="Arial"/>
          <w:sz w:val="17"/>
          <w:szCs w:val="17"/>
          <w:color w:val="auto"/>
        </w:rPr>
        <w:t>. Notwithstanding anything to the contrary herein or in any other</w:t>
      </w:r>
      <w:r>
        <w:rPr>
          <w:rFonts w:ascii="Arial" w:cs="Arial" w:eastAsia="Arial" w:hAnsi="Arial"/>
          <w:sz w:val="17"/>
          <w:szCs w:val="17"/>
          <w:i w:val="1"/>
          <w:iCs w:val="1"/>
          <w:color w:val="auto"/>
        </w:rPr>
        <w:t xml:space="preserve"> </w:t>
      </w:r>
      <w:r>
        <w:rPr>
          <w:rFonts w:ascii="Arial" w:cs="Arial" w:eastAsia="Arial" w:hAnsi="Arial"/>
          <w:sz w:val="17"/>
          <w:szCs w:val="17"/>
          <w:color w:val="auto"/>
        </w:rPr>
        <w:t>Loan Document, at any time (including in connection with the implementation of a Benchmark Replacement), (i) if the then-current Benchmark is a term rate (including Term SOFR or the LIBO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w:t>
      </w:r>
    </w:p>
    <w:p>
      <w:pPr>
        <w:spacing w:after="0" w:line="1" w:lineRule="exact"/>
        <w:rPr>
          <w:rFonts w:ascii="Arial" w:cs="Arial" w:eastAsia="Arial" w:hAnsi="Arial"/>
          <w:sz w:val="17"/>
          <w:szCs w:val="17"/>
          <w:color w:val="auto"/>
        </w:rPr>
      </w:pPr>
    </w:p>
    <w:p>
      <w:pPr>
        <w:jc w:val="both"/>
        <w:ind w:left="899" w:hanging="8"/>
        <w:spacing w:after="0" w:line="255" w:lineRule="auto"/>
        <w:tabs>
          <w:tab w:leader="none" w:pos="1219" w:val="left"/>
        </w:tabs>
        <w:numPr>
          <w:ilvl w:val="1"/>
          <w:numId w:val="32"/>
        </w:numPr>
        <w:rPr>
          <w:rFonts w:ascii="Arial" w:cs="Arial" w:eastAsia="Arial" w:hAnsi="Arial"/>
          <w:sz w:val="19"/>
          <w:szCs w:val="19"/>
          <w:color w:val="auto"/>
        </w:rPr>
      </w:pPr>
      <w:r>
        <w:rPr>
          <w:rFonts w:ascii="Arial" w:cs="Arial" w:eastAsia="Arial" w:hAnsi="Arial"/>
          <w:sz w:val="19"/>
          <w:szCs w:val="19"/>
          <w:color w:val="auto"/>
        </w:rPr>
        <w:t>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86" w:lineRule="exact"/>
        <w:rPr>
          <w:rFonts w:ascii="Arial" w:cs="Arial" w:eastAsia="Arial" w:hAnsi="Arial"/>
          <w:sz w:val="19"/>
          <w:szCs w:val="19"/>
          <w:color w:val="auto"/>
        </w:rPr>
      </w:pPr>
    </w:p>
    <w:p>
      <w:pPr>
        <w:jc w:val="both"/>
        <w:ind w:left="899" w:firstLine="640"/>
        <w:spacing w:after="0" w:line="270" w:lineRule="auto"/>
        <w:tabs>
          <w:tab w:leader="none" w:pos="1847" w:val="left"/>
        </w:tabs>
        <w:numPr>
          <w:ilvl w:val="2"/>
          <w:numId w:val="32"/>
        </w:numPr>
        <w:rPr>
          <w:rFonts w:ascii="Arial" w:cs="Arial" w:eastAsia="Arial" w:hAnsi="Arial"/>
          <w:sz w:val="18"/>
          <w:szCs w:val="18"/>
          <w:color w:val="auto"/>
        </w:rPr>
      </w:pPr>
      <w:r>
        <w:rPr>
          <w:rFonts w:ascii="Arial" w:cs="Arial" w:eastAsia="Arial" w:hAnsi="Arial"/>
          <w:sz w:val="18"/>
          <w:szCs w:val="18"/>
          <w:i w:val="1"/>
          <w:iCs w:val="1"/>
          <w:color w:val="auto"/>
        </w:rPr>
        <w:t>Benchmark Unavailability Period</w:t>
      </w:r>
      <w:r>
        <w:rPr>
          <w:rFonts w:ascii="Arial" w:cs="Arial" w:eastAsia="Arial" w:hAnsi="Arial"/>
          <w:sz w:val="18"/>
          <w:szCs w:val="18"/>
          <w:color w:val="auto"/>
        </w:rPr>
        <w:t>. Upon the Borrower’s receipt of notice of the commencement of a</w:t>
      </w:r>
      <w:r>
        <w:rPr>
          <w:rFonts w:ascii="Arial" w:cs="Arial" w:eastAsia="Arial" w:hAnsi="Arial"/>
          <w:sz w:val="18"/>
          <w:szCs w:val="18"/>
          <w:i w:val="1"/>
          <w:iCs w:val="1"/>
          <w:color w:val="auto"/>
        </w:rPr>
        <w:t xml:space="preserve"> </w:t>
      </w:r>
      <w:r>
        <w:rPr>
          <w:rFonts w:ascii="Arial" w:cs="Arial" w:eastAsia="Arial" w:hAnsi="Arial"/>
          <w:sz w:val="18"/>
          <w:szCs w:val="18"/>
          <w:color w:val="auto"/>
        </w:rPr>
        <w:t>Benchmark Unavailability Period, the Borrower may revoke any request for a Eurodollar Borrowing of, conversion to or continuation of Eurodollar Loans to be made, converted or continued during any Benchmark Unavailability Period and, failing that, (x) in the case of Eurodollar Rate Loans denominated in U.S. Dollars, the Borrower will be deemed to have converted any such request into a request for a Borrowing of or conversion to Base Rate Loans and (y) in the case of Eurodollar Rate Loans denominated in an Alternative Currency, the Borrower will be deemed to have converted any such request into a request for a Borrowing of or conversion to Base Rate Loans in U.S. Dollars (in an amount equal to the U.S. Dollar Equivalent of the amount requested to be borrowed or converted in the Alternative Currency).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spacing w:after="0" w:line="179" w:lineRule="exact"/>
        <w:rPr>
          <w:rFonts w:ascii="Arial" w:cs="Arial" w:eastAsia="Arial" w:hAnsi="Arial"/>
          <w:sz w:val="18"/>
          <w:szCs w:val="18"/>
          <w:color w:val="auto"/>
        </w:rPr>
      </w:pPr>
    </w:p>
    <w:p>
      <w:pPr>
        <w:ind w:left="899" w:hanging="899"/>
        <w:spacing w:after="0"/>
        <w:tabs>
          <w:tab w:leader="none" w:pos="899"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Section 10.22</w:t>
      </w:r>
      <w:r>
        <w:rPr>
          <w:rFonts w:ascii="Arial" w:cs="Arial" w:eastAsia="Arial" w:hAnsi="Arial"/>
          <w:sz w:val="18"/>
          <w:szCs w:val="18"/>
          <w:color w:val="auto"/>
        </w:rPr>
        <w:t xml:space="preserve"> of the Existing Credit Agreement is hereby amended and restated in its entirety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1242695</wp:posOffset>
            </wp:positionH>
            <wp:positionV relativeFrom="paragraph">
              <wp:posOffset>-121920</wp:posOffset>
            </wp:positionV>
            <wp:extent cx="487743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7743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45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159"/>
          </w:cols>
          <w:pgMar w:left="1381" w:top="1422" w:right="359" w:bottom="1440" w:gutter="0" w:footer="0" w:header="0"/>
        </w:sectPr>
      </w:pPr>
    </w:p>
    <w:bookmarkStart w:id="17" w:name="page18"/>
    <w:bookmarkEnd w:id="17"/>
    <w:p>
      <w:pPr>
        <w:ind w:left="2600"/>
        <w:spacing w:after="0"/>
        <w:rPr>
          <w:sz w:val="20"/>
          <w:szCs w:val="20"/>
          <w:color w:val="auto"/>
        </w:rPr>
      </w:pPr>
      <w:r>
        <w:rPr>
          <w:rFonts w:ascii="Arial" w:cs="Arial" w:eastAsia="Arial" w:hAnsi="Arial"/>
          <w:sz w:val="19"/>
          <w:szCs w:val="19"/>
          <w:i w:val="1"/>
          <w:iCs w:val="1"/>
          <w:color w:val="auto"/>
        </w:rPr>
        <w:t>Acknowledgement and Consent to Bail-In of Affected Financial Institutions</w:t>
      </w:r>
      <w:r>
        <w:rPr>
          <w:rFonts w:ascii="Arial" w:cs="Arial" w:eastAsia="Arial" w:hAnsi="Arial"/>
          <w:sz w:val="19"/>
          <w:szCs w:val="19"/>
          <w:color w:val="auto"/>
        </w:rPr>
        <w:t>.</w:t>
      </w:r>
    </w:p>
    <w:p>
      <w:pPr>
        <w:spacing w:after="0" w:line="227" w:lineRule="exact"/>
        <w:rPr>
          <w:sz w:val="20"/>
          <w:szCs w:val="20"/>
          <w:color w:val="auto"/>
        </w:rPr>
      </w:pPr>
    </w:p>
    <w:p>
      <w:pPr>
        <w:jc w:val="both"/>
        <w:ind w:left="1960" w:right="20" w:firstLine="648"/>
        <w:spacing w:after="0" w:line="259" w:lineRule="auto"/>
        <w:rPr>
          <w:sz w:val="20"/>
          <w:szCs w:val="20"/>
          <w:color w:val="auto"/>
        </w:rPr>
      </w:pPr>
      <w:r>
        <w:rPr>
          <w:rFonts w:ascii="Arial" w:cs="Arial" w:eastAsia="Arial" w:hAnsi="Arial"/>
          <w:sz w:val="19"/>
          <w:szCs w:val="19"/>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Write-Down and Conversion Powers of the applicable Resolution Authority and agrees and consents to, and acknowledges and agrees to be bound by:</w:t>
      </w:r>
    </w:p>
    <w:p>
      <w:pPr>
        <w:spacing w:after="0" w:line="185" w:lineRule="exact"/>
        <w:rPr>
          <w:sz w:val="20"/>
          <w:szCs w:val="20"/>
          <w:color w:val="auto"/>
        </w:rPr>
      </w:pPr>
    </w:p>
    <w:p>
      <w:pPr>
        <w:jc w:val="both"/>
        <w:ind w:left="1960" w:firstLine="640"/>
        <w:spacing w:after="0" w:line="267" w:lineRule="auto"/>
        <w:tabs>
          <w:tab w:leader="none" w:pos="3480" w:val="left"/>
        </w:tabs>
        <w:numPr>
          <w:ilvl w:val="1"/>
          <w:numId w:val="34"/>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75" w:lineRule="exact"/>
        <w:rPr>
          <w:rFonts w:ascii="Arial" w:cs="Arial" w:eastAsia="Arial" w:hAnsi="Arial"/>
          <w:sz w:val="19"/>
          <w:szCs w:val="19"/>
          <w:color w:val="auto"/>
        </w:rPr>
      </w:pPr>
    </w:p>
    <w:p>
      <w:pPr>
        <w:ind w:left="3240" w:hanging="559"/>
        <w:spacing w:after="0"/>
        <w:tabs>
          <w:tab w:leader="none" w:pos="3240" w:val="left"/>
        </w:tabs>
        <w:numPr>
          <w:ilvl w:val="2"/>
          <w:numId w:val="34"/>
        </w:numPr>
        <w:rPr>
          <w:rFonts w:ascii="Arial" w:cs="Arial" w:eastAsia="Arial" w:hAnsi="Arial"/>
          <w:sz w:val="19"/>
          <w:szCs w:val="19"/>
          <w:color w:val="auto"/>
        </w:rPr>
      </w:pPr>
      <w:r>
        <w:rPr>
          <w:rFonts w:ascii="Arial" w:cs="Arial" w:eastAsia="Arial" w:hAnsi="Arial"/>
          <w:sz w:val="19"/>
          <w:szCs w:val="19"/>
          <w:color w:val="auto"/>
        </w:rPr>
        <w:t>the effects of any Bail-In Action on any such liability, including, if applicable:</w:t>
      </w:r>
    </w:p>
    <w:p>
      <w:pPr>
        <w:spacing w:after="0" w:line="227" w:lineRule="exact"/>
        <w:rPr>
          <w:rFonts w:ascii="Arial" w:cs="Arial" w:eastAsia="Arial" w:hAnsi="Arial"/>
          <w:sz w:val="19"/>
          <w:szCs w:val="19"/>
          <w:color w:val="auto"/>
        </w:rPr>
      </w:pPr>
    </w:p>
    <w:p>
      <w:pPr>
        <w:ind w:left="3900" w:hanging="652"/>
        <w:spacing w:after="0"/>
        <w:tabs>
          <w:tab w:leader="none" w:pos="3900" w:val="left"/>
        </w:tabs>
        <w:numPr>
          <w:ilvl w:val="3"/>
          <w:numId w:val="34"/>
        </w:numPr>
        <w:rPr>
          <w:rFonts w:ascii="Arial" w:cs="Arial" w:eastAsia="Arial" w:hAnsi="Arial"/>
          <w:sz w:val="19"/>
          <w:szCs w:val="19"/>
          <w:color w:val="auto"/>
        </w:rPr>
      </w:pPr>
      <w:r>
        <w:rPr>
          <w:rFonts w:ascii="Arial" w:cs="Arial" w:eastAsia="Arial" w:hAnsi="Arial"/>
          <w:sz w:val="19"/>
          <w:szCs w:val="19"/>
          <w:color w:val="auto"/>
        </w:rPr>
        <w:t>a reduction in full or in part or cancellation of any such liability;</w:t>
      </w:r>
    </w:p>
    <w:p>
      <w:pPr>
        <w:spacing w:after="0" w:line="227" w:lineRule="exact"/>
        <w:rPr>
          <w:rFonts w:ascii="Arial" w:cs="Arial" w:eastAsia="Arial" w:hAnsi="Arial"/>
          <w:sz w:val="19"/>
          <w:szCs w:val="19"/>
          <w:color w:val="auto"/>
        </w:rPr>
      </w:pPr>
    </w:p>
    <w:p>
      <w:pPr>
        <w:jc w:val="both"/>
        <w:ind w:left="1880" w:firstLine="1368"/>
        <w:spacing w:after="0" w:line="262" w:lineRule="auto"/>
        <w:tabs>
          <w:tab w:leader="none" w:pos="3899" w:val="left"/>
        </w:tabs>
        <w:numPr>
          <w:ilvl w:val="3"/>
          <w:numId w:val="34"/>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rFonts w:ascii="Arial" w:cs="Arial" w:eastAsia="Arial" w:hAnsi="Arial"/>
          <w:sz w:val="19"/>
          <w:szCs w:val="19"/>
          <w:color w:val="auto"/>
        </w:rPr>
      </w:pPr>
    </w:p>
    <w:p>
      <w:pPr>
        <w:ind w:left="1880" w:firstLine="1368"/>
        <w:spacing w:after="0" w:line="283" w:lineRule="auto"/>
        <w:tabs>
          <w:tab w:leader="none" w:pos="3895" w:val="left"/>
        </w:tabs>
        <w:numPr>
          <w:ilvl w:val="3"/>
          <w:numId w:val="34"/>
        </w:numPr>
        <w:rPr>
          <w:rFonts w:ascii="Arial" w:cs="Arial" w:eastAsia="Arial" w:hAnsi="Arial"/>
          <w:sz w:val="19"/>
          <w:szCs w:val="19"/>
          <w:color w:val="auto"/>
        </w:rPr>
      </w:pPr>
      <w:r>
        <w:rPr>
          <w:rFonts w:ascii="Arial" w:cs="Arial" w:eastAsia="Arial" w:hAnsi="Arial"/>
          <w:sz w:val="19"/>
          <w:szCs w:val="19"/>
          <w:color w:val="auto"/>
        </w:rPr>
        <w:t>the variation of the terms of such liability in connection with the exercise of the Write-Down and Conversion Powers of the applicable Resolution Authority.</w:t>
      </w:r>
    </w:p>
    <w:p>
      <w:pPr>
        <w:spacing w:after="0" w:line="153" w:lineRule="exact"/>
        <w:rPr>
          <w:rFonts w:ascii="Arial" w:cs="Arial" w:eastAsia="Arial" w:hAnsi="Arial"/>
          <w:sz w:val="19"/>
          <w:szCs w:val="19"/>
          <w:color w:val="auto"/>
        </w:rPr>
      </w:pPr>
    </w:p>
    <w:p>
      <w:pPr>
        <w:ind w:left="1940" w:hanging="636"/>
        <w:spacing w:after="0"/>
        <w:tabs>
          <w:tab w:leader="none" w:pos="1940"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Representations and Warranties.</w:t>
      </w:r>
    </w:p>
    <w:p>
      <w:pPr>
        <w:spacing w:after="0" w:line="23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To induce the Administrative Agent and the Lenders (including, for the avoidance of doubt, the 2021 Refinancing Term Lenders) to enter into this Amendment and to make the 2021 Refinancing Term Loans, each Loan Party represents and warrants to the Administrative Agent and each of the Lenders (including, for the avoidance of doubt, the 2021 Refinancing Term Lenders) as of the Amendment No. 2 Effective Date that the following statements are true and correct in all material respects:</w:t>
      </w:r>
    </w:p>
    <w:p>
      <w:pPr>
        <w:spacing w:after="0" w:line="180" w:lineRule="exact"/>
        <w:rPr>
          <w:sz w:val="20"/>
          <w:szCs w:val="20"/>
          <w:color w:val="auto"/>
        </w:rPr>
      </w:pPr>
    </w:p>
    <w:p>
      <w:pPr>
        <w:ind w:firstLine="656"/>
        <w:spacing w:after="0" w:line="283" w:lineRule="auto"/>
        <w:tabs>
          <w:tab w:leader="none" w:pos="1377" w:val="left"/>
        </w:tabs>
        <w:numPr>
          <w:ilvl w:val="0"/>
          <w:numId w:val="36"/>
        </w:numPr>
        <w:rPr>
          <w:rFonts w:ascii="Arial" w:cs="Arial" w:eastAsia="Arial" w:hAnsi="Arial"/>
          <w:sz w:val="19"/>
          <w:szCs w:val="19"/>
          <w:color w:val="auto"/>
        </w:rPr>
      </w:pPr>
      <w:r>
        <w:rPr>
          <w:rFonts w:ascii="Arial" w:cs="Arial" w:eastAsia="Arial" w:hAnsi="Arial"/>
          <w:sz w:val="19"/>
          <w:szCs w:val="19"/>
          <w:i w:val="1"/>
          <w:iCs w:val="1"/>
          <w:u w:val="single" w:color="auto"/>
          <w:color w:val="auto"/>
        </w:rPr>
        <w:t>Corporate Power and Authority</w:t>
      </w:r>
      <w:r>
        <w:rPr>
          <w:rFonts w:ascii="Arial" w:cs="Arial" w:eastAsia="Arial" w:hAnsi="Arial"/>
          <w:sz w:val="19"/>
          <w:szCs w:val="19"/>
          <w:i w:val="1"/>
          <w:iCs w:val="1"/>
          <w:color w:val="auto"/>
        </w:rPr>
        <w:t xml:space="preserve">. </w:t>
      </w:r>
      <w:r>
        <w:rPr>
          <w:rFonts w:ascii="Arial" w:cs="Arial" w:eastAsia="Arial" w:hAnsi="Arial"/>
          <w:sz w:val="19"/>
          <w:szCs w:val="19"/>
          <w:color w:val="auto"/>
        </w:rPr>
        <w:t>Each Loan Party has all requisite power and authority to execute, deliver and perform its</w:t>
      </w:r>
      <w:r>
        <w:rPr>
          <w:rFonts w:ascii="Arial" w:cs="Arial" w:eastAsia="Arial" w:hAnsi="Arial"/>
          <w:sz w:val="19"/>
          <w:szCs w:val="19"/>
          <w:i w:val="1"/>
          <w:iCs w:val="1"/>
          <w:color w:val="auto"/>
        </w:rPr>
        <w:t xml:space="preserve"> </w:t>
      </w:r>
      <w:r>
        <w:rPr>
          <w:rFonts w:ascii="Arial" w:cs="Arial" w:eastAsia="Arial" w:hAnsi="Arial"/>
          <w:sz w:val="19"/>
          <w:szCs w:val="19"/>
          <w:color w:val="auto"/>
        </w:rPr>
        <w:t>obligations under this Amendment and perform its obligations under the Amended Credit Agreement.</w:t>
      </w:r>
    </w:p>
    <w:p>
      <w:pPr>
        <w:spacing w:after="0" w:line="159" w:lineRule="exact"/>
        <w:rPr>
          <w:rFonts w:ascii="Arial" w:cs="Arial" w:eastAsia="Arial" w:hAnsi="Arial"/>
          <w:sz w:val="19"/>
          <w:szCs w:val="19"/>
          <w:color w:val="auto"/>
        </w:rPr>
      </w:pPr>
    </w:p>
    <w:p>
      <w:pPr>
        <w:jc w:val="both"/>
        <w:ind w:firstLine="656"/>
        <w:spacing w:after="0" w:line="259" w:lineRule="auto"/>
        <w:tabs>
          <w:tab w:leader="none" w:pos="1374" w:val="left"/>
        </w:tabs>
        <w:numPr>
          <w:ilvl w:val="0"/>
          <w:numId w:val="36"/>
        </w:numPr>
        <w:rPr>
          <w:rFonts w:ascii="Arial" w:cs="Arial" w:eastAsia="Arial" w:hAnsi="Arial"/>
          <w:sz w:val="19"/>
          <w:szCs w:val="19"/>
          <w:color w:val="auto"/>
        </w:rPr>
      </w:pPr>
      <w:r>
        <w:rPr>
          <w:rFonts w:ascii="Arial" w:cs="Arial" w:eastAsia="Arial" w:hAnsi="Arial"/>
          <w:sz w:val="19"/>
          <w:szCs w:val="19"/>
          <w:i w:val="1"/>
          <w:iCs w:val="1"/>
          <w:u w:val="single" w:color="auto"/>
          <w:color w:val="auto"/>
        </w:rPr>
        <w:t>Due Authorization; No Contravention</w:t>
      </w:r>
      <w:r>
        <w:rPr>
          <w:rFonts w:ascii="Arial" w:cs="Arial" w:eastAsia="Arial" w:hAnsi="Arial"/>
          <w:sz w:val="19"/>
          <w:szCs w:val="19"/>
          <w:i w:val="1"/>
          <w:iCs w:val="1"/>
          <w:color w:val="auto"/>
        </w:rPr>
        <w:t xml:space="preserve">. </w:t>
      </w:r>
      <w:r>
        <w:rPr>
          <w:rFonts w:ascii="Arial" w:cs="Arial" w:eastAsia="Arial" w:hAnsi="Arial"/>
          <w:sz w:val="19"/>
          <w:szCs w:val="19"/>
          <w:color w:val="auto"/>
        </w:rPr>
        <w:t>The execution and delivery by each Loan Party of this Amendment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by each Loan Party of the terms of this Amendment and the Amended Credit Agreement have been duly authorized by all necessary corporate or other organizational action of such Loan Party, and do not and will not (a) contravene the terms of any of such Person’s Organization Documents; (b) conflict with or result in any breach or contravention of, or the creation of any Lien under, or require any payment to be made under (i) any material contract to which such Person is a party or affecting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22" w:right="339" w:bottom="1440" w:gutter="0" w:footer="0" w:header="0"/>
        </w:sectPr>
      </w:pPr>
    </w:p>
    <w:bookmarkStart w:id="18" w:name="page19"/>
    <w:bookmarkEnd w:id="18"/>
    <w:p>
      <w:pPr>
        <w:spacing w:after="0" w:line="345" w:lineRule="auto"/>
        <w:rPr>
          <w:sz w:val="20"/>
          <w:szCs w:val="20"/>
          <w:color w:val="auto"/>
        </w:rPr>
      </w:pPr>
      <w:r>
        <w:rPr>
          <w:rFonts w:ascii="Arial" w:cs="Arial" w:eastAsia="Arial" w:hAnsi="Arial"/>
          <w:sz w:val="17"/>
          <w:szCs w:val="17"/>
          <w:color w:val="auto"/>
        </w:rPr>
        <w:t>such Person or the properties of such Person or any of its Restricted Subsidiaries (other than Excluded Subsidiaries) or (ii) any order, injunction, writ or decree of any Governmental Authority or any arbitral award to which such Person or its property is subject; or (c) violate any Laws.</w:t>
      </w:r>
    </w:p>
    <w:p>
      <w:pPr>
        <w:spacing w:after="0" w:line="113" w:lineRule="exact"/>
        <w:rPr>
          <w:sz w:val="20"/>
          <w:szCs w:val="20"/>
          <w:color w:val="auto"/>
        </w:rPr>
      </w:pPr>
    </w:p>
    <w:p>
      <w:pPr>
        <w:jc w:val="both"/>
        <w:ind w:firstLine="656"/>
        <w:spacing w:after="0" w:line="259" w:lineRule="auto"/>
        <w:tabs>
          <w:tab w:leader="none" w:pos="1377" w:val="left"/>
        </w:tabs>
        <w:numPr>
          <w:ilvl w:val="0"/>
          <w:numId w:val="37"/>
        </w:numPr>
        <w:rPr>
          <w:rFonts w:ascii="Arial" w:cs="Arial" w:eastAsia="Arial" w:hAnsi="Arial"/>
          <w:sz w:val="19"/>
          <w:szCs w:val="19"/>
          <w:color w:val="auto"/>
        </w:rPr>
      </w:pPr>
      <w:r>
        <w:rPr>
          <w:rFonts w:ascii="Arial" w:cs="Arial" w:eastAsia="Arial" w:hAnsi="Arial"/>
          <w:sz w:val="19"/>
          <w:szCs w:val="19"/>
          <w:i w:val="1"/>
          <w:iCs w:val="1"/>
          <w:u w:val="single" w:color="auto"/>
          <w:color w:val="auto"/>
        </w:rPr>
        <w:t>Governmental Authorization; Other Consents</w:t>
      </w:r>
      <w:r>
        <w:rPr>
          <w:rFonts w:ascii="Arial" w:cs="Arial" w:eastAsia="Arial" w:hAnsi="Arial"/>
          <w:sz w:val="19"/>
          <w:szCs w:val="19"/>
          <w:i w:val="1"/>
          <w:iCs w:val="1"/>
          <w:color w:val="auto"/>
        </w:rPr>
        <w:t xml:space="preserve">. </w:t>
      </w:r>
      <w:r>
        <w:rPr>
          <w:rFonts w:ascii="Arial" w:cs="Arial" w:eastAsia="Arial" w:hAnsi="Arial"/>
          <w:sz w:val="19"/>
          <w:szCs w:val="19"/>
          <w:color w:val="auto"/>
        </w:rPr>
        <w:t>No material approval, consent, exemption, authorization, or other action by, or</w:t>
      </w:r>
      <w:r>
        <w:rPr>
          <w:rFonts w:ascii="Arial" w:cs="Arial" w:eastAsia="Arial" w:hAnsi="Arial"/>
          <w:sz w:val="19"/>
          <w:szCs w:val="19"/>
          <w:i w:val="1"/>
          <w:iCs w:val="1"/>
          <w:color w:val="auto"/>
        </w:rPr>
        <w:t xml:space="preserve"> </w:t>
      </w:r>
      <w:r>
        <w:rPr>
          <w:rFonts w:ascii="Arial" w:cs="Arial" w:eastAsia="Arial" w:hAnsi="Arial"/>
          <w:sz w:val="19"/>
          <w:szCs w:val="19"/>
          <w:color w:val="auto"/>
        </w:rPr>
        <w:t>notice to, or filing with, any Governmental Authority or any other Person is necessary or required in connection with the execution, delivery or performance by, or enforcement against, any Loan Party of this Amendment or the Amended Credit Agreement, except for the approvals, consents, exemptions, authorizations, actions, notices and filings which have been duly obtained, taken, given or made and are in full force and effect.</w:t>
      </w:r>
    </w:p>
    <w:p>
      <w:pPr>
        <w:spacing w:after="0" w:line="184" w:lineRule="exact"/>
        <w:rPr>
          <w:rFonts w:ascii="Arial" w:cs="Arial" w:eastAsia="Arial" w:hAnsi="Arial"/>
          <w:sz w:val="19"/>
          <w:szCs w:val="19"/>
          <w:color w:val="auto"/>
        </w:rPr>
      </w:pPr>
    </w:p>
    <w:p>
      <w:pPr>
        <w:jc w:val="both"/>
        <w:ind w:firstLine="656"/>
        <w:spacing w:after="0" w:line="259" w:lineRule="auto"/>
        <w:tabs>
          <w:tab w:leader="none" w:pos="1374" w:val="left"/>
        </w:tabs>
        <w:numPr>
          <w:ilvl w:val="0"/>
          <w:numId w:val="37"/>
        </w:numPr>
        <w:rPr>
          <w:rFonts w:ascii="Arial" w:cs="Arial" w:eastAsia="Arial" w:hAnsi="Arial"/>
          <w:sz w:val="19"/>
          <w:szCs w:val="19"/>
          <w:color w:val="auto"/>
        </w:rPr>
      </w:pPr>
      <w:r>
        <w:rPr>
          <w:rFonts w:ascii="Arial" w:cs="Arial" w:eastAsia="Arial" w:hAnsi="Arial"/>
          <w:sz w:val="19"/>
          <w:szCs w:val="19"/>
          <w:i w:val="1"/>
          <w:iCs w:val="1"/>
          <w:u w:val="single" w:color="auto"/>
          <w:color w:val="auto"/>
        </w:rPr>
        <w:t>Binding Effect</w:t>
      </w:r>
      <w:r>
        <w:rPr>
          <w:rFonts w:ascii="Arial" w:cs="Arial" w:eastAsia="Arial" w:hAnsi="Arial"/>
          <w:sz w:val="19"/>
          <w:szCs w:val="19"/>
          <w:i w:val="1"/>
          <w:iCs w:val="1"/>
          <w:color w:val="auto"/>
        </w:rPr>
        <w:t xml:space="preserve">. </w:t>
      </w:r>
      <w:r>
        <w:rPr>
          <w:rFonts w:ascii="Arial" w:cs="Arial" w:eastAsia="Arial" w:hAnsi="Arial"/>
          <w:sz w:val="19"/>
          <w:szCs w:val="19"/>
          <w:color w:val="auto"/>
        </w:rPr>
        <w:t>This Amendment has been duly executed and delivered by each Loan Party that is a party hereto. Each of this</w:t>
      </w:r>
      <w:r>
        <w:rPr>
          <w:rFonts w:ascii="Arial" w:cs="Arial" w:eastAsia="Arial" w:hAnsi="Arial"/>
          <w:sz w:val="19"/>
          <w:szCs w:val="19"/>
          <w:i w:val="1"/>
          <w:iCs w:val="1"/>
          <w:color w:val="auto"/>
        </w:rPr>
        <w:t xml:space="preserve"> </w:t>
      </w:r>
      <w:r>
        <w:rPr>
          <w:rFonts w:ascii="Arial" w:cs="Arial" w:eastAsia="Arial" w:hAnsi="Arial"/>
          <w:sz w:val="19"/>
          <w:szCs w:val="19"/>
          <w:color w:val="auto"/>
        </w:rPr>
        <w:t>Amendment and the Amended Credit Agreement constitutes a legal, valid and binding obligation of each Loan Party party hereto, enforceable against each Loan Party party hereto in accordance with its terms,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w:t>
      </w:r>
    </w:p>
    <w:p>
      <w:pPr>
        <w:spacing w:after="0" w:line="184" w:lineRule="exact"/>
        <w:rPr>
          <w:rFonts w:ascii="Arial" w:cs="Arial" w:eastAsia="Arial" w:hAnsi="Arial"/>
          <w:sz w:val="19"/>
          <w:szCs w:val="19"/>
          <w:color w:val="auto"/>
        </w:rPr>
      </w:pPr>
    </w:p>
    <w:p>
      <w:pPr>
        <w:jc w:val="both"/>
        <w:ind w:firstLine="656"/>
        <w:spacing w:after="0" w:line="275" w:lineRule="auto"/>
        <w:tabs>
          <w:tab w:leader="none" w:pos="1377" w:val="left"/>
        </w:tabs>
        <w:numPr>
          <w:ilvl w:val="0"/>
          <w:numId w:val="37"/>
        </w:numPr>
        <w:rPr>
          <w:rFonts w:ascii="Arial" w:cs="Arial" w:eastAsia="Arial" w:hAnsi="Arial"/>
          <w:sz w:val="18"/>
          <w:szCs w:val="18"/>
          <w:color w:val="auto"/>
        </w:rPr>
      </w:pPr>
      <w:r>
        <w:rPr>
          <w:rFonts w:ascii="Arial" w:cs="Arial" w:eastAsia="Arial" w:hAnsi="Arial"/>
          <w:sz w:val="18"/>
          <w:szCs w:val="18"/>
          <w:i w:val="1"/>
          <w:iCs w:val="1"/>
          <w:u w:val="single" w:color="auto"/>
          <w:color w:val="auto"/>
        </w:rPr>
        <w:t>Incorporation of Representations and Warranties from 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representations and warranties contained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Article 5 of the Amended Credit Agreement or in any other Loan Document are and will be true and correct in all material respects on and as of the Amendment Effective Date to the same extent as though made on and as of that date, except to the extent such representations and warranties specifically relate to an earlier date, in which case they were true and correct in all material respects on and as of such earlier date, in each case after giving effect to this Amendment;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representation and warranty that is qualified as to “materiality”, “Material Adverse Effect” or similar language shall be true and correct (after giving effect to any qualification therein) in all respects.</w:t>
      </w:r>
    </w:p>
    <w:p>
      <w:pPr>
        <w:spacing w:after="0" w:line="169" w:lineRule="exact"/>
        <w:rPr>
          <w:rFonts w:ascii="Arial" w:cs="Arial" w:eastAsia="Arial" w:hAnsi="Arial"/>
          <w:sz w:val="18"/>
          <w:szCs w:val="18"/>
          <w:color w:val="auto"/>
        </w:rPr>
      </w:pPr>
    </w:p>
    <w:p>
      <w:pPr>
        <w:ind w:firstLine="656"/>
        <w:spacing w:after="0" w:line="283" w:lineRule="auto"/>
        <w:tabs>
          <w:tab w:leader="none" w:pos="1369" w:val="left"/>
        </w:tabs>
        <w:numPr>
          <w:ilvl w:val="0"/>
          <w:numId w:val="37"/>
        </w:numPr>
        <w:rPr>
          <w:rFonts w:ascii="Arial" w:cs="Arial" w:eastAsia="Arial" w:hAnsi="Arial"/>
          <w:sz w:val="19"/>
          <w:szCs w:val="19"/>
          <w:color w:val="auto"/>
        </w:rPr>
      </w:pPr>
      <w:r>
        <w:rPr>
          <w:rFonts w:ascii="Arial" w:cs="Arial" w:eastAsia="Arial" w:hAnsi="Arial"/>
          <w:sz w:val="19"/>
          <w:szCs w:val="19"/>
          <w:i w:val="1"/>
          <w:iCs w:val="1"/>
          <w:color w:val="auto"/>
        </w:rPr>
        <w:t xml:space="preserve">Absence of Default. </w:t>
      </w:r>
      <w:r>
        <w:rPr>
          <w:rFonts w:ascii="Arial" w:cs="Arial" w:eastAsia="Arial" w:hAnsi="Arial"/>
          <w:sz w:val="19"/>
          <w:szCs w:val="19"/>
          <w:color w:val="auto"/>
        </w:rPr>
        <w:t>No event has occurred and is continuing that would constitute an Event of Default or a Default, in each</w:t>
      </w:r>
      <w:r>
        <w:rPr>
          <w:rFonts w:ascii="Arial" w:cs="Arial" w:eastAsia="Arial" w:hAnsi="Arial"/>
          <w:sz w:val="19"/>
          <w:szCs w:val="19"/>
          <w:i w:val="1"/>
          <w:iCs w:val="1"/>
          <w:color w:val="auto"/>
        </w:rPr>
        <w:t xml:space="preserve"> </w:t>
      </w:r>
      <w:r>
        <w:rPr>
          <w:rFonts w:ascii="Arial" w:cs="Arial" w:eastAsia="Arial" w:hAnsi="Arial"/>
          <w:sz w:val="19"/>
          <w:szCs w:val="19"/>
          <w:color w:val="auto"/>
        </w:rPr>
        <w:t>case immediately before or after giving effect to the funding of the 2021 Refinancing Term Loans.</w:t>
      </w:r>
    </w:p>
    <w:p>
      <w:pPr>
        <w:spacing w:after="0" w:line="154" w:lineRule="exact"/>
        <w:rPr>
          <w:sz w:val="20"/>
          <w:szCs w:val="20"/>
          <w:color w:val="auto"/>
        </w:rPr>
      </w:pPr>
    </w:p>
    <w:p>
      <w:pPr>
        <w:ind w:left="1940" w:hanging="636"/>
        <w:spacing w:after="0"/>
        <w:tabs>
          <w:tab w:leader="none" w:pos="1940"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Conditions to Effectiveness of this Amendment.</w:t>
      </w:r>
    </w:p>
    <w:p>
      <w:pPr>
        <w:spacing w:after="0" w:line="23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8"/>
          <w:szCs w:val="18"/>
          <w:color w:val="auto"/>
        </w:rPr>
        <w:t>The effectiveness of this Amendment and the obligation of the 2021 Refinancing Term Lenders to fund the 2021 Refinancing Term Loans are subject to (i) the due execution and delivery of this Amendment by the Borrower and the Subsidiary Guarantors and (ii) the following additional conditions (the date of satisfaction or waiver of all such conditions, the “</w:t>
      </w:r>
      <w:r>
        <w:rPr>
          <w:rFonts w:ascii="Arial" w:cs="Arial" w:eastAsia="Arial" w:hAnsi="Arial"/>
          <w:sz w:val="18"/>
          <w:szCs w:val="18"/>
          <w:b w:val="1"/>
          <w:bCs w:val="1"/>
          <w:i w:val="1"/>
          <w:iCs w:val="1"/>
          <w:color w:val="auto"/>
        </w:rPr>
        <w:t>Amendment No. 2 Effective Date</w:t>
      </w:r>
      <w:r>
        <w:rPr>
          <w:rFonts w:ascii="Arial" w:cs="Arial" w:eastAsia="Arial" w:hAnsi="Arial"/>
          <w:sz w:val="18"/>
          <w:szCs w:val="18"/>
          <w:color w:val="auto"/>
        </w:rPr>
        <w:t>”):</w:t>
      </w:r>
    </w:p>
    <w:p>
      <w:pPr>
        <w:spacing w:after="0" w:line="157" w:lineRule="exact"/>
        <w:rPr>
          <w:sz w:val="20"/>
          <w:szCs w:val="20"/>
          <w:color w:val="auto"/>
        </w:rPr>
      </w:pPr>
    </w:p>
    <w:p>
      <w:pPr>
        <w:ind w:firstLine="656"/>
        <w:spacing w:after="0" w:line="283" w:lineRule="auto"/>
        <w:tabs>
          <w:tab w:leader="none" w:pos="1377" w:val="left"/>
        </w:tabs>
        <w:numPr>
          <w:ilvl w:val="0"/>
          <w:numId w:val="39"/>
        </w:numPr>
        <w:rPr>
          <w:rFonts w:ascii="Arial" w:cs="Arial" w:eastAsia="Arial" w:hAnsi="Arial"/>
          <w:sz w:val="19"/>
          <w:szCs w:val="19"/>
          <w:color w:val="auto"/>
        </w:rPr>
      </w:pPr>
      <w:r>
        <w:rPr>
          <w:rFonts w:ascii="Arial" w:cs="Arial" w:eastAsia="Arial" w:hAnsi="Arial"/>
          <w:sz w:val="19"/>
          <w:szCs w:val="19"/>
          <w:color w:val="auto"/>
        </w:rPr>
        <w:t>no Default or Event of Default shall exist on the Amendment No. 2 Effective Date immediately before or after giving effect to the funding of the 2021 Refinancing Term Loans;</w:t>
      </w:r>
    </w:p>
    <w:p>
      <w:pPr>
        <w:spacing w:after="0" w:line="159" w:lineRule="exact"/>
        <w:rPr>
          <w:rFonts w:ascii="Arial" w:cs="Arial" w:eastAsia="Arial" w:hAnsi="Arial"/>
          <w:sz w:val="19"/>
          <w:szCs w:val="19"/>
          <w:color w:val="auto"/>
        </w:rPr>
      </w:pPr>
    </w:p>
    <w:p>
      <w:pPr>
        <w:jc w:val="both"/>
        <w:ind w:firstLine="656"/>
        <w:spacing w:after="0" w:line="275" w:lineRule="auto"/>
        <w:tabs>
          <w:tab w:leader="none" w:pos="1374"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each of the representations and warranties made by any Loan Party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this Amendment,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of the Existing Credit Agreement and the other Loan Documents shall be true and correct in all material respects on and as of the Amendment No. 2 Effective Date with the same effect as though made on and as of such date, both immediately before and after giving effect to the funding of the 2021 Refinancing Term Loans to be made on such date (other than any such representations or warranties that are made as of a specific date, which shall be true and correct in all material respects as of such date) (without duplication of any materiality qualifiers with respect to any such representation or warranty already qualified by materiality or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22" w:right="339" w:bottom="1440" w:gutter="0" w:footer="0" w:header="0"/>
        </w:sectPr>
      </w:pPr>
    </w:p>
    <w:bookmarkStart w:id="19" w:name="page20"/>
    <w:bookmarkEnd w:id="19"/>
    <w:p>
      <w:pPr>
        <w:jc w:val="both"/>
        <w:ind w:firstLine="656"/>
        <w:spacing w:after="0" w:line="269" w:lineRule="auto"/>
        <w:tabs>
          <w:tab w:leader="none" w:pos="1376"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(i) a customary written opinion of Lewis Rice LLC, counsel to the Loan Parties, and local or other counsel in each of the jurisdictions listed on </w:t>
      </w:r>
      <w:r>
        <w:rPr>
          <w:rFonts w:ascii="Arial" w:cs="Arial" w:eastAsia="Arial" w:hAnsi="Arial"/>
          <w:sz w:val="18"/>
          <w:szCs w:val="18"/>
          <w:u w:val="single" w:color="auto"/>
          <w:color w:val="auto"/>
        </w:rPr>
        <w:t>Schedule 4.01(a)(iv)</w:t>
      </w:r>
      <w:r>
        <w:rPr>
          <w:rFonts w:ascii="Arial" w:cs="Arial" w:eastAsia="Arial" w:hAnsi="Arial"/>
          <w:sz w:val="18"/>
          <w:szCs w:val="18"/>
          <w:color w:val="auto"/>
        </w:rPr>
        <w:t xml:space="preserve"> of the Existing Credit Agreement, in form and substance reasonably satisfactory to the Administrative Agent, (ii) secretary’s certificates substantially in the forms delivered on the Closing Date (which certificates may also be certificates of “no change”, as applicable), (iii) resolutions duly adopted by the Board of Directors or other governing body, as applicable, of each Loan Party authorizing the incurrence or guarantee of the 2021 Refinancing Term Loans to be made on the Amendment No. 2 Effective Date, and the execution, delivery and performance of this Amendment and other transactions related thereto and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certificates as to the good standing of each Loan Party as of a recent date from the Secretary of State of the state of its organization;</w:t>
      </w:r>
    </w:p>
    <w:p>
      <w:pPr>
        <w:spacing w:after="0" w:line="222" w:lineRule="exact"/>
        <w:rPr>
          <w:rFonts w:ascii="Arial" w:cs="Arial" w:eastAsia="Arial" w:hAnsi="Arial"/>
          <w:sz w:val="18"/>
          <w:szCs w:val="18"/>
          <w:color w:val="auto"/>
        </w:rPr>
      </w:pPr>
    </w:p>
    <w:p>
      <w:pPr>
        <w:ind w:firstLine="656"/>
        <w:spacing w:after="0" w:line="282" w:lineRule="auto"/>
        <w:tabs>
          <w:tab w:leader="none" w:pos="1373" w:val="left"/>
        </w:tabs>
        <w:numPr>
          <w:ilvl w:val="1"/>
          <w:numId w:val="41"/>
        </w:numPr>
        <w:rPr>
          <w:rFonts w:ascii="Arial" w:cs="Arial" w:eastAsia="Arial" w:hAnsi="Arial"/>
          <w:sz w:val="19"/>
          <w:szCs w:val="19"/>
          <w:color w:val="auto"/>
        </w:rPr>
      </w:pPr>
      <w:r>
        <w:rPr>
          <w:rFonts w:ascii="Arial" w:cs="Arial" w:eastAsia="Arial" w:hAnsi="Arial"/>
          <w:sz w:val="19"/>
          <w:szCs w:val="19"/>
          <w:color w:val="auto"/>
        </w:rPr>
        <w:t>the Administrative Agent shall have received a counterpart signature page of this Amendment, executed and delivered by each 2021 Refinancing Term Lender and each Revolving Credit Lender;</w:t>
      </w:r>
    </w:p>
    <w:p>
      <w:pPr>
        <w:spacing w:after="0" w:line="161" w:lineRule="exact"/>
        <w:rPr>
          <w:rFonts w:ascii="Arial" w:cs="Arial" w:eastAsia="Arial" w:hAnsi="Arial"/>
          <w:sz w:val="19"/>
          <w:szCs w:val="19"/>
          <w:color w:val="auto"/>
        </w:rPr>
      </w:pPr>
    </w:p>
    <w:p>
      <w:pPr>
        <w:ind w:firstLine="656"/>
        <w:spacing w:after="0" w:line="282" w:lineRule="auto"/>
        <w:tabs>
          <w:tab w:leader="none" w:pos="1376" w:val="left"/>
        </w:tabs>
        <w:numPr>
          <w:ilvl w:val="1"/>
          <w:numId w:val="41"/>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a solvency certificate, substantially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to the Existing Credit Agreement, from the chief financial officer of the Borrower certifying as to the matters set forth therein;</w:t>
      </w:r>
    </w:p>
    <w:p>
      <w:pPr>
        <w:spacing w:after="0" w:line="161" w:lineRule="exact"/>
        <w:rPr>
          <w:rFonts w:ascii="Arial" w:cs="Arial" w:eastAsia="Arial" w:hAnsi="Arial"/>
          <w:sz w:val="19"/>
          <w:szCs w:val="19"/>
          <w:color w:val="auto"/>
        </w:rPr>
      </w:pPr>
    </w:p>
    <w:p>
      <w:pPr>
        <w:jc w:val="both"/>
        <w:ind w:firstLine="656"/>
        <w:spacing w:after="0" w:line="262" w:lineRule="auto"/>
        <w:tabs>
          <w:tab w:leader="none" w:pos="1368" w:val="left"/>
        </w:tabs>
        <w:numPr>
          <w:ilvl w:val="1"/>
          <w:numId w:val="41"/>
        </w:numPr>
        <w:rPr>
          <w:rFonts w:ascii="Arial" w:cs="Arial" w:eastAsia="Arial" w:hAnsi="Arial"/>
          <w:sz w:val="19"/>
          <w:szCs w:val="19"/>
          <w:color w:val="auto"/>
        </w:rPr>
      </w:pPr>
      <w:r>
        <w:rPr>
          <w:rFonts w:ascii="Arial" w:cs="Arial" w:eastAsia="Arial" w:hAnsi="Arial"/>
          <w:sz w:val="19"/>
          <w:szCs w:val="19"/>
          <w:color w:val="auto"/>
        </w:rPr>
        <w:t>the Borrower shall have paid to the Administrative Agent all fees and other amounts due and payable on or prior to the Amendment No. 2 Effective Date, including reimbursement or other payment of all out-of-pocket expenses required to be reimbursed or paid by the Borrower under the Amended Credit Agreement, to the extent invoiced at least two (2) Business Days prior to the Amendment No. 2 Effective Date;</w:t>
      </w:r>
    </w:p>
    <w:p>
      <w:pPr>
        <w:spacing w:after="0" w:line="179" w:lineRule="exact"/>
        <w:rPr>
          <w:rFonts w:ascii="Arial" w:cs="Arial" w:eastAsia="Arial" w:hAnsi="Arial"/>
          <w:sz w:val="19"/>
          <w:szCs w:val="19"/>
          <w:color w:val="auto"/>
        </w:rPr>
      </w:pPr>
    </w:p>
    <w:p>
      <w:pPr>
        <w:jc w:val="both"/>
        <w:ind w:firstLine="656"/>
        <w:spacing w:after="0" w:line="273" w:lineRule="auto"/>
        <w:tabs>
          <w:tab w:leader="none" w:pos="1373" w:val="left"/>
        </w:tabs>
        <w:numPr>
          <w:ilvl w:val="1"/>
          <w:numId w:val="41"/>
        </w:numPr>
        <w:rPr>
          <w:rFonts w:ascii="Arial" w:cs="Arial" w:eastAsia="Arial" w:hAnsi="Arial"/>
          <w:sz w:val="18"/>
          <w:szCs w:val="18"/>
          <w:color w:val="auto"/>
        </w:rPr>
      </w:pPr>
      <w:r>
        <w:rPr>
          <w:rFonts w:ascii="Arial" w:cs="Arial" w:eastAsia="Arial" w:hAnsi="Arial"/>
          <w:sz w:val="18"/>
          <w:szCs w:val="18"/>
          <w:color w:val="auto"/>
        </w:rPr>
        <w:t>(i) upon the reasonable request of any 2021 Refinancing Term Lender made at least ten (10) Business Days prior to the Amendment No. 2 Effective Date, the Borrower shall have provided to such 2021 Refinancing Term Lender the documentation and other information so requested in connection with applicable “know your customer” and anti-money-laundering rules and regulations, including the PATRIOT Act and Beneficial Ownership Regulations, in each case at least three (3) Business Days prior to the Amendment No. 2 Effective Date, and (ii) at least three (3) Business Days prior to the Amendment No. 2 Effective Date, the Borrower shall deliver a Beneficial Ownership Certification to the extent the Borrower qualifies as a “legal entity customer” under the Beneficial Ownership Regulation if requested by the Administrative Agent or any other Lender at least ten (10) Business Days prior to the Amendment No. 2 Effective Date;</w:t>
      </w:r>
    </w:p>
    <w:p>
      <w:pPr>
        <w:spacing w:after="0" w:line="174" w:lineRule="exact"/>
        <w:rPr>
          <w:rFonts w:ascii="Arial" w:cs="Arial" w:eastAsia="Arial" w:hAnsi="Arial"/>
          <w:sz w:val="18"/>
          <w:szCs w:val="18"/>
          <w:color w:val="auto"/>
        </w:rPr>
      </w:pPr>
    </w:p>
    <w:p>
      <w:pPr>
        <w:jc w:val="both"/>
        <w:ind w:firstLine="656"/>
        <w:spacing w:after="0" w:line="267" w:lineRule="auto"/>
        <w:tabs>
          <w:tab w:leader="none" w:pos="1373" w:val="left"/>
        </w:tabs>
        <w:numPr>
          <w:ilvl w:val="1"/>
          <w:numId w:val="41"/>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a Committed Loan Notice with respect to the 2021 Refinancing Term Loans in accordance with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of the Amended Credit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Committed Loan Notice shall be delivered to the Administrative Agent one (1) Business Day prior to the requested date of the 2021 Refinancing Term Loans; and</w:t>
      </w:r>
    </w:p>
    <w:p>
      <w:pPr>
        <w:spacing w:after="0" w:line="175" w:lineRule="exact"/>
        <w:rPr>
          <w:rFonts w:ascii="Arial" w:cs="Arial" w:eastAsia="Arial" w:hAnsi="Arial"/>
          <w:sz w:val="19"/>
          <w:szCs w:val="19"/>
          <w:color w:val="auto"/>
        </w:rPr>
      </w:pPr>
    </w:p>
    <w:p>
      <w:pPr>
        <w:jc w:val="both"/>
        <w:ind w:firstLine="656"/>
        <w:spacing w:after="0" w:line="288" w:lineRule="auto"/>
        <w:tabs>
          <w:tab w:leader="none" w:pos="137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substantially concurrently with the initial funding of the 2021 Refinancing Term Loans hereunder, unless otherwise subject to an election for cashless rollover from Existing Term Loans to 2021 Refinancing Term Loans, 100% of the proceeds thereof shall be applied to repay all of the outstanding Existing Term Loans under the Existing Credit Agreement (including accrued and unpaid interest).</w:t>
      </w:r>
    </w:p>
    <w:p>
      <w:pPr>
        <w:spacing w:after="0" w:line="153" w:lineRule="exact"/>
        <w:rPr>
          <w:rFonts w:ascii="Arial" w:cs="Arial" w:eastAsia="Arial" w:hAnsi="Arial"/>
          <w:sz w:val="18"/>
          <w:szCs w:val="18"/>
          <w:color w:val="auto"/>
        </w:rPr>
      </w:pPr>
    </w:p>
    <w:p>
      <w:pPr>
        <w:ind w:left="1940" w:hanging="636"/>
        <w:spacing w:after="0"/>
        <w:tabs>
          <w:tab w:leader="none" w:pos="1940" w:val="left"/>
        </w:tabs>
        <w:numPr>
          <w:ilvl w:val="2"/>
          <w:numId w:val="4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Appointment of Joint Bookrunners</w:t>
      </w:r>
    </w:p>
    <w:p>
      <w:pPr>
        <w:spacing w:after="0" w:line="233" w:lineRule="exact"/>
        <w:rPr>
          <w:sz w:val="20"/>
          <w:szCs w:val="20"/>
          <w:color w:val="auto"/>
        </w:rPr>
      </w:pPr>
    </w:p>
    <w:p>
      <w:pPr>
        <w:jc w:val="both"/>
        <w:ind w:firstLine="567"/>
        <w:spacing w:after="0" w:line="267" w:lineRule="auto"/>
        <w:rPr>
          <w:sz w:val="20"/>
          <w:szCs w:val="20"/>
          <w:color w:val="auto"/>
        </w:rPr>
      </w:pPr>
      <w:r>
        <w:rPr>
          <w:rFonts w:ascii="Arial" w:cs="Arial" w:eastAsia="Arial" w:hAnsi="Arial"/>
          <w:sz w:val="19"/>
          <w:szCs w:val="19"/>
          <w:color w:val="auto"/>
        </w:rPr>
        <w:t xml:space="preserve">The Borrower hereby (a) appoints each of the persons listed on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 (acting directly or through one or more of its affiliates as it shall deem appropriate to provide the services contemplated) to act as Joint Bookrunners for the 2021 Refinancing Term Loans (the “</w:t>
      </w:r>
      <w:r>
        <w:rPr>
          <w:rFonts w:ascii="Arial" w:cs="Arial" w:eastAsia="Arial" w:hAnsi="Arial"/>
          <w:sz w:val="19"/>
          <w:szCs w:val="19"/>
          <w:b w:val="1"/>
          <w:bCs w:val="1"/>
          <w:color w:val="auto"/>
        </w:rPr>
        <w:t>Joint</w:t>
      </w:r>
      <w:r>
        <w:rPr>
          <w:rFonts w:ascii="Arial" w:cs="Arial" w:eastAsia="Arial" w:hAnsi="Arial"/>
          <w:sz w:val="19"/>
          <w:szCs w:val="19"/>
          <w:color w:val="auto"/>
        </w:rPr>
        <w:t xml:space="preserve"> </w:t>
      </w:r>
      <w:r>
        <w:rPr>
          <w:rFonts w:ascii="Arial" w:cs="Arial" w:eastAsia="Arial" w:hAnsi="Arial"/>
          <w:sz w:val="19"/>
          <w:szCs w:val="19"/>
          <w:b w:val="1"/>
          <w:bCs w:val="1"/>
          <w:color w:val="auto"/>
        </w:rPr>
        <w:t>Bookrunners</w:t>
      </w:r>
      <w:r>
        <w:rPr>
          <w:rFonts w:ascii="Arial" w:cs="Arial" w:eastAsia="Arial" w:hAnsi="Arial"/>
          <w:sz w:val="19"/>
          <w:szCs w:val="19"/>
          <w:color w:val="auto"/>
        </w:rPr>
        <w:t>”) for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23" w:right="339" w:bottom="1440" w:gutter="0" w:footer="0" w:header="0"/>
        </w:sectPr>
      </w:pPr>
    </w:p>
    <w:bookmarkStart w:id="20" w:name="page21"/>
    <w:bookmarkEnd w:id="20"/>
    <w:p>
      <w:pPr>
        <w:jc w:val="both"/>
        <w:spacing w:after="0" w:line="258" w:lineRule="auto"/>
        <w:rPr>
          <w:sz w:val="20"/>
          <w:szCs w:val="20"/>
          <w:color w:val="auto"/>
        </w:rPr>
      </w:pPr>
      <w:r>
        <w:rPr>
          <w:rFonts w:ascii="Arial" w:cs="Arial" w:eastAsia="Arial" w:hAnsi="Arial"/>
          <w:sz w:val="19"/>
          <w:szCs w:val="19"/>
          <w:color w:val="auto"/>
        </w:rPr>
        <w:t xml:space="preserve">Amendment, the 2021 Refinancing Term Commitments and the 2021 Refinancing Term Loans and (b) acknowledges and agrees that (i) the Joint Bookrunners shall be entitled to the privileges, indemnification, immunities and other benefits afforded to the Agents and the Arrangers pursuant to </w:t>
      </w:r>
      <w:r>
        <w:rPr>
          <w:rFonts w:ascii="Arial" w:cs="Arial" w:eastAsia="Arial" w:hAnsi="Arial"/>
          <w:sz w:val="19"/>
          <w:szCs w:val="19"/>
          <w:u w:val="single" w:color="auto"/>
          <w:color w:val="auto"/>
        </w:rPr>
        <w:t>Section 9.08</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10.07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of the Amended Credit Agreement and (ii) except as otherwise agreed to in writing by the Borrower and the Joint Bookrunners, the Joint Bookrunners shall not have any duties, responsibilities or liabilities with respect to this Amendment, the 2021 Refinancing Term Commitments, the 2021 Refinancing Term Loans, the Amended Credit Agreement or any other Loan Document.</w:t>
      </w:r>
    </w:p>
    <w:p>
      <w:pPr>
        <w:spacing w:after="0" w:line="178" w:lineRule="exact"/>
        <w:rPr>
          <w:sz w:val="20"/>
          <w:szCs w:val="20"/>
          <w:color w:val="auto"/>
        </w:rPr>
      </w:pPr>
    </w:p>
    <w:p>
      <w:pPr>
        <w:ind w:left="1940" w:hanging="636"/>
        <w:spacing w:after="0"/>
        <w:tabs>
          <w:tab w:leader="none" w:pos="1940" w:val="left"/>
        </w:tabs>
        <w:numPr>
          <w:ilvl w:val="0"/>
          <w:numId w:val="4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Effect on the Amended Credit Agreement.</w:t>
      </w:r>
    </w:p>
    <w:p>
      <w:pPr>
        <w:spacing w:after="0" w:line="233" w:lineRule="exact"/>
        <w:rPr>
          <w:sz w:val="20"/>
          <w:szCs w:val="20"/>
          <w:color w:val="auto"/>
        </w:rPr>
      </w:pPr>
    </w:p>
    <w:p>
      <w:pPr>
        <w:jc w:val="both"/>
        <w:ind w:firstLine="1304"/>
        <w:spacing w:after="0" w:line="267" w:lineRule="auto"/>
        <w:tabs>
          <w:tab w:leader="none" w:pos="1943" w:val="left"/>
        </w:tabs>
        <w:numPr>
          <w:ilvl w:val="0"/>
          <w:numId w:val="43"/>
        </w:numPr>
        <w:rPr>
          <w:rFonts w:ascii="Arial" w:cs="Arial" w:eastAsia="Arial" w:hAnsi="Arial"/>
          <w:sz w:val="19"/>
          <w:szCs w:val="19"/>
          <w:color w:val="auto"/>
        </w:rPr>
      </w:pPr>
      <w:r>
        <w:rPr>
          <w:rFonts w:ascii="Arial" w:cs="Arial" w:eastAsia="Arial" w:hAnsi="Arial"/>
          <w:sz w:val="19"/>
          <w:szCs w:val="19"/>
          <w:color w:val="auto"/>
        </w:rPr>
        <w:t>Except as provided hereunder, the execution, delivery and performance of this Amendment shall not constitute a waiver or novation of any provision of, or operate as a waiver of any right, power or remedy of the Administrative Agent or Lender under any Loan Document.</w:t>
      </w:r>
    </w:p>
    <w:p>
      <w:pPr>
        <w:spacing w:after="0" w:line="175" w:lineRule="exact"/>
        <w:rPr>
          <w:rFonts w:ascii="Arial" w:cs="Arial" w:eastAsia="Arial" w:hAnsi="Arial"/>
          <w:sz w:val="19"/>
          <w:szCs w:val="19"/>
          <w:color w:val="auto"/>
        </w:rPr>
      </w:pPr>
    </w:p>
    <w:p>
      <w:pPr>
        <w:ind w:left="1940" w:hanging="636"/>
        <w:spacing w:after="0"/>
        <w:tabs>
          <w:tab w:leader="none" w:pos="19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This Amendment shall be deemed to be a “Loan Document” as defined in the Amended Credit Agreement.</w:t>
      </w:r>
    </w:p>
    <w:p>
      <w:pPr>
        <w:spacing w:after="0" w:line="227" w:lineRule="exact"/>
        <w:rPr>
          <w:rFonts w:ascii="Arial" w:cs="Arial" w:eastAsia="Arial" w:hAnsi="Arial"/>
          <w:sz w:val="19"/>
          <w:szCs w:val="19"/>
          <w:color w:val="auto"/>
        </w:rPr>
      </w:pPr>
    </w:p>
    <w:p>
      <w:pPr>
        <w:ind w:firstLine="1304"/>
        <w:spacing w:after="0" w:line="282" w:lineRule="auto"/>
        <w:tabs>
          <w:tab w:leader="none" w:pos="1943" w:val="left"/>
        </w:tabs>
        <w:numPr>
          <w:ilvl w:val="0"/>
          <w:numId w:val="43"/>
        </w:numPr>
        <w:rPr>
          <w:rFonts w:ascii="Arial" w:cs="Arial" w:eastAsia="Arial" w:hAnsi="Arial"/>
          <w:sz w:val="19"/>
          <w:szCs w:val="19"/>
          <w:color w:val="auto"/>
        </w:rPr>
      </w:pPr>
      <w:r>
        <w:rPr>
          <w:rFonts w:ascii="Arial" w:cs="Arial" w:eastAsia="Arial" w:hAnsi="Arial"/>
          <w:sz w:val="19"/>
          <w:szCs w:val="19"/>
          <w:color w:val="auto"/>
        </w:rPr>
        <w:t>Except as specifically amended by this Amendment, the Amended Credit Agreement and the other Loan Documents shall remain in full force and effect and are hereby ratified and confirmed.</w:t>
      </w:r>
    </w:p>
    <w:p>
      <w:pPr>
        <w:spacing w:after="0" w:line="161" w:lineRule="exact"/>
        <w:rPr>
          <w:rFonts w:ascii="Arial" w:cs="Arial" w:eastAsia="Arial" w:hAnsi="Arial"/>
          <w:sz w:val="19"/>
          <w:szCs w:val="19"/>
          <w:color w:val="auto"/>
        </w:rPr>
      </w:pPr>
    </w:p>
    <w:p>
      <w:pPr>
        <w:ind w:left="1940" w:hanging="636"/>
        <w:spacing w:after="0"/>
        <w:tabs>
          <w:tab w:leader="none" w:pos="1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There shall be no amounts owed by the Borrower under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of the Existing Credit Agreement in connection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with this Amendment.</w:t>
      </w:r>
    </w:p>
    <w:p>
      <w:pPr>
        <w:spacing w:after="0" w:line="205" w:lineRule="exact"/>
        <w:rPr>
          <w:sz w:val="20"/>
          <w:szCs w:val="20"/>
          <w:color w:val="auto"/>
        </w:rPr>
      </w:pPr>
    </w:p>
    <w:p>
      <w:pPr>
        <w:ind w:left="1940" w:hanging="636"/>
        <w:spacing w:after="0"/>
        <w:tabs>
          <w:tab w:leader="none" w:pos="1940"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Consent and Reaffirmation; Collateral Matters.</w:t>
      </w:r>
    </w:p>
    <w:p>
      <w:pPr>
        <w:spacing w:after="0" w:line="233" w:lineRule="exact"/>
        <w:rPr>
          <w:sz w:val="20"/>
          <w:szCs w:val="20"/>
          <w:color w:val="auto"/>
        </w:rPr>
      </w:pPr>
    </w:p>
    <w:p>
      <w:pPr>
        <w:jc w:val="both"/>
        <w:ind w:firstLine="1304"/>
        <w:spacing w:after="0" w:line="275" w:lineRule="auto"/>
        <w:tabs>
          <w:tab w:leader="none" w:pos="19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Loan Party party hereto hereby (i) acknowledges and agrees that all of its pledges, grants of security interests and Liens and other obligations under the Collateral Agreement and the other Loan Documents to which it is a party are reaffirmed and remain in full force and effect on a continuous basis, (ii) reaffirms (x) each Lien granted by it to the Administrative Agent for the benefit of the Secured Parties and (y) the guaranties made by it pursuant to the Collateral Agreement and (iii) acknowledges and agrees that the grants of security interests and Liens by, and the guaranties of, the Guarantors contained in the Collateral Agreement and the other Loan Documents are, and shall remain, in full force and effect on and after the Amendment No. 2 Effective Date.</w:t>
      </w:r>
    </w:p>
    <w:p>
      <w:pPr>
        <w:spacing w:after="0" w:line="169" w:lineRule="exact"/>
        <w:rPr>
          <w:rFonts w:ascii="Arial" w:cs="Arial" w:eastAsia="Arial" w:hAnsi="Arial"/>
          <w:sz w:val="18"/>
          <w:szCs w:val="18"/>
          <w:color w:val="auto"/>
        </w:rPr>
      </w:pPr>
    </w:p>
    <w:p>
      <w:pPr>
        <w:jc w:val="both"/>
        <w:ind w:firstLine="1304"/>
        <w:spacing w:after="0" w:line="313" w:lineRule="auto"/>
        <w:tabs>
          <w:tab w:leader="none" w:pos="19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Each Loan Party party hereto will deliver such other documents, certificates and agreements and take all such further actions, in each case, that may be required under any applicable Law or which the Administrative Agent may reasonably request to ensure the creation, validity, perfection and priority of the Liens on the Collateral created, or purported to be created, under the Collateral Documents.</w:t>
      </w:r>
    </w:p>
    <w:p>
      <w:pPr>
        <w:spacing w:after="0" w:line="139" w:lineRule="exact"/>
        <w:rPr>
          <w:rFonts w:ascii="Arial" w:cs="Arial" w:eastAsia="Arial" w:hAnsi="Arial"/>
          <w:sz w:val="17"/>
          <w:szCs w:val="17"/>
          <w:color w:val="auto"/>
        </w:rPr>
      </w:pPr>
    </w:p>
    <w:p>
      <w:pPr>
        <w:jc w:val="both"/>
        <w:ind w:firstLine="1304"/>
        <w:spacing w:after="0" w:line="267" w:lineRule="auto"/>
        <w:tabs>
          <w:tab w:leader="none" w:pos="1943" w:val="left"/>
        </w:tabs>
        <w:numPr>
          <w:ilvl w:val="0"/>
          <w:numId w:val="45"/>
        </w:numPr>
        <w:rPr>
          <w:rFonts w:ascii="Arial" w:cs="Arial" w:eastAsia="Arial" w:hAnsi="Arial"/>
          <w:sz w:val="19"/>
          <w:szCs w:val="19"/>
          <w:color w:val="auto"/>
        </w:rPr>
      </w:pPr>
      <w:r>
        <w:rPr>
          <w:rFonts w:ascii="Arial" w:cs="Arial" w:eastAsia="Arial" w:hAnsi="Arial"/>
          <w:sz w:val="19"/>
          <w:szCs w:val="19"/>
          <w:color w:val="auto"/>
        </w:rPr>
        <w:t>Each Loan Party hereby acknowledges and agrees that the 2021 Refinancing Term Loans incurred on the Amendment No. 2 Effective Date constitute Obligations and, without limiting the foregoing, are secured by the Collateral Documents, and are guaranteed pursuant to the Loan Documents.</w:t>
      </w:r>
    </w:p>
    <w:p>
      <w:pPr>
        <w:spacing w:after="0" w:line="169" w:lineRule="exact"/>
        <w:rPr>
          <w:sz w:val="20"/>
          <w:szCs w:val="20"/>
          <w:color w:val="auto"/>
        </w:rPr>
      </w:pPr>
    </w:p>
    <w:p>
      <w:pPr>
        <w:ind w:left="1940" w:hanging="636"/>
        <w:spacing w:after="0"/>
        <w:tabs>
          <w:tab w:leader="none" w:pos="1940"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Entire Agreement.</w:t>
      </w:r>
    </w:p>
    <w:p>
      <w:pPr>
        <w:spacing w:after="0" w:line="23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This Amendment, the Amended Credit Agreement and the other Loan Documents constitute the entire agreement among the parties with respect to the subject matter hereof and thereof and supersede all other prior agreements and understandings, both written and oral, among the parties or any of them with respect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23" w:right="339" w:bottom="1440" w:gutter="0" w:footer="0" w:header="0"/>
        </w:sectPr>
      </w:pPr>
    </w:p>
    <w:bookmarkStart w:id="21" w:name="page22"/>
    <w:bookmarkEnd w:id="21"/>
    <w:p>
      <w:pPr>
        <w:ind w:left="1960" w:hanging="656"/>
        <w:spacing w:after="0"/>
        <w:tabs>
          <w:tab w:leader="none" w:pos="1960" w:val="left"/>
        </w:tabs>
        <w:numPr>
          <w:ilvl w:val="1"/>
          <w:numId w:val="4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Governing Law; Jurisdiction; Etc.</w:t>
      </w:r>
    </w:p>
    <w:p>
      <w:pPr>
        <w:spacing w:after="0" w:line="233" w:lineRule="exact"/>
        <w:rPr>
          <w:rFonts w:ascii="Arial" w:cs="Arial" w:eastAsia="Arial" w:hAnsi="Arial"/>
          <w:sz w:val="19"/>
          <w:szCs w:val="19"/>
          <w:b w:val="1"/>
          <w:bCs w:val="1"/>
          <w:color w:val="auto"/>
        </w:rPr>
      </w:pPr>
    </w:p>
    <w:p>
      <w:pPr>
        <w:jc w:val="both"/>
        <w:ind w:firstLine="656"/>
        <w:spacing w:after="0" w:line="262" w:lineRule="auto"/>
        <w:tabs>
          <w:tab w:leader="none" w:pos="1377"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THIS AMENDMENT AND ALL CLAIMS OR CAUSES OF ACTION (WHETHER IN CONTRACT, TORT OR OTHERWISE) THAT MAY BE BASED UPON, ARISE OUT OF OR RELATE IN ANY WAY HERETO OR THE NEGOTIATION, EXECUTION OR PERFORMANCE HEREOF OR THE TRANSACTIONS CONTEMPLATED HEREBY SHALL BE GOVERNED BY, AND CONSTRUED IN ACCORDANCE WITH, THE LAW OF THE STATE OF NEW YORK.</w:t>
      </w:r>
    </w:p>
    <w:p>
      <w:pPr>
        <w:spacing w:after="0" w:line="179" w:lineRule="exact"/>
        <w:rPr>
          <w:rFonts w:ascii="Arial" w:cs="Arial" w:eastAsia="Arial" w:hAnsi="Arial"/>
          <w:sz w:val="19"/>
          <w:szCs w:val="19"/>
          <w:color w:val="auto"/>
        </w:rPr>
      </w:pPr>
    </w:p>
    <w:p>
      <w:pPr>
        <w:ind w:firstLine="656"/>
        <w:spacing w:after="0" w:line="283" w:lineRule="auto"/>
        <w:tabs>
          <w:tab w:leader="none" w:pos="1374"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THE PROVISIONS OF </w:t>
      </w:r>
      <w:r>
        <w:rPr>
          <w:rFonts w:ascii="Arial" w:cs="Arial" w:eastAsia="Arial" w:hAnsi="Arial"/>
          <w:sz w:val="19"/>
          <w:szCs w:val="19"/>
          <w:u w:val="single" w:color="auto"/>
          <w:color w:val="auto"/>
        </w:rPr>
        <w:t>SECTIONS 10.12, 10.14(B), (C) AND (D)</w:t>
      </w:r>
      <w:r>
        <w:rPr>
          <w:rFonts w:ascii="Arial" w:cs="Arial" w:eastAsia="Arial" w:hAnsi="Arial"/>
          <w:sz w:val="19"/>
          <w:szCs w:val="19"/>
          <w:color w:val="auto"/>
        </w:rPr>
        <w:t xml:space="preserve"> OF THE AMENDED CREDIT AGREEMENT ARE INCORPORATED BY REFERENCE HEREIN, </w:t>
      </w:r>
      <w:r>
        <w:rPr>
          <w:rFonts w:ascii="Arial" w:cs="Arial" w:eastAsia="Arial" w:hAnsi="Arial"/>
          <w:sz w:val="19"/>
          <w:szCs w:val="19"/>
          <w:i w:val="1"/>
          <w:iCs w:val="1"/>
          <w:color w:val="auto"/>
        </w:rPr>
        <w:t>MUTATIS MUTANDIS</w:t>
      </w:r>
      <w:r>
        <w:rPr>
          <w:rFonts w:ascii="Arial" w:cs="Arial" w:eastAsia="Arial" w:hAnsi="Arial"/>
          <w:sz w:val="19"/>
          <w:szCs w:val="19"/>
          <w:color w:val="auto"/>
        </w:rPr>
        <w:t>, AND MADE A PART HEREOF.</w:t>
      </w:r>
    </w:p>
    <w:p>
      <w:pPr>
        <w:spacing w:after="0" w:line="153" w:lineRule="exact"/>
        <w:rPr>
          <w:rFonts w:ascii="Arial" w:cs="Arial" w:eastAsia="Arial" w:hAnsi="Arial"/>
          <w:sz w:val="19"/>
          <w:szCs w:val="19"/>
          <w:color w:val="auto"/>
        </w:rPr>
      </w:pPr>
    </w:p>
    <w:p>
      <w:pPr>
        <w:ind w:left="1940" w:hanging="636"/>
        <w:spacing w:after="0"/>
        <w:tabs>
          <w:tab w:leader="none" w:pos="1940" w:val="left"/>
        </w:tabs>
        <w:numPr>
          <w:ilvl w:val="1"/>
          <w:numId w:val="4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WAIVER OF RIGHT TO TRIAL BY JURY.</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EACH PARTY HERETO HEREBY IRREVOCABLY WAIVES, TO THE FULLEST EXTENT PERMITTED BY APPLICABLE LAW, ANY RIGHT IT MAY HAVE TO A TRIAL BY JURY IN ANY LEGAL PROCEEDING DIRECTLY OR INDIRECTLY ARISING OUT OF OR RELATING TO THIS AMENDMENT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AMENDMENT AND THE OTHER LOAN DOCUMENTS BY, AMONG OTHER THINGS, THE MUTUAL WAIVERS AND CERTIFICATIONS IN THIS </w:t>
      </w:r>
      <w:r>
        <w:rPr>
          <w:rFonts w:ascii="Arial" w:cs="Arial" w:eastAsia="Arial" w:hAnsi="Arial"/>
          <w:sz w:val="19"/>
          <w:szCs w:val="19"/>
          <w:u w:val="single" w:color="auto"/>
          <w:color w:val="auto"/>
        </w:rPr>
        <w:t>SECTION 11</w:t>
      </w:r>
      <w:r>
        <w:rPr>
          <w:rFonts w:ascii="Arial" w:cs="Arial" w:eastAsia="Arial" w:hAnsi="Arial"/>
          <w:sz w:val="19"/>
          <w:szCs w:val="19"/>
          <w:color w:val="auto"/>
        </w:rPr>
        <w:t>.</w:t>
      </w:r>
    </w:p>
    <w:p>
      <w:pPr>
        <w:spacing w:after="0" w:line="178" w:lineRule="exact"/>
        <w:rPr>
          <w:sz w:val="20"/>
          <w:szCs w:val="20"/>
          <w:color w:val="auto"/>
        </w:rPr>
      </w:pPr>
    </w:p>
    <w:p>
      <w:pPr>
        <w:ind w:left="1960" w:hanging="656"/>
        <w:spacing w:after="0"/>
        <w:tabs>
          <w:tab w:leader="none" w:pos="1960"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Counterparts.</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This Amendment may be executed in counterparts, each of which when so executed shall be deemed to be an original and all of which when taken together shall constitute one and the same instrument. Any signature to this Amendment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For the avoidance of doubt, the foregoing also applies to any amendment, extension or renewal of this Amendment. Each of the parties represents and warrants to the other parties that it has the corporate capacity and authority to execute this Amendment through electronic means and there are no restrictions for doing so in that party’s constitutive documents.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this page intentionally left blank</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16" w:right="339" w:bottom="1440" w:gutter="0" w:footer="0" w:header="0"/>
        </w:sectPr>
      </w:pPr>
    </w:p>
    <w:bookmarkStart w:id="22" w:name="page23"/>
    <w:bookmarkEnd w:id="22"/>
    <w:p>
      <w:pPr>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each of the undersigned has caused its duly authorized officer to execute and deliver this Amendment</w:t>
      </w:r>
      <w:r>
        <w:rPr>
          <w:rFonts w:ascii="Arial" w:cs="Arial" w:eastAsia="Arial" w:hAnsi="Arial"/>
          <w:sz w:val="20"/>
          <w:szCs w:val="20"/>
          <w:b w:val="1"/>
          <w:bCs w:val="1"/>
          <w:color w:val="auto"/>
        </w:rPr>
        <w:t xml:space="preserve"> </w:t>
      </w:r>
      <w:r>
        <w:rPr>
          <w:rFonts w:ascii="Arial" w:cs="Arial" w:eastAsia="Arial" w:hAnsi="Arial"/>
          <w:sz w:val="20"/>
          <w:szCs w:val="20"/>
          <w:color w:val="auto"/>
        </w:rPr>
        <w:t>as of the date first written above.</w:t>
      </w:r>
    </w:p>
    <w:p>
      <w:pPr>
        <w:spacing w:after="0" w:line="217"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BELLRING BRANDS, LLC</w:t>
      </w:r>
    </w:p>
    <w:p>
      <w:pPr>
        <w:spacing w:after="0" w:line="330" w:lineRule="exact"/>
        <w:rPr>
          <w:sz w:val="20"/>
          <w:szCs w:val="20"/>
          <w:color w:val="auto"/>
        </w:rPr>
      </w:pPr>
    </w:p>
    <w:tbl>
      <w:tblPr>
        <w:tblLayout w:type="fixed"/>
        <w:tblInd w:w="5040" w:type="dxa"/>
        <w:tblCellMar>
          <w:top w:w="0" w:type="dxa"/>
          <w:left w:w="0" w:type="dxa"/>
          <w:bottom w:w="0" w:type="dxa"/>
          <w:right w:w="0" w:type="dxa"/>
        </w:tblCellMar>
      </w:tblPr>
      <w:tr>
        <w:trPr>
          <w:trHeight w:val="250"/>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040" w:type="dxa"/>
            <w:vAlign w:val="bottom"/>
          </w:tcPr>
          <w:p>
            <w:pPr>
              <w:ind w:left="20"/>
              <w:spacing w:after="0"/>
              <w:rPr>
                <w:sz w:val="20"/>
                <w:szCs w:val="20"/>
                <w:color w:val="auto"/>
              </w:rPr>
            </w:pPr>
            <w:r>
              <w:rPr>
                <w:rFonts w:ascii="Arial" w:cs="Arial" w:eastAsia="Arial" w:hAnsi="Arial"/>
                <w:sz w:val="20"/>
                <w:szCs w:val="20"/>
                <w:color w:val="auto"/>
              </w:rPr>
              <w:t>/s/ Craig L. Rosenthal</w:t>
            </w:r>
          </w:p>
        </w:tc>
        <w:tc>
          <w:tcPr>
            <w:tcW w:w="0" w:type="dxa"/>
            <w:vAlign w:val="bottom"/>
          </w:tcPr>
          <w:p>
            <w:pPr>
              <w:spacing w:after="0"/>
              <w:rPr>
                <w:sz w:val="1"/>
                <w:szCs w:val="1"/>
                <w:color w:val="auto"/>
              </w:rPr>
            </w:pPr>
          </w:p>
        </w:tc>
      </w:tr>
      <w:tr>
        <w:trPr>
          <w:trHeight w:val="23"/>
        </w:trPr>
        <w:tc>
          <w:tcPr>
            <w:tcW w:w="94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5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40" w:type="dxa"/>
            <w:vAlign w:val="bottom"/>
            <w:vMerge w:val="continue"/>
          </w:tcPr>
          <w:p>
            <w:pPr>
              <w:spacing w:after="0"/>
              <w:rPr>
                <w:sz w:val="22"/>
                <w:szCs w:val="22"/>
                <w:color w:val="auto"/>
              </w:rPr>
            </w:pPr>
          </w:p>
        </w:tc>
        <w:tc>
          <w:tcPr>
            <w:tcW w:w="5040" w:type="dxa"/>
            <w:vAlign w:val="bottom"/>
          </w:tcPr>
          <w:p>
            <w:pPr>
              <w:ind w:left="20"/>
              <w:spacing w:after="0"/>
              <w:rPr>
                <w:sz w:val="20"/>
                <w:szCs w:val="20"/>
                <w:color w:val="auto"/>
              </w:rPr>
            </w:pPr>
            <w:r>
              <w:rPr>
                <w:rFonts w:ascii="Arial" w:cs="Arial" w:eastAsia="Arial" w:hAnsi="Arial"/>
                <w:sz w:val="20"/>
                <w:szCs w:val="20"/>
                <w:color w:val="auto"/>
              </w:rPr>
              <w:t>Craig L. Rosenthal</w:t>
            </w:r>
          </w:p>
        </w:tc>
        <w:tc>
          <w:tcPr>
            <w:tcW w:w="0" w:type="dxa"/>
            <w:vAlign w:val="bottom"/>
          </w:tcPr>
          <w:p>
            <w:pPr>
              <w:spacing w:after="0"/>
              <w:rPr>
                <w:sz w:val="1"/>
                <w:szCs w:val="1"/>
                <w:color w:val="auto"/>
              </w:rPr>
            </w:pPr>
          </w:p>
        </w:tc>
      </w:tr>
      <w:tr>
        <w:trPr>
          <w:trHeight w:val="263"/>
        </w:trPr>
        <w:tc>
          <w:tcPr>
            <w:tcW w:w="940" w:type="dxa"/>
            <w:vAlign w:val="bottom"/>
          </w:tcPr>
          <w:p>
            <w:pPr>
              <w:spacing w:after="0"/>
              <w:rPr>
                <w:sz w:val="20"/>
                <w:szCs w:val="20"/>
                <w:color w:val="auto"/>
              </w:rPr>
            </w:pPr>
            <w:r>
              <w:rPr>
                <w:rFonts w:ascii="Arial" w:cs="Arial" w:eastAsia="Arial" w:hAnsi="Arial"/>
                <w:sz w:val="20"/>
                <w:szCs w:val="20"/>
                <w:color w:val="auto"/>
              </w:rPr>
              <w:t>Title:</w:t>
            </w:r>
          </w:p>
        </w:tc>
        <w:tc>
          <w:tcPr>
            <w:tcW w:w="5040" w:type="dxa"/>
            <w:vAlign w:val="bottom"/>
          </w:tcPr>
          <w:p>
            <w:pPr>
              <w:ind w:left="20"/>
              <w:spacing w:after="0"/>
              <w:rPr>
                <w:sz w:val="20"/>
                <w:szCs w:val="20"/>
                <w:color w:val="auto"/>
              </w:rPr>
            </w:pPr>
            <w:r>
              <w:rPr>
                <w:rFonts w:ascii="Arial" w:cs="Arial" w:eastAsia="Arial" w:hAnsi="Arial"/>
                <w:sz w:val="20"/>
                <w:szCs w:val="20"/>
                <w:color w:val="auto"/>
              </w:rPr>
              <w:t>Senior Vice President and General Counsel,</w:t>
            </w:r>
          </w:p>
        </w:tc>
        <w:tc>
          <w:tcPr>
            <w:tcW w:w="0" w:type="dxa"/>
            <w:vAlign w:val="bottom"/>
          </w:tcPr>
          <w:p>
            <w:pPr>
              <w:spacing w:after="0"/>
              <w:rPr>
                <w:sz w:val="1"/>
                <w:szCs w:val="1"/>
                <w:color w:val="auto"/>
              </w:rPr>
            </w:pPr>
          </w:p>
        </w:tc>
      </w:tr>
      <w:tr>
        <w:trPr>
          <w:trHeight w:val="250"/>
        </w:trPr>
        <w:tc>
          <w:tcPr>
            <w:tcW w:w="94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20"/>
                <w:szCs w:val="20"/>
                <w:color w:val="auto"/>
              </w:rPr>
              <w:t>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DYMATIZE ENTERPRISES, LLC</w:t>
      </w:r>
    </w:p>
    <w:p>
      <w:pPr>
        <w:spacing w:after="0" w:line="330" w:lineRule="exact"/>
        <w:rPr>
          <w:sz w:val="20"/>
          <w:szCs w:val="20"/>
          <w:color w:val="auto"/>
        </w:rPr>
      </w:pPr>
    </w:p>
    <w:tbl>
      <w:tblPr>
        <w:tblLayout w:type="fixed"/>
        <w:tblInd w:w="5040" w:type="dxa"/>
        <w:tblCellMar>
          <w:top w:w="0" w:type="dxa"/>
          <w:left w:w="0" w:type="dxa"/>
          <w:bottom w:w="0" w:type="dxa"/>
          <w:right w:w="0" w:type="dxa"/>
        </w:tblCellMar>
      </w:tblPr>
      <w:tr>
        <w:trPr>
          <w:trHeight w:val="250"/>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040" w:type="dxa"/>
            <w:vAlign w:val="bottom"/>
          </w:tcPr>
          <w:p>
            <w:pPr>
              <w:ind w:left="20"/>
              <w:spacing w:after="0"/>
              <w:rPr>
                <w:sz w:val="20"/>
                <w:szCs w:val="20"/>
                <w:color w:val="auto"/>
              </w:rPr>
            </w:pPr>
            <w:r>
              <w:rPr>
                <w:rFonts w:ascii="Arial" w:cs="Arial" w:eastAsia="Arial" w:hAnsi="Arial"/>
                <w:sz w:val="20"/>
                <w:szCs w:val="20"/>
                <w:color w:val="auto"/>
              </w:rPr>
              <w:t>/s/ Craig L. Rosenthal</w:t>
            </w:r>
          </w:p>
        </w:tc>
        <w:tc>
          <w:tcPr>
            <w:tcW w:w="0" w:type="dxa"/>
            <w:vAlign w:val="bottom"/>
          </w:tcPr>
          <w:p>
            <w:pPr>
              <w:spacing w:after="0"/>
              <w:rPr>
                <w:sz w:val="1"/>
                <w:szCs w:val="1"/>
                <w:color w:val="auto"/>
              </w:rPr>
            </w:pPr>
          </w:p>
        </w:tc>
      </w:tr>
      <w:tr>
        <w:trPr>
          <w:trHeight w:val="23"/>
        </w:trPr>
        <w:tc>
          <w:tcPr>
            <w:tcW w:w="94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5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40" w:type="dxa"/>
            <w:vAlign w:val="bottom"/>
            <w:vMerge w:val="continue"/>
          </w:tcPr>
          <w:p>
            <w:pPr>
              <w:spacing w:after="0"/>
              <w:rPr>
                <w:sz w:val="22"/>
                <w:szCs w:val="22"/>
                <w:color w:val="auto"/>
              </w:rPr>
            </w:pPr>
          </w:p>
        </w:tc>
        <w:tc>
          <w:tcPr>
            <w:tcW w:w="5040" w:type="dxa"/>
            <w:vAlign w:val="bottom"/>
          </w:tcPr>
          <w:p>
            <w:pPr>
              <w:ind w:left="20"/>
              <w:spacing w:after="0"/>
              <w:rPr>
                <w:sz w:val="20"/>
                <w:szCs w:val="20"/>
                <w:color w:val="auto"/>
              </w:rPr>
            </w:pPr>
            <w:r>
              <w:rPr>
                <w:rFonts w:ascii="Arial" w:cs="Arial" w:eastAsia="Arial" w:hAnsi="Arial"/>
                <w:sz w:val="20"/>
                <w:szCs w:val="20"/>
                <w:color w:val="auto"/>
              </w:rPr>
              <w:t>Craig L. Rosenthal</w:t>
            </w:r>
          </w:p>
        </w:tc>
        <w:tc>
          <w:tcPr>
            <w:tcW w:w="0" w:type="dxa"/>
            <w:vAlign w:val="bottom"/>
          </w:tcPr>
          <w:p>
            <w:pPr>
              <w:spacing w:after="0"/>
              <w:rPr>
                <w:sz w:val="1"/>
                <w:szCs w:val="1"/>
                <w:color w:val="auto"/>
              </w:rPr>
            </w:pPr>
          </w:p>
        </w:tc>
      </w:tr>
      <w:tr>
        <w:trPr>
          <w:trHeight w:val="283"/>
        </w:trPr>
        <w:tc>
          <w:tcPr>
            <w:tcW w:w="940" w:type="dxa"/>
            <w:vAlign w:val="bottom"/>
          </w:tcPr>
          <w:p>
            <w:pPr>
              <w:spacing w:after="0"/>
              <w:rPr>
                <w:sz w:val="20"/>
                <w:szCs w:val="20"/>
                <w:color w:val="auto"/>
              </w:rPr>
            </w:pPr>
            <w:r>
              <w:rPr>
                <w:rFonts w:ascii="Arial" w:cs="Arial" w:eastAsia="Arial" w:hAnsi="Arial"/>
                <w:sz w:val="20"/>
                <w:szCs w:val="20"/>
                <w:color w:val="auto"/>
              </w:rPr>
              <w:t>Title:</w:t>
            </w:r>
          </w:p>
        </w:tc>
        <w:tc>
          <w:tcPr>
            <w:tcW w:w="5040" w:type="dxa"/>
            <w:vAlign w:val="bottom"/>
          </w:tcPr>
          <w:p>
            <w:pPr>
              <w:ind w:left="20"/>
              <w:spacing w:after="0"/>
              <w:rPr>
                <w:sz w:val="20"/>
                <w:szCs w:val="20"/>
                <w:color w:val="auto"/>
              </w:rPr>
            </w:pPr>
            <w:r>
              <w:rPr>
                <w:rFonts w:ascii="Arial" w:cs="Arial" w:eastAsia="Arial" w:hAnsi="Arial"/>
                <w:sz w:val="20"/>
                <w:szCs w:val="20"/>
                <w:color w:val="auto"/>
              </w:rPr>
              <w:t>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PREMIER NUTRITION COMPANY, LLC</w:t>
      </w:r>
    </w:p>
    <w:p>
      <w:pPr>
        <w:spacing w:after="0" w:line="330" w:lineRule="exact"/>
        <w:rPr>
          <w:sz w:val="20"/>
          <w:szCs w:val="20"/>
          <w:color w:val="auto"/>
        </w:rPr>
      </w:pPr>
    </w:p>
    <w:tbl>
      <w:tblPr>
        <w:tblLayout w:type="fixed"/>
        <w:tblInd w:w="5040" w:type="dxa"/>
        <w:tblCellMar>
          <w:top w:w="0" w:type="dxa"/>
          <w:left w:w="0" w:type="dxa"/>
          <w:bottom w:w="0" w:type="dxa"/>
          <w:right w:w="0" w:type="dxa"/>
        </w:tblCellMar>
      </w:tblPr>
      <w:tr>
        <w:trPr>
          <w:trHeight w:val="250"/>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040" w:type="dxa"/>
            <w:vAlign w:val="bottom"/>
          </w:tcPr>
          <w:p>
            <w:pPr>
              <w:ind w:left="20"/>
              <w:spacing w:after="0"/>
              <w:rPr>
                <w:sz w:val="20"/>
                <w:szCs w:val="20"/>
                <w:color w:val="auto"/>
              </w:rPr>
            </w:pPr>
            <w:r>
              <w:rPr>
                <w:rFonts w:ascii="Arial" w:cs="Arial" w:eastAsia="Arial" w:hAnsi="Arial"/>
                <w:sz w:val="20"/>
                <w:szCs w:val="20"/>
                <w:color w:val="auto"/>
              </w:rPr>
              <w:t>/s/ Craig L. Rosenthal</w:t>
            </w:r>
          </w:p>
        </w:tc>
        <w:tc>
          <w:tcPr>
            <w:tcW w:w="0" w:type="dxa"/>
            <w:vAlign w:val="bottom"/>
          </w:tcPr>
          <w:p>
            <w:pPr>
              <w:spacing w:after="0"/>
              <w:rPr>
                <w:sz w:val="1"/>
                <w:szCs w:val="1"/>
                <w:color w:val="auto"/>
              </w:rPr>
            </w:pPr>
          </w:p>
        </w:tc>
      </w:tr>
      <w:tr>
        <w:trPr>
          <w:trHeight w:val="23"/>
        </w:trPr>
        <w:tc>
          <w:tcPr>
            <w:tcW w:w="94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5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40" w:type="dxa"/>
            <w:vAlign w:val="bottom"/>
            <w:vMerge w:val="continue"/>
          </w:tcPr>
          <w:p>
            <w:pPr>
              <w:spacing w:after="0"/>
              <w:rPr>
                <w:sz w:val="22"/>
                <w:szCs w:val="22"/>
                <w:color w:val="auto"/>
              </w:rPr>
            </w:pPr>
          </w:p>
        </w:tc>
        <w:tc>
          <w:tcPr>
            <w:tcW w:w="5040" w:type="dxa"/>
            <w:vAlign w:val="bottom"/>
          </w:tcPr>
          <w:p>
            <w:pPr>
              <w:ind w:left="20"/>
              <w:spacing w:after="0"/>
              <w:rPr>
                <w:sz w:val="20"/>
                <w:szCs w:val="20"/>
                <w:color w:val="auto"/>
              </w:rPr>
            </w:pPr>
            <w:r>
              <w:rPr>
                <w:rFonts w:ascii="Arial" w:cs="Arial" w:eastAsia="Arial" w:hAnsi="Arial"/>
                <w:sz w:val="20"/>
                <w:szCs w:val="20"/>
                <w:color w:val="auto"/>
              </w:rPr>
              <w:t>Craig L. Rosenthal</w:t>
            </w:r>
          </w:p>
        </w:tc>
        <w:tc>
          <w:tcPr>
            <w:tcW w:w="0" w:type="dxa"/>
            <w:vAlign w:val="bottom"/>
          </w:tcPr>
          <w:p>
            <w:pPr>
              <w:spacing w:after="0"/>
              <w:rPr>
                <w:sz w:val="1"/>
                <w:szCs w:val="1"/>
                <w:color w:val="auto"/>
              </w:rPr>
            </w:pPr>
          </w:p>
        </w:tc>
      </w:tr>
      <w:tr>
        <w:trPr>
          <w:trHeight w:val="284"/>
        </w:trPr>
        <w:tc>
          <w:tcPr>
            <w:tcW w:w="940" w:type="dxa"/>
            <w:vAlign w:val="bottom"/>
          </w:tcPr>
          <w:p>
            <w:pPr>
              <w:spacing w:after="0"/>
              <w:rPr>
                <w:sz w:val="20"/>
                <w:szCs w:val="20"/>
                <w:color w:val="auto"/>
              </w:rPr>
            </w:pPr>
            <w:r>
              <w:rPr>
                <w:rFonts w:ascii="Arial" w:cs="Arial" w:eastAsia="Arial" w:hAnsi="Arial"/>
                <w:sz w:val="20"/>
                <w:szCs w:val="20"/>
                <w:color w:val="auto"/>
              </w:rPr>
              <w:t>Title:</w:t>
            </w:r>
          </w:p>
        </w:tc>
        <w:tc>
          <w:tcPr>
            <w:tcW w:w="5040" w:type="dxa"/>
            <w:vAlign w:val="bottom"/>
          </w:tcPr>
          <w:p>
            <w:pPr>
              <w:ind w:left="20"/>
              <w:spacing w:after="0"/>
              <w:rPr>
                <w:sz w:val="20"/>
                <w:szCs w:val="20"/>
                <w:color w:val="auto"/>
              </w:rPr>
            </w:pPr>
            <w:r>
              <w:rPr>
                <w:rFonts w:ascii="Arial" w:cs="Arial" w:eastAsia="Arial" w:hAnsi="Arial"/>
                <w:sz w:val="20"/>
                <w:szCs w:val="20"/>
                <w:color w:val="auto"/>
              </w:rPr>
              <w:t>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SUPREME PROTEIN, LLC</w:t>
      </w:r>
    </w:p>
    <w:p>
      <w:pPr>
        <w:spacing w:after="0" w:line="330" w:lineRule="exact"/>
        <w:rPr>
          <w:sz w:val="20"/>
          <w:szCs w:val="20"/>
          <w:color w:val="auto"/>
        </w:rPr>
      </w:pPr>
    </w:p>
    <w:tbl>
      <w:tblPr>
        <w:tblLayout w:type="fixed"/>
        <w:tblInd w:w="5040" w:type="dxa"/>
        <w:tblCellMar>
          <w:top w:w="0" w:type="dxa"/>
          <w:left w:w="0" w:type="dxa"/>
          <w:bottom w:w="0" w:type="dxa"/>
          <w:right w:w="0" w:type="dxa"/>
        </w:tblCellMar>
      </w:tblPr>
      <w:tr>
        <w:trPr>
          <w:trHeight w:val="250"/>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040" w:type="dxa"/>
            <w:vAlign w:val="bottom"/>
          </w:tcPr>
          <w:p>
            <w:pPr>
              <w:ind w:left="20"/>
              <w:spacing w:after="0"/>
              <w:rPr>
                <w:sz w:val="20"/>
                <w:szCs w:val="20"/>
                <w:color w:val="auto"/>
              </w:rPr>
            </w:pPr>
            <w:r>
              <w:rPr>
                <w:rFonts w:ascii="Arial" w:cs="Arial" w:eastAsia="Arial" w:hAnsi="Arial"/>
                <w:sz w:val="20"/>
                <w:szCs w:val="20"/>
                <w:color w:val="auto"/>
              </w:rPr>
              <w:t>/s/ Craig L. Rosenthal</w:t>
            </w:r>
          </w:p>
        </w:tc>
        <w:tc>
          <w:tcPr>
            <w:tcW w:w="0" w:type="dxa"/>
            <w:vAlign w:val="bottom"/>
          </w:tcPr>
          <w:p>
            <w:pPr>
              <w:spacing w:after="0"/>
              <w:rPr>
                <w:sz w:val="1"/>
                <w:szCs w:val="1"/>
                <w:color w:val="auto"/>
              </w:rPr>
            </w:pPr>
          </w:p>
        </w:tc>
      </w:tr>
      <w:tr>
        <w:trPr>
          <w:trHeight w:val="23"/>
        </w:trPr>
        <w:tc>
          <w:tcPr>
            <w:tcW w:w="94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5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40" w:type="dxa"/>
            <w:vAlign w:val="bottom"/>
            <w:vMerge w:val="continue"/>
          </w:tcPr>
          <w:p>
            <w:pPr>
              <w:spacing w:after="0"/>
              <w:rPr>
                <w:sz w:val="22"/>
                <w:szCs w:val="22"/>
                <w:color w:val="auto"/>
              </w:rPr>
            </w:pPr>
          </w:p>
        </w:tc>
        <w:tc>
          <w:tcPr>
            <w:tcW w:w="5040" w:type="dxa"/>
            <w:vAlign w:val="bottom"/>
          </w:tcPr>
          <w:p>
            <w:pPr>
              <w:ind w:left="20"/>
              <w:spacing w:after="0"/>
              <w:rPr>
                <w:sz w:val="20"/>
                <w:szCs w:val="20"/>
                <w:color w:val="auto"/>
              </w:rPr>
            </w:pPr>
            <w:r>
              <w:rPr>
                <w:rFonts w:ascii="Arial" w:cs="Arial" w:eastAsia="Arial" w:hAnsi="Arial"/>
                <w:sz w:val="20"/>
                <w:szCs w:val="20"/>
                <w:color w:val="auto"/>
              </w:rPr>
              <w:t>Craig L. Rosenthal</w:t>
            </w:r>
          </w:p>
        </w:tc>
        <w:tc>
          <w:tcPr>
            <w:tcW w:w="0" w:type="dxa"/>
            <w:vAlign w:val="bottom"/>
          </w:tcPr>
          <w:p>
            <w:pPr>
              <w:spacing w:after="0"/>
              <w:rPr>
                <w:sz w:val="1"/>
                <w:szCs w:val="1"/>
                <w:color w:val="auto"/>
              </w:rPr>
            </w:pPr>
          </w:p>
        </w:tc>
      </w:tr>
      <w:tr>
        <w:trPr>
          <w:trHeight w:val="283"/>
        </w:trPr>
        <w:tc>
          <w:tcPr>
            <w:tcW w:w="940" w:type="dxa"/>
            <w:vAlign w:val="bottom"/>
          </w:tcPr>
          <w:p>
            <w:pPr>
              <w:spacing w:after="0"/>
              <w:rPr>
                <w:sz w:val="20"/>
                <w:szCs w:val="20"/>
                <w:color w:val="auto"/>
              </w:rPr>
            </w:pPr>
            <w:r>
              <w:rPr>
                <w:rFonts w:ascii="Arial" w:cs="Arial" w:eastAsia="Arial" w:hAnsi="Arial"/>
                <w:sz w:val="20"/>
                <w:szCs w:val="20"/>
                <w:color w:val="auto"/>
              </w:rPr>
              <w:t>Title:</w:t>
            </w:r>
          </w:p>
        </w:tc>
        <w:tc>
          <w:tcPr>
            <w:tcW w:w="5040" w:type="dxa"/>
            <w:vAlign w:val="bottom"/>
          </w:tcPr>
          <w:p>
            <w:pPr>
              <w:ind w:left="20"/>
              <w:spacing w:after="0"/>
              <w:rPr>
                <w:sz w:val="20"/>
                <w:szCs w:val="20"/>
                <w:color w:val="auto"/>
              </w:rPr>
            </w:pPr>
            <w:r>
              <w:rPr>
                <w:rFonts w:ascii="Arial" w:cs="Arial" w:eastAsia="Arial" w:hAnsi="Arial"/>
                <w:sz w:val="20"/>
                <w:szCs w:val="20"/>
                <w:color w:val="auto"/>
              </w:rPr>
              <w:t>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TA/DEI-A ACQUISITION CORP.</w:t>
      </w:r>
    </w:p>
    <w:p>
      <w:pPr>
        <w:spacing w:after="0" w:line="330" w:lineRule="exact"/>
        <w:rPr>
          <w:sz w:val="20"/>
          <w:szCs w:val="20"/>
          <w:color w:val="auto"/>
        </w:rPr>
      </w:pPr>
    </w:p>
    <w:tbl>
      <w:tblPr>
        <w:tblLayout w:type="fixed"/>
        <w:tblInd w:w="5040" w:type="dxa"/>
        <w:tblCellMar>
          <w:top w:w="0" w:type="dxa"/>
          <w:left w:w="0" w:type="dxa"/>
          <w:bottom w:w="0" w:type="dxa"/>
          <w:right w:w="0" w:type="dxa"/>
        </w:tblCellMar>
      </w:tblPr>
      <w:tr>
        <w:trPr>
          <w:trHeight w:val="250"/>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040" w:type="dxa"/>
            <w:vAlign w:val="bottom"/>
          </w:tcPr>
          <w:p>
            <w:pPr>
              <w:ind w:left="20"/>
              <w:spacing w:after="0"/>
              <w:rPr>
                <w:sz w:val="20"/>
                <w:szCs w:val="20"/>
                <w:color w:val="auto"/>
              </w:rPr>
            </w:pPr>
            <w:r>
              <w:rPr>
                <w:rFonts w:ascii="Arial" w:cs="Arial" w:eastAsia="Arial" w:hAnsi="Arial"/>
                <w:sz w:val="20"/>
                <w:szCs w:val="20"/>
                <w:color w:val="auto"/>
              </w:rPr>
              <w:t>/s/ Craig L. Rosenthal</w:t>
            </w:r>
          </w:p>
        </w:tc>
        <w:tc>
          <w:tcPr>
            <w:tcW w:w="0" w:type="dxa"/>
            <w:vAlign w:val="bottom"/>
          </w:tcPr>
          <w:p>
            <w:pPr>
              <w:spacing w:after="0"/>
              <w:rPr>
                <w:sz w:val="1"/>
                <w:szCs w:val="1"/>
                <w:color w:val="auto"/>
              </w:rPr>
            </w:pPr>
          </w:p>
        </w:tc>
      </w:tr>
      <w:tr>
        <w:trPr>
          <w:trHeight w:val="23"/>
        </w:trPr>
        <w:tc>
          <w:tcPr>
            <w:tcW w:w="94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5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40" w:type="dxa"/>
            <w:vAlign w:val="bottom"/>
            <w:vMerge w:val="continue"/>
          </w:tcPr>
          <w:p>
            <w:pPr>
              <w:spacing w:after="0"/>
              <w:rPr>
                <w:sz w:val="22"/>
                <w:szCs w:val="22"/>
                <w:color w:val="auto"/>
              </w:rPr>
            </w:pPr>
          </w:p>
        </w:tc>
        <w:tc>
          <w:tcPr>
            <w:tcW w:w="5040" w:type="dxa"/>
            <w:vAlign w:val="bottom"/>
          </w:tcPr>
          <w:p>
            <w:pPr>
              <w:ind w:left="20"/>
              <w:spacing w:after="0"/>
              <w:rPr>
                <w:sz w:val="20"/>
                <w:szCs w:val="20"/>
                <w:color w:val="auto"/>
              </w:rPr>
            </w:pPr>
            <w:r>
              <w:rPr>
                <w:rFonts w:ascii="Arial" w:cs="Arial" w:eastAsia="Arial" w:hAnsi="Arial"/>
                <w:sz w:val="20"/>
                <w:szCs w:val="20"/>
                <w:color w:val="auto"/>
              </w:rPr>
              <w:t>Craig L. Rosenthal</w:t>
            </w:r>
          </w:p>
        </w:tc>
        <w:tc>
          <w:tcPr>
            <w:tcW w:w="0" w:type="dxa"/>
            <w:vAlign w:val="bottom"/>
          </w:tcPr>
          <w:p>
            <w:pPr>
              <w:spacing w:after="0"/>
              <w:rPr>
                <w:sz w:val="1"/>
                <w:szCs w:val="1"/>
                <w:color w:val="auto"/>
              </w:rPr>
            </w:pPr>
          </w:p>
        </w:tc>
      </w:tr>
      <w:tr>
        <w:trPr>
          <w:trHeight w:val="283"/>
        </w:trPr>
        <w:tc>
          <w:tcPr>
            <w:tcW w:w="940" w:type="dxa"/>
            <w:vAlign w:val="bottom"/>
          </w:tcPr>
          <w:p>
            <w:pPr>
              <w:spacing w:after="0"/>
              <w:rPr>
                <w:sz w:val="20"/>
                <w:szCs w:val="20"/>
                <w:color w:val="auto"/>
              </w:rPr>
            </w:pPr>
            <w:r>
              <w:rPr>
                <w:rFonts w:ascii="Arial" w:cs="Arial" w:eastAsia="Arial" w:hAnsi="Arial"/>
                <w:sz w:val="20"/>
                <w:szCs w:val="20"/>
                <w:color w:val="auto"/>
              </w:rPr>
              <w:t>Title:</w:t>
            </w:r>
          </w:p>
        </w:tc>
        <w:tc>
          <w:tcPr>
            <w:tcW w:w="5040" w:type="dxa"/>
            <w:vAlign w:val="bottom"/>
          </w:tcPr>
          <w:p>
            <w:pPr>
              <w:ind w:left="20"/>
              <w:spacing w:after="0"/>
              <w:rPr>
                <w:sz w:val="20"/>
                <w:szCs w:val="20"/>
                <w:color w:val="auto"/>
              </w:rPr>
            </w:pPr>
            <w:r>
              <w:rPr>
                <w:rFonts w:ascii="Arial" w:cs="Arial" w:eastAsia="Arial" w:hAnsi="Arial"/>
                <w:sz w:val="20"/>
                <w:szCs w:val="20"/>
                <w:color w:val="auto"/>
              </w:rPr>
              <w:t>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w:t>
      </w:r>
    </w:p>
    <w:p>
      <w:pPr>
        <w:sectPr>
          <w:pgSz w:w="11900" w:h="16838" w:orient="portrait"/>
          <w:cols w:equalWidth="0" w:num="1">
            <w:col w:w="11240"/>
          </w:cols>
          <w:pgMar w:left="320" w:top="1413" w:right="339" w:bottom="1440" w:gutter="0" w:footer="0" w:header="0"/>
          <w:type w:val="continuous"/>
        </w:sectPr>
      </w:pPr>
    </w:p>
    <w:bookmarkStart w:id="23" w:name="page24"/>
    <w:bookmarkEnd w:id="23"/>
    <w:p>
      <w:pPr>
        <w:spacing w:after="0" w:line="27" w:lineRule="exact"/>
        <w:rPr>
          <w:sz w:val="20"/>
          <w:szCs w:val="20"/>
          <w:color w:val="auto"/>
        </w:rPr>
      </w:pPr>
    </w:p>
    <w:p>
      <w:pPr>
        <w:ind w:left="3920" w:right="280"/>
        <w:spacing w:after="0" w:line="253" w:lineRule="auto"/>
        <w:rPr>
          <w:sz w:val="20"/>
          <w:szCs w:val="20"/>
          <w:color w:val="auto"/>
        </w:rPr>
      </w:pPr>
      <w:r>
        <w:rPr>
          <w:rFonts w:ascii="Arial" w:cs="Arial" w:eastAsia="Arial" w:hAnsi="Arial"/>
          <w:sz w:val="20"/>
          <w:szCs w:val="20"/>
          <w:b w:val="1"/>
          <w:bCs w:val="1"/>
          <w:color w:val="auto"/>
        </w:rPr>
        <w:t xml:space="preserve">CREDIT SUISSE AG, CAYMAN ISLANDS BRANCH, </w:t>
      </w:r>
      <w:r>
        <w:rPr>
          <w:rFonts w:ascii="Arial" w:cs="Arial" w:eastAsia="Arial" w:hAnsi="Arial"/>
          <w:sz w:val="20"/>
          <w:szCs w:val="20"/>
          <w:color w:val="auto"/>
        </w:rPr>
        <w:t>as</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Administrative Agent, a Revolving Credit Lender and a 2021 Refinance Lender</w:t>
      </w:r>
    </w:p>
    <w:p>
      <w:pPr>
        <w:spacing w:after="0" w:line="291" w:lineRule="exact"/>
        <w:rPr>
          <w:sz w:val="20"/>
          <w:szCs w:val="20"/>
          <w:color w:val="auto"/>
        </w:rPr>
      </w:pPr>
    </w:p>
    <w:tbl>
      <w:tblPr>
        <w:tblLayout w:type="fixed"/>
        <w:tblInd w:w="3920" w:type="dxa"/>
        <w:tblCellMar>
          <w:top w:w="0" w:type="dxa"/>
          <w:left w:w="0" w:type="dxa"/>
          <w:bottom w:w="0" w:type="dxa"/>
          <w:right w:w="0" w:type="dxa"/>
        </w:tblCellMar>
      </w:tblPr>
      <w:tr>
        <w:trPr>
          <w:trHeight w:val="250"/>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040" w:type="dxa"/>
            <w:vAlign w:val="bottom"/>
          </w:tcPr>
          <w:p>
            <w:pPr>
              <w:ind w:left="20"/>
              <w:spacing w:after="0"/>
              <w:rPr>
                <w:sz w:val="20"/>
                <w:szCs w:val="20"/>
                <w:color w:val="auto"/>
              </w:rPr>
            </w:pPr>
            <w:r>
              <w:rPr>
                <w:rFonts w:ascii="Arial" w:cs="Arial" w:eastAsia="Arial" w:hAnsi="Arial"/>
                <w:sz w:val="20"/>
                <w:szCs w:val="20"/>
                <w:color w:val="auto"/>
              </w:rPr>
              <w:t>/s/ Doreen Barr</w:t>
            </w:r>
          </w:p>
        </w:tc>
      </w:tr>
      <w:tr>
        <w:trPr>
          <w:trHeight w:val="23"/>
        </w:trPr>
        <w:tc>
          <w:tcPr>
            <w:tcW w:w="94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54"/>
        </w:trPr>
        <w:tc>
          <w:tcPr>
            <w:tcW w:w="940" w:type="dxa"/>
            <w:vAlign w:val="bottom"/>
          </w:tcPr>
          <w:p>
            <w:pPr>
              <w:spacing w:after="0"/>
              <w:rPr>
                <w:sz w:val="22"/>
                <w:szCs w:val="22"/>
                <w:color w:val="auto"/>
              </w:rPr>
            </w:pPr>
          </w:p>
        </w:tc>
        <w:tc>
          <w:tcPr>
            <w:tcW w:w="5040" w:type="dxa"/>
            <w:vAlign w:val="bottom"/>
          </w:tcPr>
          <w:p>
            <w:pPr>
              <w:ind w:left="20"/>
              <w:spacing w:after="0"/>
              <w:rPr>
                <w:sz w:val="20"/>
                <w:szCs w:val="20"/>
                <w:color w:val="auto"/>
              </w:rPr>
            </w:pPr>
            <w:r>
              <w:rPr>
                <w:rFonts w:ascii="Arial" w:cs="Arial" w:eastAsia="Arial" w:hAnsi="Arial"/>
                <w:sz w:val="20"/>
                <w:szCs w:val="20"/>
                <w:color w:val="auto"/>
              </w:rPr>
              <w:t>Name: Doreen Barr</w:t>
            </w:r>
          </w:p>
        </w:tc>
      </w:tr>
      <w:tr>
        <w:trPr>
          <w:trHeight w:val="283"/>
        </w:trPr>
        <w:tc>
          <w:tcPr>
            <w:tcW w:w="94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20"/>
                <w:szCs w:val="20"/>
                <w:color w:val="auto"/>
              </w:rPr>
              <w:t>Title: Authorized Signatory</w:t>
            </w:r>
          </w:p>
        </w:tc>
      </w:tr>
      <w:tr>
        <w:trPr>
          <w:trHeight w:val="553"/>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040" w:type="dxa"/>
            <w:vAlign w:val="bottom"/>
          </w:tcPr>
          <w:p>
            <w:pPr>
              <w:ind w:left="20"/>
              <w:spacing w:after="0"/>
              <w:rPr>
                <w:sz w:val="20"/>
                <w:szCs w:val="20"/>
                <w:color w:val="auto"/>
              </w:rPr>
            </w:pPr>
            <w:r>
              <w:rPr>
                <w:rFonts w:ascii="Arial" w:cs="Arial" w:eastAsia="Arial" w:hAnsi="Arial"/>
                <w:sz w:val="20"/>
                <w:szCs w:val="20"/>
                <w:color w:val="auto"/>
              </w:rPr>
              <w:t>/s/ Komal Shah</w:t>
            </w:r>
          </w:p>
        </w:tc>
      </w:tr>
      <w:tr>
        <w:trPr>
          <w:trHeight w:val="23"/>
        </w:trPr>
        <w:tc>
          <w:tcPr>
            <w:tcW w:w="94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54"/>
        </w:trPr>
        <w:tc>
          <w:tcPr>
            <w:tcW w:w="940" w:type="dxa"/>
            <w:vAlign w:val="bottom"/>
          </w:tcPr>
          <w:p>
            <w:pPr>
              <w:spacing w:after="0"/>
              <w:rPr>
                <w:sz w:val="22"/>
                <w:szCs w:val="22"/>
                <w:color w:val="auto"/>
              </w:rPr>
            </w:pPr>
          </w:p>
        </w:tc>
        <w:tc>
          <w:tcPr>
            <w:tcW w:w="5040" w:type="dxa"/>
            <w:vAlign w:val="bottom"/>
          </w:tcPr>
          <w:p>
            <w:pPr>
              <w:ind w:left="20"/>
              <w:spacing w:after="0"/>
              <w:rPr>
                <w:sz w:val="20"/>
                <w:szCs w:val="20"/>
                <w:color w:val="auto"/>
              </w:rPr>
            </w:pPr>
            <w:r>
              <w:rPr>
                <w:rFonts w:ascii="Arial" w:cs="Arial" w:eastAsia="Arial" w:hAnsi="Arial"/>
                <w:sz w:val="20"/>
                <w:szCs w:val="20"/>
                <w:color w:val="auto"/>
              </w:rPr>
              <w:t>Name: Komal Shah</w:t>
            </w:r>
          </w:p>
        </w:tc>
      </w:tr>
      <w:tr>
        <w:trPr>
          <w:trHeight w:val="283"/>
        </w:trPr>
        <w:tc>
          <w:tcPr>
            <w:tcW w:w="94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20"/>
                <w:szCs w:val="20"/>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9900"/>
          </w:cols>
          <w:pgMar w:left="1440" w:top="1440" w:right="559" w:bottom="1440" w:gutter="0" w:footer="0" w:header="0"/>
        </w:sectPr>
      </w:pPr>
    </w:p>
    <w:bookmarkStart w:id="24" w:name="page25"/>
    <w:bookmarkEnd w:id="24"/>
    <w:p>
      <w:pPr>
        <w:spacing w:after="0" w:line="270" w:lineRule="exact"/>
        <w:rPr>
          <w:sz w:val="20"/>
          <w:szCs w:val="20"/>
          <w:color w:val="auto"/>
        </w:rPr>
      </w:pPr>
    </w:p>
    <w:p>
      <w:pPr>
        <w:jc w:val="right"/>
        <w:ind w:right="279"/>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 as a Revolving Credit Lender</w:t>
      </w:r>
    </w:p>
    <w:p>
      <w:pPr>
        <w:spacing w:after="0" w:line="330" w:lineRule="exact"/>
        <w:rPr>
          <w:sz w:val="20"/>
          <w:szCs w:val="20"/>
          <w:color w:val="auto"/>
        </w:rPr>
      </w:pPr>
    </w:p>
    <w:p>
      <w:pPr>
        <w:ind w:left="3920"/>
        <w:spacing w:after="0"/>
        <w:tabs>
          <w:tab w:leader="none" w:pos="4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David H. Strickert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27305</wp:posOffset>
            </wp:positionV>
            <wp:extent cx="3197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47"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Name: David H. Strickert</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Amendment No. 2]</w:t>
      </w:r>
    </w:p>
    <w:p>
      <w:pPr>
        <w:sectPr>
          <w:pgSz w:w="11900" w:h="16838" w:orient="portrait"/>
          <w:cols w:equalWidth="0" w:num="1">
            <w:col w:w="9019"/>
          </w:cols>
          <w:pgMar w:left="1440" w:top="1440" w:right="1440" w:bottom="1440" w:gutter="0" w:footer="0" w:header="0"/>
        </w:sectPr>
      </w:pPr>
    </w:p>
    <w:bookmarkStart w:id="25" w:name="page26"/>
    <w:bookmarkEnd w:id="25"/>
    <w:p>
      <w:pPr>
        <w:spacing w:after="0" w:line="275" w:lineRule="exact"/>
        <w:rPr>
          <w:sz w:val="20"/>
          <w:szCs w:val="20"/>
          <w:color w:val="auto"/>
        </w:rPr>
      </w:pPr>
    </w:p>
    <w:p>
      <w:pPr>
        <w:jc w:val="right"/>
        <w:ind w:right="939"/>
        <w:spacing w:after="0"/>
        <w:rPr>
          <w:sz w:val="20"/>
          <w:szCs w:val="20"/>
          <w:color w:val="auto"/>
        </w:rPr>
      </w:pPr>
      <w:r>
        <w:rPr>
          <w:rFonts w:ascii="Arial" w:cs="Arial" w:eastAsia="Arial" w:hAnsi="Arial"/>
          <w:sz w:val="18"/>
          <w:szCs w:val="18"/>
          <w:b w:val="1"/>
          <w:bCs w:val="1"/>
          <w:color w:val="auto"/>
        </w:rPr>
        <w:t>BARCLAYS BANK PLC</w:t>
      </w:r>
      <w:r>
        <w:rPr>
          <w:rFonts w:ascii="Arial" w:cs="Arial" w:eastAsia="Arial" w:hAnsi="Arial"/>
          <w:sz w:val="18"/>
          <w:szCs w:val="18"/>
          <w:color w:val="auto"/>
        </w:rPr>
        <w:t>, as a Revolving Credit Lender</w:t>
      </w:r>
    </w:p>
    <w:p>
      <w:pPr>
        <w:spacing w:after="0" w:line="200" w:lineRule="exact"/>
        <w:rPr>
          <w:sz w:val="20"/>
          <w:szCs w:val="20"/>
          <w:color w:val="auto"/>
        </w:rPr>
      </w:pPr>
    </w:p>
    <w:p>
      <w:pPr>
        <w:spacing w:after="0" w:line="378" w:lineRule="exact"/>
        <w:rPr>
          <w:sz w:val="20"/>
          <w:szCs w:val="20"/>
          <w:color w:val="auto"/>
        </w:rPr>
      </w:pPr>
    </w:p>
    <w:p>
      <w:pPr>
        <w:ind w:left="3920"/>
        <w:spacing w:after="0"/>
        <w:tabs>
          <w:tab w:leader="none" w:pos="4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Ritam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27305</wp:posOffset>
            </wp:positionV>
            <wp:extent cx="3197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47"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Name: Ritam Bhalla</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Amendment No. 2]</w:t>
      </w:r>
    </w:p>
    <w:p>
      <w:pPr>
        <w:sectPr>
          <w:pgSz w:w="11900" w:h="16838" w:orient="portrait"/>
          <w:cols w:equalWidth="0" w:num="1">
            <w:col w:w="9019"/>
          </w:cols>
          <w:pgMar w:left="1440" w:top="1440" w:right="1440" w:bottom="1440" w:gutter="0" w:footer="0" w:header="0"/>
        </w:sectPr>
      </w:pPr>
    </w:p>
    <w:bookmarkStart w:id="26" w:name="page27"/>
    <w:bookmarkEnd w:id="26"/>
    <w:p>
      <w:pPr>
        <w:spacing w:after="0" w:line="200" w:lineRule="exact"/>
        <w:rPr>
          <w:sz w:val="20"/>
          <w:szCs w:val="20"/>
          <w:color w:val="auto"/>
        </w:rPr>
      </w:pPr>
    </w:p>
    <w:p>
      <w:pPr>
        <w:spacing w:after="0" w:line="313"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CITIBANK, N.A.</w:t>
      </w:r>
      <w:r>
        <w:rPr>
          <w:rFonts w:ascii="Arial" w:cs="Arial" w:eastAsia="Arial" w:hAnsi="Arial"/>
          <w:sz w:val="20"/>
          <w:szCs w:val="20"/>
          <w:color w:val="auto"/>
        </w:rPr>
        <w:t>, as a Revolving Credit Lender</w:t>
      </w:r>
    </w:p>
    <w:p>
      <w:pPr>
        <w:spacing w:after="0" w:line="330" w:lineRule="exact"/>
        <w:rPr>
          <w:sz w:val="20"/>
          <w:szCs w:val="20"/>
          <w:color w:val="auto"/>
        </w:rPr>
      </w:pPr>
    </w:p>
    <w:tbl>
      <w:tblPr>
        <w:tblLayout w:type="fixed"/>
        <w:tblInd w:w="3920" w:type="dxa"/>
        <w:tblCellMar>
          <w:top w:w="0" w:type="dxa"/>
          <w:left w:w="0" w:type="dxa"/>
          <w:bottom w:w="0" w:type="dxa"/>
          <w:right w:w="0" w:type="dxa"/>
        </w:tblCellMar>
      </w:tblPr>
      <w:tr>
        <w:trPr>
          <w:trHeight w:val="250"/>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040" w:type="dxa"/>
            <w:vAlign w:val="bottom"/>
          </w:tcPr>
          <w:p>
            <w:pPr>
              <w:ind w:left="20"/>
              <w:spacing w:after="0"/>
              <w:rPr>
                <w:sz w:val="20"/>
                <w:szCs w:val="20"/>
                <w:color w:val="auto"/>
              </w:rPr>
            </w:pPr>
            <w:r>
              <w:rPr>
                <w:rFonts w:ascii="Arial" w:cs="Arial" w:eastAsia="Arial" w:hAnsi="Arial"/>
                <w:sz w:val="20"/>
                <w:szCs w:val="20"/>
                <w:color w:val="auto"/>
              </w:rPr>
              <w:t>/s/ Justin Tichauer</w:t>
            </w:r>
          </w:p>
        </w:tc>
      </w:tr>
      <w:tr>
        <w:trPr>
          <w:trHeight w:val="23"/>
        </w:trPr>
        <w:tc>
          <w:tcPr>
            <w:tcW w:w="94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54"/>
        </w:trPr>
        <w:tc>
          <w:tcPr>
            <w:tcW w:w="940" w:type="dxa"/>
            <w:vAlign w:val="bottom"/>
          </w:tcPr>
          <w:p>
            <w:pPr>
              <w:spacing w:after="0"/>
              <w:rPr>
                <w:sz w:val="22"/>
                <w:szCs w:val="22"/>
                <w:color w:val="auto"/>
              </w:rPr>
            </w:pPr>
          </w:p>
        </w:tc>
        <w:tc>
          <w:tcPr>
            <w:tcW w:w="5040" w:type="dxa"/>
            <w:vAlign w:val="bottom"/>
          </w:tcPr>
          <w:p>
            <w:pPr>
              <w:ind w:left="20"/>
              <w:spacing w:after="0"/>
              <w:rPr>
                <w:sz w:val="20"/>
                <w:szCs w:val="20"/>
                <w:color w:val="auto"/>
              </w:rPr>
            </w:pPr>
            <w:r>
              <w:rPr>
                <w:rFonts w:ascii="Arial" w:cs="Arial" w:eastAsia="Arial" w:hAnsi="Arial"/>
                <w:sz w:val="20"/>
                <w:szCs w:val="20"/>
                <w:color w:val="auto"/>
              </w:rPr>
              <w:t>Name: Justin Tichauer</w:t>
            </w:r>
          </w:p>
        </w:tc>
      </w:tr>
      <w:tr>
        <w:trPr>
          <w:trHeight w:val="283"/>
        </w:trPr>
        <w:tc>
          <w:tcPr>
            <w:tcW w:w="94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20"/>
                <w:szCs w:val="20"/>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9900"/>
          </w:cols>
          <w:pgMar w:left="1440" w:top="1440" w:right="559" w:bottom="1440" w:gutter="0" w:footer="0" w:header="0"/>
        </w:sectPr>
      </w:pPr>
    </w:p>
    <w:bookmarkStart w:id="27" w:name="page28"/>
    <w:bookmarkEnd w:id="27"/>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GOLDMAN SACHS BANK USA</w:t>
      </w:r>
      <w:r>
        <w:rPr>
          <w:rFonts w:ascii="Arial" w:cs="Arial" w:eastAsia="Arial" w:hAnsi="Arial"/>
          <w:sz w:val="20"/>
          <w:szCs w:val="20"/>
          <w:color w:val="auto"/>
        </w:rPr>
        <w:t>, as a Revolving Credit Lender</w:t>
      </w:r>
    </w:p>
    <w:p>
      <w:pPr>
        <w:spacing w:after="0" w:line="330" w:lineRule="exact"/>
        <w:rPr>
          <w:sz w:val="20"/>
          <w:szCs w:val="20"/>
          <w:color w:val="auto"/>
        </w:rPr>
      </w:pPr>
    </w:p>
    <w:p>
      <w:pPr>
        <w:ind w:left="3920"/>
        <w:spacing w:after="0"/>
        <w:tabs>
          <w:tab w:leader="none" w:pos="4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Dan Martis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27305</wp:posOffset>
            </wp:positionV>
            <wp:extent cx="3197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47"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Name: Dan Martis</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[Signature Page to Amendment No. 2]</w:t>
      </w:r>
    </w:p>
    <w:p>
      <w:pPr>
        <w:sectPr>
          <w:pgSz w:w="11900" w:h="16838" w:orient="portrait"/>
          <w:cols w:equalWidth="0" w:num="1">
            <w:col w:w="9180"/>
          </w:cols>
          <w:pgMar w:left="1440" w:top="1440" w:right="1279" w:bottom="1440" w:gutter="0" w:footer="0" w:header="0"/>
        </w:sectPr>
      </w:pPr>
    </w:p>
    <w:bookmarkStart w:id="28" w:name="page29"/>
    <w:bookmarkEnd w:id="28"/>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JPMORGAN CHASE BANK, N.A.</w:t>
      </w:r>
      <w:r>
        <w:rPr>
          <w:rFonts w:ascii="Arial" w:cs="Arial" w:eastAsia="Arial" w:hAnsi="Arial"/>
          <w:sz w:val="20"/>
          <w:szCs w:val="20"/>
          <w:color w:val="auto"/>
        </w:rPr>
        <w:t>, as a Revolving Credit Lender</w:t>
      </w:r>
    </w:p>
    <w:p>
      <w:pPr>
        <w:spacing w:after="0" w:line="330" w:lineRule="exact"/>
        <w:rPr>
          <w:sz w:val="20"/>
          <w:szCs w:val="20"/>
          <w:color w:val="auto"/>
        </w:rPr>
      </w:pPr>
    </w:p>
    <w:p>
      <w:pPr>
        <w:ind w:left="3920"/>
        <w:spacing w:after="0"/>
        <w:tabs>
          <w:tab w:leader="none" w:pos="4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Brendan Korb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27305</wp:posOffset>
            </wp:positionV>
            <wp:extent cx="3197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47"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Name: Brendan Korb</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[Signature Page to Amendment No. 2]</w:t>
      </w:r>
    </w:p>
    <w:p>
      <w:pPr>
        <w:sectPr>
          <w:pgSz w:w="11900" w:h="16838" w:orient="portrait"/>
          <w:cols w:equalWidth="0" w:num="1">
            <w:col w:w="9320"/>
          </w:cols>
          <w:pgMar w:left="1440" w:top="1440" w:right="1139" w:bottom="1440" w:gutter="0" w:footer="0" w:header="0"/>
        </w:sectPr>
      </w:pPr>
    </w:p>
    <w:bookmarkStart w:id="29" w:name="page30"/>
    <w:bookmarkEnd w:id="29"/>
    <w:p>
      <w:pPr>
        <w:spacing w:after="0" w:line="270" w:lineRule="exact"/>
        <w:rPr>
          <w:sz w:val="20"/>
          <w:szCs w:val="20"/>
          <w:color w:val="auto"/>
        </w:rPr>
      </w:pPr>
    </w:p>
    <w:p>
      <w:pPr>
        <w:ind w:left="3920" w:right="520"/>
        <w:spacing w:after="0" w:line="267" w:lineRule="auto"/>
        <w:rPr>
          <w:sz w:val="20"/>
          <w:szCs w:val="20"/>
          <w:color w:val="auto"/>
        </w:rPr>
      </w:pPr>
      <w:r>
        <w:rPr>
          <w:rFonts w:ascii="Arial" w:cs="Arial" w:eastAsia="Arial" w:hAnsi="Arial"/>
          <w:sz w:val="20"/>
          <w:szCs w:val="20"/>
          <w:b w:val="1"/>
          <w:bCs w:val="1"/>
          <w:color w:val="auto"/>
        </w:rPr>
        <w:t>MORGAN STANLEY SENIOR FUNDING, INC.</w:t>
      </w:r>
      <w:r>
        <w:rPr>
          <w:rFonts w:ascii="Arial" w:cs="Arial" w:eastAsia="Arial" w:hAnsi="Arial"/>
          <w:sz w:val="20"/>
          <w:szCs w:val="20"/>
          <w:color w:val="auto"/>
        </w:rPr>
        <w:t>, as a Revolving</w:t>
      </w:r>
      <w:r>
        <w:rPr>
          <w:rFonts w:ascii="Arial" w:cs="Arial" w:eastAsia="Arial" w:hAnsi="Arial"/>
          <w:sz w:val="20"/>
          <w:szCs w:val="20"/>
          <w:b w:val="1"/>
          <w:bCs w:val="1"/>
          <w:color w:val="auto"/>
        </w:rPr>
        <w:t xml:space="preserve"> </w:t>
      </w:r>
      <w:r>
        <w:rPr>
          <w:rFonts w:ascii="Arial" w:cs="Arial" w:eastAsia="Arial" w:hAnsi="Arial"/>
          <w:sz w:val="20"/>
          <w:szCs w:val="20"/>
          <w:color w:val="auto"/>
        </w:rPr>
        <w:t>Credit Lender</w:t>
      </w:r>
    </w:p>
    <w:p>
      <w:pPr>
        <w:spacing w:after="0" w:line="277" w:lineRule="exact"/>
        <w:rPr>
          <w:sz w:val="20"/>
          <w:szCs w:val="20"/>
          <w:color w:val="auto"/>
        </w:rPr>
      </w:pPr>
    </w:p>
    <w:tbl>
      <w:tblPr>
        <w:tblLayout w:type="fixed"/>
        <w:tblInd w:w="3920" w:type="dxa"/>
        <w:tblCellMar>
          <w:top w:w="0" w:type="dxa"/>
          <w:left w:w="0" w:type="dxa"/>
          <w:bottom w:w="0" w:type="dxa"/>
          <w:right w:w="0" w:type="dxa"/>
        </w:tblCellMar>
      </w:tblPr>
      <w:tr>
        <w:trPr>
          <w:trHeight w:val="250"/>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040" w:type="dxa"/>
            <w:vAlign w:val="bottom"/>
          </w:tcPr>
          <w:p>
            <w:pPr>
              <w:ind w:left="20"/>
              <w:spacing w:after="0"/>
              <w:rPr>
                <w:sz w:val="20"/>
                <w:szCs w:val="20"/>
                <w:color w:val="auto"/>
              </w:rPr>
            </w:pPr>
            <w:r>
              <w:rPr>
                <w:rFonts w:ascii="Arial" w:cs="Arial" w:eastAsia="Arial" w:hAnsi="Arial"/>
                <w:sz w:val="20"/>
                <w:szCs w:val="20"/>
                <w:color w:val="auto"/>
              </w:rPr>
              <w:t>/s/ Michael King</w:t>
            </w:r>
          </w:p>
        </w:tc>
      </w:tr>
      <w:tr>
        <w:trPr>
          <w:trHeight w:val="23"/>
        </w:trPr>
        <w:tc>
          <w:tcPr>
            <w:tcW w:w="94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54"/>
        </w:trPr>
        <w:tc>
          <w:tcPr>
            <w:tcW w:w="940" w:type="dxa"/>
            <w:vAlign w:val="bottom"/>
          </w:tcPr>
          <w:p>
            <w:pPr>
              <w:spacing w:after="0"/>
              <w:rPr>
                <w:sz w:val="22"/>
                <w:szCs w:val="22"/>
                <w:color w:val="auto"/>
              </w:rPr>
            </w:pPr>
          </w:p>
        </w:tc>
        <w:tc>
          <w:tcPr>
            <w:tcW w:w="5040" w:type="dxa"/>
            <w:vAlign w:val="bottom"/>
          </w:tcPr>
          <w:p>
            <w:pPr>
              <w:ind w:left="20"/>
              <w:spacing w:after="0"/>
              <w:rPr>
                <w:sz w:val="20"/>
                <w:szCs w:val="20"/>
                <w:color w:val="auto"/>
              </w:rPr>
            </w:pPr>
            <w:r>
              <w:rPr>
                <w:rFonts w:ascii="Arial" w:cs="Arial" w:eastAsia="Arial" w:hAnsi="Arial"/>
                <w:sz w:val="20"/>
                <w:szCs w:val="20"/>
                <w:color w:val="auto"/>
              </w:rPr>
              <w:t>Name: Michael King</w:t>
            </w:r>
          </w:p>
        </w:tc>
      </w:tr>
      <w:tr>
        <w:trPr>
          <w:trHeight w:val="283"/>
        </w:trPr>
        <w:tc>
          <w:tcPr>
            <w:tcW w:w="94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20"/>
                <w:szCs w:val="20"/>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9900"/>
          </w:cols>
          <w:pgMar w:left="1440" w:top="1440" w:right="559" w:bottom="1440" w:gutter="0" w:footer="0" w:header="0"/>
        </w:sectPr>
      </w:pPr>
    </w:p>
    <w:bookmarkStart w:id="30" w:name="page31"/>
    <w:bookmarkEnd w:id="30"/>
    <w:p>
      <w:pPr>
        <w:spacing w:after="0" w:line="200" w:lineRule="exact"/>
        <w:rPr>
          <w:sz w:val="20"/>
          <w:szCs w:val="20"/>
          <w:color w:val="auto"/>
        </w:rPr>
      </w:pPr>
    </w:p>
    <w:p>
      <w:pPr>
        <w:spacing w:after="0" w:line="313"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BMO HARRIS BANK, N.A.</w:t>
      </w:r>
      <w:r>
        <w:rPr>
          <w:rFonts w:ascii="Arial" w:cs="Arial" w:eastAsia="Arial" w:hAnsi="Arial"/>
          <w:sz w:val="20"/>
          <w:szCs w:val="20"/>
          <w:color w:val="auto"/>
        </w:rPr>
        <w:t>, as a Revolving Credit Lender</w:t>
      </w:r>
    </w:p>
    <w:p>
      <w:pPr>
        <w:spacing w:after="0" w:line="330" w:lineRule="exact"/>
        <w:rPr>
          <w:sz w:val="20"/>
          <w:szCs w:val="20"/>
          <w:color w:val="auto"/>
        </w:rPr>
      </w:pPr>
    </w:p>
    <w:tbl>
      <w:tblPr>
        <w:tblLayout w:type="fixed"/>
        <w:tblInd w:w="3920" w:type="dxa"/>
        <w:tblCellMar>
          <w:top w:w="0" w:type="dxa"/>
          <w:left w:w="0" w:type="dxa"/>
          <w:bottom w:w="0" w:type="dxa"/>
          <w:right w:w="0" w:type="dxa"/>
        </w:tblCellMar>
      </w:tblPr>
      <w:tr>
        <w:trPr>
          <w:trHeight w:val="250"/>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040" w:type="dxa"/>
            <w:vAlign w:val="bottom"/>
          </w:tcPr>
          <w:p>
            <w:pPr>
              <w:ind w:left="20"/>
              <w:spacing w:after="0"/>
              <w:rPr>
                <w:sz w:val="20"/>
                <w:szCs w:val="20"/>
                <w:color w:val="auto"/>
              </w:rPr>
            </w:pPr>
            <w:r>
              <w:rPr>
                <w:rFonts w:ascii="Arial" w:cs="Arial" w:eastAsia="Arial" w:hAnsi="Arial"/>
                <w:sz w:val="20"/>
                <w:szCs w:val="20"/>
                <w:color w:val="auto"/>
              </w:rPr>
              <w:t>/s/ Paul Harris</w:t>
            </w:r>
          </w:p>
        </w:tc>
      </w:tr>
      <w:tr>
        <w:trPr>
          <w:trHeight w:val="23"/>
        </w:trPr>
        <w:tc>
          <w:tcPr>
            <w:tcW w:w="94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54"/>
        </w:trPr>
        <w:tc>
          <w:tcPr>
            <w:tcW w:w="940" w:type="dxa"/>
            <w:vAlign w:val="bottom"/>
          </w:tcPr>
          <w:p>
            <w:pPr>
              <w:spacing w:after="0"/>
              <w:rPr>
                <w:sz w:val="22"/>
                <w:szCs w:val="22"/>
                <w:color w:val="auto"/>
              </w:rPr>
            </w:pPr>
          </w:p>
        </w:tc>
        <w:tc>
          <w:tcPr>
            <w:tcW w:w="5040" w:type="dxa"/>
            <w:vAlign w:val="bottom"/>
          </w:tcPr>
          <w:p>
            <w:pPr>
              <w:ind w:left="20"/>
              <w:spacing w:after="0"/>
              <w:rPr>
                <w:sz w:val="20"/>
                <w:szCs w:val="20"/>
                <w:color w:val="auto"/>
              </w:rPr>
            </w:pPr>
            <w:r>
              <w:rPr>
                <w:rFonts w:ascii="Arial" w:cs="Arial" w:eastAsia="Arial" w:hAnsi="Arial"/>
                <w:sz w:val="20"/>
                <w:szCs w:val="20"/>
                <w:color w:val="auto"/>
              </w:rPr>
              <w:t>Name: Paul Harris</w:t>
            </w:r>
          </w:p>
        </w:tc>
      </w:tr>
      <w:tr>
        <w:trPr>
          <w:trHeight w:val="283"/>
        </w:trPr>
        <w:tc>
          <w:tcPr>
            <w:tcW w:w="94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20"/>
                <w:szCs w:val="20"/>
                <w:color w:val="auto"/>
              </w:rPr>
              <w:t>Title: Managing Director, FC&amp;R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9900"/>
          </w:cols>
          <w:pgMar w:left="1440" w:top="1440" w:right="559" w:bottom="1440" w:gutter="0" w:footer="0" w:header="0"/>
        </w:sectPr>
      </w:pPr>
    </w:p>
    <w:bookmarkStart w:id="31" w:name="page32"/>
    <w:bookmarkEnd w:id="31"/>
    <w:p>
      <w:pPr>
        <w:spacing w:after="0" w:line="275" w:lineRule="exact"/>
        <w:rPr>
          <w:sz w:val="20"/>
          <w:szCs w:val="20"/>
          <w:color w:val="auto"/>
        </w:rPr>
      </w:pPr>
    </w:p>
    <w:p>
      <w:pPr>
        <w:ind w:left="3920" w:right="760"/>
        <w:spacing w:after="0" w:line="282" w:lineRule="auto"/>
        <w:rPr>
          <w:sz w:val="20"/>
          <w:szCs w:val="20"/>
          <w:color w:val="auto"/>
        </w:rPr>
      </w:pPr>
      <w:r>
        <w:rPr>
          <w:rFonts w:ascii="Arial" w:cs="Arial" w:eastAsia="Arial" w:hAnsi="Arial"/>
          <w:sz w:val="18"/>
          <w:szCs w:val="18"/>
          <w:b w:val="1"/>
          <w:bCs w:val="1"/>
          <w:color w:val="auto"/>
        </w:rPr>
        <w:t>COÖPERATIEVE RABOBANK U.A., NEW YORK BRANCH</w:t>
      </w:r>
      <w:r>
        <w:rPr>
          <w:rFonts w:ascii="Arial" w:cs="Arial" w:eastAsia="Arial" w:hAnsi="Arial"/>
          <w:sz w:val="18"/>
          <w:szCs w:val="18"/>
          <w:color w:val="auto"/>
        </w:rPr>
        <w:t>, as a</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Lender</w:t>
      </w:r>
    </w:p>
    <w:p>
      <w:pPr>
        <w:spacing w:after="0" w:line="271" w:lineRule="exact"/>
        <w:rPr>
          <w:sz w:val="20"/>
          <w:szCs w:val="20"/>
          <w:color w:val="auto"/>
        </w:rPr>
      </w:pPr>
    </w:p>
    <w:tbl>
      <w:tblPr>
        <w:tblLayout w:type="fixed"/>
        <w:tblInd w:w="3920" w:type="dxa"/>
        <w:tblCellMar>
          <w:top w:w="0" w:type="dxa"/>
          <w:left w:w="0" w:type="dxa"/>
          <w:bottom w:w="0" w:type="dxa"/>
          <w:right w:w="0" w:type="dxa"/>
        </w:tblCellMar>
      </w:tblPr>
      <w:tr>
        <w:trPr>
          <w:trHeight w:val="250"/>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040" w:type="dxa"/>
            <w:vAlign w:val="bottom"/>
          </w:tcPr>
          <w:p>
            <w:pPr>
              <w:ind w:left="20"/>
              <w:spacing w:after="0"/>
              <w:rPr>
                <w:sz w:val="20"/>
                <w:szCs w:val="20"/>
                <w:color w:val="auto"/>
              </w:rPr>
            </w:pPr>
            <w:r>
              <w:rPr>
                <w:rFonts w:ascii="Arial" w:cs="Arial" w:eastAsia="Arial" w:hAnsi="Arial"/>
                <w:sz w:val="20"/>
                <w:szCs w:val="20"/>
                <w:color w:val="auto"/>
              </w:rPr>
              <w:t>/s/ Bradley A. Pierce</w:t>
            </w:r>
          </w:p>
        </w:tc>
      </w:tr>
      <w:tr>
        <w:trPr>
          <w:trHeight w:val="23"/>
        </w:trPr>
        <w:tc>
          <w:tcPr>
            <w:tcW w:w="94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54"/>
        </w:trPr>
        <w:tc>
          <w:tcPr>
            <w:tcW w:w="940" w:type="dxa"/>
            <w:vAlign w:val="bottom"/>
          </w:tcPr>
          <w:p>
            <w:pPr>
              <w:spacing w:after="0"/>
              <w:rPr>
                <w:sz w:val="22"/>
                <w:szCs w:val="22"/>
                <w:color w:val="auto"/>
              </w:rPr>
            </w:pPr>
          </w:p>
        </w:tc>
        <w:tc>
          <w:tcPr>
            <w:tcW w:w="5040" w:type="dxa"/>
            <w:vAlign w:val="bottom"/>
          </w:tcPr>
          <w:p>
            <w:pPr>
              <w:ind w:left="20"/>
              <w:spacing w:after="0"/>
              <w:rPr>
                <w:sz w:val="20"/>
                <w:szCs w:val="20"/>
                <w:color w:val="auto"/>
              </w:rPr>
            </w:pPr>
            <w:r>
              <w:rPr>
                <w:rFonts w:ascii="Arial" w:cs="Arial" w:eastAsia="Arial" w:hAnsi="Arial"/>
                <w:sz w:val="20"/>
                <w:szCs w:val="20"/>
                <w:color w:val="auto"/>
              </w:rPr>
              <w:t>Name: Bradley A. Pierce</w:t>
            </w:r>
          </w:p>
        </w:tc>
      </w:tr>
      <w:tr>
        <w:trPr>
          <w:trHeight w:val="283"/>
        </w:trPr>
        <w:tc>
          <w:tcPr>
            <w:tcW w:w="94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20"/>
                <w:szCs w:val="20"/>
                <w:color w:val="auto"/>
              </w:rPr>
              <w:t>Title: Managing Director</w:t>
            </w:r>
          </w:p>
        </w:tc>
      </w:tr>
      <w:tr>
        <w:trPr>
          <w:trHeight w:val="553"/>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040" w:type="dxa"/>
            <w:vAlign w:val="bottom"/>
          </w:tcPr>
          <w:p>
            <w:pPr>
              <w:ind w:left="20"/>
              <w:spacing w:after="0"/>
              <w:rPr>
                <w:sz w:val="20"/>
                <w:szCs w:val="20"/>
                <w:color w:val="auto"/>
              </w:rPr>
            </w:pPr>
            <w:r>
              <w:rPr>
                <w:rFonts w:ascii="Arial" w:cs="Arial" w:eastAsia="Arial" w:hAnsi="Arial"/>
                <w:sz w:val="20"/>
                <w:szCs w:val="20"/>
                <w:color w:val="auto"/>
              </w:rPr>
              <w:t>/s/ Shane Koonce</w:t>
            </w:r>
          </w:p>
        </w:tc>
      </w:tr>
      <w:tr>
        <w:trPr>
          <w:trHeight w:val="23"/>
        </w:trPr>
        <w:tc>
          <w:tcPr>
            <w:tcW w:w="94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54"/>
        </w:trPr>
        <w:tc>
          <w:tcPr>
            <w:tcW w:w="940" w:type="dxa"/>
            <w:vAlign w:val="bottom"/>
          </w:tcPr>
          <w:p>
            <w:pPr>
              <w:spacing w:after="0"/>
              <w:rPr>
                <w:sz w:val="22"/>
                <w:szCs w:val="22"/>
                <w:color w:val="auto"/>
              </w:rPr>
            </w:pPr>
          </w:p>
        </w:tc>
        <w:tc>
          <w:tcPr>
            <w:tcW w:w="5040" w:type="dxa"/>
            <w:vAlign w:val="bottom"/>
          </w:tcPr>
          <w:p>
            <w:pPr>
              <w:ind w:left="20"/>
              <w:spacing w:after="0"/>
              <w:rPr>
                <w:sz w:val="20"/>
                <w:szCs w:val="20"/>
                <w:color w:val="auto"/>
              </w:rPr>
            </w:pPr>
            <w:r>
              <w:rPr>
                <w:rFonts w:ascii="Arial" w:cs="Arial" w:eastAsia="Arial" w:hAnsi="Arial"/>
                <w:sz w:val="20"/>
                <w:szCs w:val="20"/>
                <w:color w:val="auto"/>
              </w:rPr>
              <w:t>Name: Shane Koonce</w:t>
            </w:r>
          </w:p>
        </w:tc>
      </w:tr>
      <w:tr>
        <w:trPr>
          <w:trHeight w:val="283"/>
        </w:trPr>
        <w:tc>
          <w:tcPr>
            <w:tcW w:w="94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20"/>
                <w:szCs w:val="20"/>
                <w:color w:val="auto"/>
              </w:rPr>
              <w:t>Title: 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9900"/>
          </w:cols>
          <w:pgMar w:left="1440" w:top="1440" w:right="559" w:bottom="1440" w:gutter="0" w:footer="0" w:header="0"/>
        </w:sectPr>
      </w:pPr>
    </w:p>
    <w:bookmarkStart w:id="32" w:name="page33"/>
    <w:bookmarkEnd w:id="32"/>
    <w:p>
      <w:pPr>
        <w:spacing w:after="0" w:line="200" w:lineRule="exact"/>
        <w:rPr>
          <w:sz w:val="20"/>
          <w:szCs w:val="20"/>
          <w:color w:val="auto"/>
        </w:rPr>
      </w:pPr>
    </w:p>
    <w:p>
      <w:pPr>
        <w:spacing w:after="0" w:line="318" w:lineRule="exact"/>
        <w:rPr>
          <w:sz w:val="20"/>
          <w:szCs w:val="20"/>
          <w:color w:val="auto"/>
        </w:rPr>
      </w:pPr>
    </w:p>
    <w:p>
      <w:pPr>
        <w:ind w:left="3920"/>
        <w:spacing w:after="0" w:line="282" w:lineRule="auto"/>
        <w:rPr>
          <w:sz w:val="20"/>
          <w:szCs w:val="20"/>
          <w:color w:val="auto"/>
        </w:rPr>
      </w:pPr>
      <w:r>
        <w:rPr>
          <w:rFonts w:ascii="Arial" w:cs="Arial" w:eastAsia="Arial" w:hAnsi="Arial"/>
          <w:sz w:val="18"/>
          <w:szCs w:val="18"/>
          <w:b w:val="1"/>
          <w:bCs w:val="1"/>
          <w:color w:val="auto"/>
        </w:rPr>
        <w:t>NOMURA CORPORATE FUNDING AMERICAS, LLC</w:t>
      </w:r>
      <w:r>
        <w:rPr>
          <w:rFonts w:ascii="Arial" w:cs="Arial" w:eastAsia="Arial" w:hAnsi="Arial"/>
          <w:sz w:val="18"/>
          <w:szCs w:val="18"/>
          <w:color w:val="auto"/>
        </w:rPr>
        <w:t>, as a Revolving</w:t>
      </w:r>
      <w:r>
        <w:rPr>
          <w:rFonts w:ascii="Arial" w:cs="Arial" w:eastAsia="Arial" w:hAnsi="Arial"/>
          <w:sz w:val="18"/>
          <w:szCs w:val="18"/>
          <w:b w:val="1"/>
          <w:bCs w:val="1"/>
          <w:color w:val="auto"/>
        </w:rPr>
        <w:t xml:space="preserve"> </w:t>
      </w:r>
      <w:r>
        <w:rPr>
          <w:rFonts w:ascii="Arial" w:cs="Arial" w:eastAsia="Arial" w:hAnsi="Arial"/>
          <w:sz w:val="18"/>
          <w:szCs w:val="18"/>
          <w:color w:val="auto"/>
        </w:rPr>
        <w:t>Credit Lender</w:t>
      </w:r>
    </w:p>
    <w:p>
      <w:pPr>
        <w:spacing w:after="0" w:line="271" w:lineRule="exact"/>
        <w:rPr>
          <w:sz w:val="20"/>
          <w:szCs w:val="20"/>
          <w:color w:val="auto"/>
        </w:rPr>
      </w:pPr>
    </w:p>
    <w:p>
      <w:pPr>
        <w:ind w:left="3920"/>
        <w:spacing w:after="0"/>
        <w:tabs>
          <w:tab w:leader="none" w:pos="4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Andrew Keith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27305</wp:posOffset>
            </wp:positionV>
            <wp:extent cx="3197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47"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Name: Andrew Keith</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9460"/>
          </w:cols>
          <w:pgMar w:left="1440" w:top="1440" w:right="999" w:bottom="1440" w:gutter="0" w:footer="0" w:header="0"/>
        </w:sectPr>
      </w:pPr>
    </w:p>
    <w:bookmarkStart w:id="33" w:name="page34"/>
    <w:bookmarkEnd w:id="33"/>
    <w:p>
      <w:pPr>
        <w:spacing w:after="0" w:line="200" w:lineRule="exact"/>
        <w:rPr>
          <w:sz w:val="20"/>
          <w:szCs w:val="20"/>
          <w:color w:val="auto"/>
        </w:rPr>
      </w:pPr>
    </w:p>
    <w:p>
      <w:pPr>
        <w:spacing w:after="0" w:line="313"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TRUIST BANK</w:t>
      </w:r>
      <w:r>
        <w:rPr>
          <w:rFonts w:ascii="Arial" w:cs="Arial" w:eastAsia="Arial" w:hAnsi="Arial"/>
          <w:sz w:val="20"/>
          <w:szCs w:val="20"/>
          <w:color w:val="auto"/>
        </w:rPr>
        <w:t>, as a Revolving Credit Lender</w:t>
      </w:r>
    </w:p>
    <w:p>
      <w:pPr>
        <w:spacing w:after="0" w:line="330" w:lineRule="exact"/>
        <w:rPr>
          <w:sz w:val="20"/>
          <w:szCs w:val="20"/>
          <w:color w:val="auto"/>
        </w:rPr>
      </w:pPr>
    </w:p>
    <w:tbl>
      <w:tblPr>
        <w:tblLayout w:type="fixed"/>
        <w:tblInd w:w="3920" w:type="dxa"/>
        <w:tblCellMar>
          <w:top w:w="0" w:type="dxa"/>
          <w:left w:w="0" w:type="dxa"/>
          <w:bottom w:w="0" w:type="dxa"/>
          <w:right w:w="0" w:type="dxa"/>
        </w:tblCellMar>
      </w:tblPr>
      <w:tr>
        <w:trPr>
          <w:trHeight w:val="250"/>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040" w:type="dxa"/>
            <w:vAlign w:val="bottom"/>
          </w:tcPr>
          <w:p>
            <w:pPr>
              <w:ind w:left="20"/>
              <w:spacing w:after="0"/>
              <w:rPr>
                <w:sz w:val="20"/>
                <w:szCs w:val="20"/>
                <w:color w:val="auto"/>
              </w:rPr>
            </w:pPr>
            <w:r>
              <w:rPr>
                <w:rFonts w:ascii="Arial" w:cs="Arial" w:eastAsia="Arial" w:hAnsi="Arial"/>
                <w:sz w:val="20"/>
                <w:szCs w:val="20"/>
                <w:color w:val="auto"/>
              </w:rPr>
              <w:t>/s/ Tesha Winslow</w:t>
            </w:r>
          </w:p>
        </w:tc>
      </w:tr>
      <w:tr>
        <w:trPr>
          <w:trHeight w:val="23"/>
        </w:trPr>
        <w:tc>
          <w:tcPr>
            <w:tcW w:w="94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54"/>
        </w:trPr>
        <w:tc>
          <w:tcPr>
            <w:tcW w:w="940" w:type="dxa"/>
            <w:vAlign w:val="bottom"/>
          </w:tcPr>
          <w:p>
            <w:pPr>
              <w:spacing w:after="0"/>
              <w:rPr>
                <w:sz w:val="22"/>
                <w:szCs w:val="22"/>
                <w:color w:val="auto"/>
              </w:rPr>
            </w:pPr>
          </w:p>
        </w:tc>
        <w:tc>
          <w:tcPr>
            <w:tcW w:w="5040" w:type="dxa"/>
            <w:vAlign w:val="bottom"/>
          </w:tcPr>
          <w:p>
            <w:pPr>
              <w:ind w:left="20"/>
              <w:spacing w:after="0"/>
              <w:rPr>
                <w:sz w:val="20"/>
                <w:szCs w:val="20"/>
                <w:color w:val="auto"/>
              </w:rPr>
            </w:pPr>
            <w:r>
              <w:rPr>
                <w:rFonts w:ascii="Arial" w:cs="Arial" w:eastAsia="Arial" w:hAnsi="Arial"/>
                <w:sz w:val="20"/>
                <w:szCs w:val="20"/>
                <w:color w:val="auto"/>
              </w:rPr>
              <w:t>Name: Tesha Winslow</w:t>
            </w:r>
          </w:p>
        </w:tc>
      </w:tr>
      <w:tr>
        <w:trPr>
          <w:trHeight w:val="283"/>
        </w:trPr>
        <w:tc>
          <w:tcPr>
            <w:tcW w:w="94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20"/>
                <w:szCs w:val="20"/>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9900"/>
          </w:cols>
          <w:pgMar w:left="1440" w:top="1440" w:right="559" w:bottom="1440" w:gutter="0" w:footer="0" w:header="0"/>
        </w:sectPr>
      </w:pPr>
    </w:p>
    <w:bookmarkStart w:id="34" w:name="page35"/>
    <w:bookmarkEnd w:id="34"/>
    <w:p>
      <w:pPr>
        <w:spacing w:after="0" w:line="200" w:lineRule="exact"/>
        <w:rPr>
          <w:sz w:val="20"/>
          <w:szCs w:val="20"/>
          <w:color w:val="auto"/>
        </w:rPr>
      </w:pPr>
    </w:p>
    <w:p>
      <w:pPr>
        <w:spacing w:after="0" w:line="313"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UBS AG, STAMFORD BRANCH</w:t>
      </w:r>
      <w:r>
        <w:rPr>
          <w:rFonts w:ascii="Arial" w:cs="Arial" w:eastAsia="Arial" w:hAnsi="Arial"/>
          <w:sz w:val="20"/>
          <w:szCs w:val="20"/>
          <w:color w:val="auto"/>
        </w:rPr>
        <w:t>, as a Revolving Credit Lender</w:t>
      </w:r>
    </w:p>
    <w:p>
      <w:pPr>
        <w:spacing w:after="0" w:line="330" w:lineRule="exact"/>
        <w:rPr>
          <w:sz w:val="20"/>
          <w:szCs w:val="20"/>
          <w:color w:val="auto"/>
        </w:rPr>
      </w:pPr>
    </w:p>
    <w:tbl>
      <w:tblPr>
        <w:tblLayout w:type="fixed"/>
        <w:tblInd w:w="3920" w:type="dxa"/>
        <w:tblCellMar>
          <w:top w:w="0" w:type="dxa"/>
          <w:left w:w="0" w:type="dxa"/>
          <w:bottom w:w="0" w:type="dxa"/>
          <w:right w:w="0" w:type="dxa"/>
        </w:tblCellMar>
      </w:tblPr>
      <w:tr>
        <w:trPr>
          <w:trHeight w:val="250"/>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040" w:type="dxa"/>
            <w:vAlign w:val="bottom"/>
          </w:tcPr>
          <w:p>
            <w:pPr>
              <w:ind w:left="20"/>
              <w:spacing w:after="0"/>
              <w:rPr>
                <w:sz w:val="20"/>
                <w:szCs w:val="20"/>
                <w:color w:val="auto"/>
              </w:rPr>
            </w:pPr>
            <w:r>
              <w:rPr>
                <w:rFonts w:ascii="Arial" w:cs="Arial" w:eastAsia="Arial" w:hAnsi="Arial"/>
                <w:sz w:val="20"/>
                <w:szCs w:val="20"/>
                <w:color w:val="auto"/>
              </w:rPr>
              <w:t>/s/ Anthony Joseph</w:t>
            </w:r>
          </w:p>
        </w:tc>
      </w:tr>
      <w:tr>
        <w:trPr>
          <w:trHeight w:val="23"/>
        </w:trPr>
        <w:tc>
          <w:tcPr>
            <w:tcW w:w="94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54"/>
        </w:trPr>
        <w:tc>
          <w:tcPr>
            <w:tcW w:w="940" w:type="dxa"/>
            <w:vAlign w:val="bottom"/>
          </w:tcPr>
          <w:p>
            <w:pPr>
              <w:spacing w:after="0"/>
              <w:rPr>
                <w:sz w:val="22"/>
                <w:szCs w:val="22"/>
                <w:color w:val="auto"/>
              </w:rPr>
            </w:pPr>
          </w:p>
        </w:tc>
        <w:tc>
          <w:tcPr>
            <w:tcW w:w="5040" w:type="dxa"/>
            <w:vAlign w:val="bottom"/>
          </w:tcPr>
          <w:p>
            <w:pPr>
              <w:ind w:left="20"/>
              <w:spacing w:after="0"/>
              <w:rPr>
                <w:sz w:val="20"/>
                <w:szCs w:val="20"/>
                <w:color w:val="auto"/>
              </w:rPr>
            </w:pPr>
            <w:r>
              <w:rPr>
                <w:rFonts w:ascii="Arial" w:cs="Arial" w:eastAsia="Arial" w:hAnsi="Arial"/>
                <w:sz w:val="20"/>
                <w:szCs w:val="20"/>
                <w:color w:val="auto"/>
              </w:rPr>
              <w:t>Name: Anthony Joseph</w:t>
            </w:r>
          </w:p>
        </w:tc>
      </w:tr>
      <w:tr>
        <w:trPr>
          <w:trHeight w:val="283"/>
        </w:trPr>
        <w:tc>
          <w:tcPr>
            <w:tcW w:w="94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20"/>
                <w:szCs w:val="20"/>
                <w:color w:val="auto"/>
              </w:rPr>
              <w:t>Title: Associate Director</w:t>
            </w:r>
          </w:p>
        </w:tc>
      </w:tr>
      <w:tr>
        <w:trPr>
          <w:trHeight w:val="554"/>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040" w:type="dxa"/>
            <w:vAlign w:val="bottom"/>
          </w:tcPr>
          <w:p>
            <w:pPr>
              <w:ind w:left="20"/>
              <w:spacing w:after="0"/>
              <w:rPr>
                <w:sz w:val="20"/>
                <w:szCs w:val="20"/>
                <w:color w:val="auto"/>
              </w:rPr>
            </w:pPr>
            <w:r>
              <w:rPr>
                <w:rFonts w:ascii="Arial" w:cs="Arial" w:eastAsia="Arial" w:hAnsi="Arial"/>
                <w:sz w:val="20"/>
                <w:szCs w:val="20"/>
                <w:color w:val="auto"/>
              </w:rPr>
              <w:t>/s/ Houssem Daly</w:t>
            </w:r>
          </w:p>
        </w:tc>
      </w:tr>
      <w:tr>
        <w:trPr>
          <w:trHeight w:val="23"/>
        </w:trPr>
        <w:tc>
          <w:tcPr>
            <w:tcW w:w="94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54"/>
        </w:trPr>
        <w:tc>
          <w:tcPr>
            <w:tcW w:w="940" w:type="dxa"/>
            <w:vAlign w:val="bottom"/>
          </w:tcPr>
          <w:p>
            <w:pPr>
              <w:spacing w:after="0"/>
              <w:rPr>
                <w:sz w:val="22"/>
                <w:szCs w:val="22"/>
                <w:color w:val="auto"/>
              </w:rPr>
            </w:pPr>
          </w:p>
        </w:tc>
        <w:tc>
          <w:tcPr>
            <w:tcW w:w="5040" w:type="dxa"/>
            <w:vAlign w:val="bottom"/>
          </w:tcPr>
          <w:p>
            <w:pPr>
              <w:ind w:left="20"/>
              <w:spacing w:after="0"/>
              <w:rPr>
                <w:sz w:val="20"/>
                <w:szCs w:val="20"/>
                <w:color w:val="auto"/>
              </w:rPr>
            </w:pPr>
            <w:r>
              <w:rPr>
                <w:rFonts w:ascii="Arial" w:cs="Arial" w:eastAsia="Arial" w:hAnsi="Arial"/>
                <w:sz w:val="20"/>
                <w:szCs w:val="20"/>
                <w:color w:val="auto"/>
              </w:rPr>
              <w:t>Name: Houssem Daly</w:t>
            </w:r>
          </w:p>
        </w:tc>
      </w:tr>
      <w:tr>
        <w:trPr>
          <w:trHeight w:val="283"/>
        </w:trPr>
        <w:tc>
          <w:tcPr>
            <w:tcW w:w="94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20"/>
                <w:szCs w:val="20"/>
                <w:color w:val="auto"/>
              </w:rPr>
              <w:t>Title: Associate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9900"/>
          </w:cols>
          <w:pgMar w:left="1440" w:top="1440" w:right="559" w:bottom="1440" w:gutter="0" w:footer="0" w:header="0"/>
        </w:sectPr>
      </w:pPr>
    </w:p>
    <w:bookmarkStart w:id="35" w:name="page36"/>
    <w:bookmarkEnd w:id="35"/>
    <w:p>
      <w:pPr>
        <w:spacing w:after="0" w:line="270" w:lineRule="exact"/>
        <w:rPr>
          <w:sz w:val="20"/>
          <w:szCs w:val="20"/>
          <w:color w:val="auto"/>
        </w:rPr>
      </w:pPr>
    </w:p>
    <w:p>
      <w:pPr>
        <w:ind w:left="3920" w:right="60"/>
        <w:spacing w:after="0" w:line="267" w:lineRule="auto"/>
        <w:rPr>
          <w:sz w:val="20"/>
          <w:szCs w:val="20"/>
          <w:color w:val="auto"/>
        </w:rPr>
      </w:pPr>
      <w:r>
        <w:rPr>
          <w:rFonts w:ascii="Arial" w:cs="Arial" w:eastAsia="Arial" w:hAnsi="Arial"/>
          <w:sz w:val="20"/>
          <w:szCs w:val="20"/>
          <w:b w:val="1"/>
          <w:bCs w:val="1"/>
          <w:color w:val="auto"/>
        </w:rPr>
        <w:t>WELLS FARGO BANK, NATIONAL ASSOCIATION</w:t>
      </w:r>
      <w:r>
        <w:rPr>
          <w:rFonts w:ascii="Arial" w:cs="Arial" w:eastAsia="Arial" w:hAnsi="Arial"/>
          <w:sz w:val="20"/>
          <w:szCs w:val="20"/>
          <w:color w:val="auto"/>
        </w:rPr>
        <w:t>, as a Revolving</w:t>
      </w:r>
      <w:r>
        <w:rPr>
          <w:rFonts w:ascii="Arial" w:cs="Arial" w:eastAsia="Arial" w:hAnsi="Arial"/>
          <w:sz w:val="20"/>
          <w:szCs w:val="20"/>
          <w:b w:val="1"/>
          <w:bCs w:val="1"/>
          <w:color w:val="auto"/>
        </w:rPr>
        <w:t xml:space="preserve"> </w:t>
      </w:r>
      <w:r>
        <w:rPr>
          <w:rFonts w:ascii="Arial" w:cs="Arial" w:eastAsia="Arial" w:hAnsi="Arial"/>
          <w:sz w:val="20"/>
          <w:szCs w:val="20"/>
          <w:color w:val="auto"/>
        </w:rPr>
        <w:t>Credit Lender</w:t>
      </w:r>
    </w:p>
    <w:p>
      <w:pPr>
        <w:spacing w:after="0" w:line="277" w:lineRule="exact"/>
        <w:rPr>
          <w:sz w:val="20"/>
          <w:szCs w:val="20"/>
          <w:color w:val="auto"/>
        </w:rPr>
      </w:pPr>
    </w:p>
    <w:tbl>
      <w:tblPr>
        <w:tblLayout w:type="fixed"/>
        <w:tblInd w:w="3920" w:type="dxa"/>
        <w:tblCellMar>
          <w:top w:w="0" w:type="dxa"/>
          <w:left w:w="0" w:type="dxa"/>
          <w:bottom w:w="0" w:type="dxa"/>
          <w:right w:w="0" w:type="dxa"/>
        </w:tblCellMar>
      </w:tblPr>
      <w:tr>
        <w:trPr>
          <w:trHeight w:val="250"/>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040" w:type="dxa"/>
            <w:vAlign w:val="bottom"/>
          </w:tcPr>
          <w:p>
            <w:pPr>
              <w:ind w:left="20"/>
              <w:spacing w:after="0"/>
              <w:rPr>
                <w:sz w:val="20"/>
                <w:szCs w:val="20"/>
                <w:color w:val="auto"/>
              </w:rPr>
            </w:pPr>
            <w:r>
              <w:rPr>
                <w:rFonts w:ascii="Arial" w:cs="Arial" w:eastAsia="Arial" w:hAnsi="Arial"/>
                <w:sz w:val="20"/>
                <w:szCs w:val="20"/>
                <w:color w:val="auto"/>
              </w:rPr>
              <w:t>/s/ Mark Holm</w:t>
            </w:r>
          </w:p>
        </w:tc>
      </w:tr>
      <w:tr>
        <w:trPr>
          <w:trHeight w:val="23"/>
        </w:trPr>
        <w:tc>
          <w:tcPr>
            <w:tcW w:w="94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54"/>
        </w:trPr>
        <w:tc>
          <w:tcPr>
            <w:tcW w:w="940" w:type="dxa"/>
            <w:vAlign w:val="bottom"/>
          </w:tcPr>
          <w:p>
            <w:pPr>
              <w:spacing w:after="0"/>
              <w:rPr>
                <w:sz w:val="22"/>
                <w:szCs w:val="22"/>
                <w:color w:val="auto"/>
              </w:rPr>
            </w:pPr>
          </w:p>
        </w:tc>
        <w:tc>
          <w:tcPr>
            <w:tcW w:w="5040" w:type="dxa"/>
            <w:vAlign w:val="bottom"/>
          </w:tcPr>
          <w:p>
            <w:pPr>
              <w:ind w:left="20"/>
              <w:spacing w:after="0"/>
              <w:rPr>
                <w:sz w:val="20"/>
                <w:szCs w:val="20"/>
                <w:color w:val="auto"/>
              </w:rPr>
            </w:pPr>
            <w:r>
              <w:rPr>
                <w:rFonts w:ascii="Arial" w:cs="Arial" w:eastAsia="Arial" w:hAnsi="Arial"/>
                <w:sz w:val="20"/>
                <w:szCs w:val="20"/>
                <w:color w:val="auto"/>
              </w:rPr>
              <w:t>Name: Mark Holm</w:t>
            </w:r>
          </w:p>
        </w:tc>
      </w:tr>
      <w:tr>
        <w:trPr>
          <w:trHeight w:val="283"/>
        </w:trPr>
        <w:tc>
          <w:tcPr>
            <w:tcW w:w="94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20"/>
                <w:szCs w:val="20"/>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9900"/>
          </w:cols>
          <w:pgMar w:left="1440" w:top="1440" w:right="559" w:bottom="1440" w:gutter="0" w:footer="0" w:header="0"/>
        </w:sectPr>
      </w:pPr>
    </w:p>
    <w:bookmarkStart w:id="36" w:name="page37"/>
    <w:bookmarkEnd w:id="36"/>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20"/>
          <w:szCs w:val="20"/>
          <w:u w:val="single" w:color="auto"/>
          <w:color w:val="auto"/>
        </w:rPr>
        <w:t>Schedule I</w:t>
      </w: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2021 Refinancing Term Commitments</w:t>
      </w: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6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5480" w:type="dxa"/>
            <w:vAlign w:val="bottom"/>
            <w:tcBorders>
              <w:top w:val="single" w:sz="8" w:color="auto"/>
              <w:bottom w:val="single" w:sz="8" w:color="auto"/>
            </w:tcBorders>
          </w:tcPr>
          <w:p>
            <w:pPr>
              <w:spacing w:after="0"/>
              <w:rPr>
                <w:sz w:val="3"/>
                <w:szCs w:val="3"/>
                <w:color w:val="auto"/>
              </w:rPr>
            </w:pPr>
          </w:p>
        </w:tc>
        <w:tc>
          <w:tcPr>
            <w:tcW w:w="5520" w:type="dxa"/>
            <w:vAlign w:val="bottom"/>
            <w:tcBorders>
              <w:top w:val="single" w:sz="8" w:color="auto"/>
              <w:bottom w:val="single" w:sz="8" w:color="auto"/>
              <w:right w:val="single" w:sz="8" w:color="auto"/>
            </w:tcBorders>
          </w:tcPr>
          <w:p>
            <w:pPr>
              <w:spacing w:after="0"/>
              <w:rPr>
                <w:sz w:val="3"/>
                <w:szCs w:val="3"/>
                <w:color w:val="auto"/>
              </w:rPr>
            </w:pPr>
          </w:p>
        </w:tc>
      </w:tr>
      <w:tr>
        <w:trPr>
          <w:trHeight w:val="303"/>
        </w:trPr>
        <w:tc>
          <w:tcPr>
            <w:tcW w:w="60" w:type="dxa"/>
            <w:vAlign w:val="bottom"/>
            <w:tcBorders>
              <w:left w:val="single" w:sz="8" w:color="auto"/>
              <w:bottom w:val="single" w:sz="8" w:color="BFBFBF"/>
              <w:right w:val="single" w:sz="8" w:color="auto"/>
            </w:tcBorders>
            <w:shd w:val="clear" w:color="auto" w:fill="BFBFBF"/>
          </w:tcPr>
          <w:p>
            <w:pPr>
              <w:spacing w:after="0"/>
              <w:rPr>
                <w:sz w:val="24"/>
                <w:szCs w:val="24"/>
                <w:color w:val="auto"/>
              </w:rPr>
            </w:pPr>
          </w:p>
        </w:tc>
        <w:tc>
          <w:tcPr>
            <w:tcW w:w="548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color w:val="auto"/>
                <w:w w:val="90"/>
              </w:rPr>
              <w:t>2021 Refinancing Term Lender</w:t>
            </w:r>
          </w:p>
        </w:tc>
        <w:tc>
          <w:tcPr>
            <w:tcW w:w="552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0"/>
                <w:szCs w:val="20"/>
                <w:color w:val="auto"/>
                <w:w w:val="90"/>
              </w:rPr>
              <w:t>2021 Refinancing Term Commitments</w:t>
            </w:r>
          </w:p>
        </w:tc>
      </w:tr>
      <w:tr>
        <w:trPr>
          <w:trHeight w:val="20"/>
        </w:trPr>
        <w:tc>
          <w:tcPr>
            <w:tcW w:w="60" w:type="dxa"/>
            <w:vAlign w:val="bottom"/>
            <w:tcBorders>
              <w:top w:val="single" w:sz="8" w:color="auto"/>
              <w:left w:val="single" w:sz="8" w:color="auto"/>
              <w:bottom w:val="single" w:sz="8" w:color="auto"/>
              <w:right w:val="single" w:sz="8" w:color="auto"/>
            </w:tcBorders>
          </w:tcPr>
          <w:p>
            <w:pPr>
              <w:spacing w:after="0" w:line="20" w:lineRule="exact"/>
              <w:rPr>
                <w:sz w:val="1"/>
                <w:szCs w:val="1"/>
                <w:color w:val="auto"/>
              </w:rPr>
            </w:pPr>
          </w:p>
        </w:tc>
        <w:tc>
          <w:tcPr>
            <w:tcW w:w="5480" w:type="dxa"/>
            <w:vAlign w:val="bottom"/>
            <w:tcBorders>
              <w:top w:val="single" w:sz="8" w:color="auto"/>
              <w:bottom w:val="single" w:sz="8" w:color="auto"/>
            </w:tcBorders>
          </w:tcPr>
          <w:p>
            <w:pPr>
              <w:spacing w:after="0" w:line="20" w:lineRule="exact"/>
              <w:rPr>
                <w:sz w:val="1"/>
                <w:szCs w:val="1"/>
                <w:color w:val="auto"/>
              </w:rPr>
            </w:pPr>
          </w:p>
        </w:tc>
        <w:tc>
          <w:tcPr>
            <w:tcW w:w="5520" w:type="dxa"/>
            <w:vAlign w:val="bottom"/>
            <w:tcBorders>
              <w:top w:val="single" w:sz="8" w:color="auto"/>
              <w:bottom w:val="single" w:sz="8" w:color="auto"/>
              <w:right w:val="single" w:sz="8" w:color="auto"/>
            </w:tcBorders>
          </w:tcPr>
          <w:p>
            <w:pPr>
              <w:spacing w:after="0" w:line="20" w:lineRule="exact"/>
              <w:rPr>
                <w:sz w:val="1"/>
                <w:szCs w:val="1"/>
                <w:color w:val="auto"/>
              </w:rPr>
            </w:pPr>
          </w:p>
        </w:tc>
      </w:tr>
      <w:tr>
        <w:trPr>
          <w:trHeight w:val="235"/>
        </w:trPr>
        <w:tc>
          <w:tcPr>
            <w:tcW w:w="60" w:type="dxa"/>
            <w:vAlign w:val="bottom"/>
            <w:tcBorders>
              <w:left w:val="single" w:sz="8" w:color="auto"/>
              <w:right w:val="single" w:sz="8" w:color="auto"/>
            </w:tcBorders>
          </w:tcPr>
          <w:p>
            <w:pPr>
              <w:spacing w:after="0"/>
              <w:rPr>
                <w:sz w:val="20"/>
                <w:szCs w:val="20"/>
                <w:color w:val="auto"/>
              </w:rPr>
            </w:pPr>
          </w:p>
        </w:tc>
        <w:tc>
          <w:tcPr>
            <w:tcW w:w="5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Credit Suisse AG, Cayman Islands Branch</w:t>
            </w:r>
          </w:p>
        </w:tc>
        <w:tc>
          <w:tcPr>
            <w:tcW w:w="5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$636,200,000</w:t>
            </w:r>
          </w:p>
        </w:tc>
      </w:tr>
      <w:tr>
        <w:trPr>
          <w:trHeight w:val="23"/>
        </w:trPr>
        <w:tc>
          <w:tcPr>
            <w:tcW w:w="60" w:type="dxa"/>
            <w:vAlign w:val="bottom"/>
            <w:tcBorders>
              <w:left w:val="single" w:sz="8" w:color="auto"/>
              <w:right w:val="single" w:sz="8" w:color="auto"/>
            </w:tcBorders>
          </w:tcPr>
          <w:p>
            <w:pPr>
              <w:spacing w:after="0"/>
              <w:rPr>
                <w:sz w:val="2"/>
                <w:szCs w:val="2"/>
                <w:color w:val="auto"/>
              </w:rPr>
            </w:pPr>
          </w:p>
        </w:tc>
        <w:tc>
          <w:tcPr>
            <w:tcW w:w="5480" w:type="dxa"/>
            <w:vAlign w:val="bottom"/>
            <w:tcBorders>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470"/>
        </w:trPr>
        <w:tc>
          <w:tcPr>
            <w:tcW w:w="60" w:type="dxa"/>
            <w:vAlign w:val="bottom"/>
            <w:tcBorders>
              <w:left w:val="single" w:sz="8" w:color="auto"/>
              <w:right w:val="single" w:sz="8" w:color="auto"/>
            </w:tcBorders>
          </w:tcPr>
          <w:p>
            <w:pPr>
              <w:spacing w:after="0"/>
              <w:rPr>
                <w:sz w:val="24"/>
                <w:szCs w:val="24"/>
                <w:color w:val="auto"/>
              </w:rPr>
            </w:pPr>
          </w:p>
        </w:tc>
        <w:tc>
          <w:tcPr>
            <w:tcW w:w="54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Total</w:t>
            </w:r>
          </w:p>
        </w:tc>
        <w:tc>
          <w:tcPr>
            <w:tcW w:w="5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w:t>
            </w:r>
            <w:r>
              <w:rPr>
                <w:rFonts w:ascii="Arial" w:cs="Arial" w:eastAsia="Arial" w:hAnsi="Arial"/>
                <w:sz w:val="20"/>
                <w:szCs w:val="20"/>
                <w:b w:val="1"/>
                <w:bCs w:val="1"/>
                <w:color w:val="auto"/>
                <w:w w:val="89"/>
              </w:rPr>
              <w:t>636,200,000</w:t>
            </w:r>
          </w:p>
        </w:tc>
      </w:tr>
      <w:tr>
        <w:trPr>
          <w:trHeight w:val="239"/>
        </w:trPr>
        <w:tc>
          <w:tcPr>
            <w:tcW w:w="60" w:type="dxa"/>
            <w:vAlign w:val="bottom"/>
            <w:tcBorders>
              <w:left w:val="single" w:sz="8" w:color="auto"/>
              <w:bottom w:val="single" w:sz="8" w:color="auto"/>
              <w:right w:val="single" w:sz="8" w:color="auto"/>
            </w:tcBorders>
          </w:tcPr>
          <w:p>
            <w:pPr>
              <w:spacing w:after="0"/>
              <w:rPr>
                <w:sz w:val="20"/>
                <w:szCs w:val="20"/>
                <w:color w:val="auto"/>
              </w:rPr>
            </w:pPr>
          </w:p>
        </w:tc>
        <w:tc>
          <w:tcPr>
            <w:tcW w:w="5480" w:type="dxa"/>
            <w:vAlign w:val="bottom"/>
            <w:tcBorders>
              <w:bottom w:val="single" w:sz="8" w:color="auto"/>
              <w:right w:val="single" w:sz="8" w:color="auto"/>
            </w:tcBorders>
          </w:tcPr>
          <w:p>
            <w:pPr>
              <w:spacing w:after="0"/>
              <w:rPr>
                <w:sz w:val="20"/>
                <w:szCs w:val="20"/>
                <w:color w:val="auto"/>
              </w:rPr>
            </w:pPr>
          </w:p>
        </w:tc>
        <w:tc>
          <w:tcPr>
            <w:tcW w:w="5520" w:type="dxa"/>
            <w:vAlign w:val="bottom"/>
            <w:tcBorders>
              <w:bottom w:val="single" w:sz="8" w:color="auto"/>
              <w:right w:val="single" w:sz="8" w:color="auto"/>
            </w:tcBorders>
          </w:tcPr>
          <w:p>
            <w:pPr>
              <w:spacing w:after="0"/>
              <w:rPr>
                <w:sz w:val="20"/>
                <w:szCs w:val="20"/>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 Page to Amendment No. 2]</w:t>
      </w:r>
    </w:p>
    <w:p>
      <w:pPr>
        <w:sectPr>
          <w:pgSz w:w="11900" w:h="16838" w:orient="portrait"/>
          <w:cols w:equalWidth="0" w:num="1">
            <w:col w:w="11060"/>
          </w:cols>
          <w:pgMar w:left="300" w:top="1440" w:right="539" w:bottom="1440" w:gutter="0" w:footer="0" w:header="0"/>
        </w:sectPr>
      </w:pPr>
    </w:p>
    <w:bookmarkStart w:id="37" w:name="page38"/>
    <w:bookmarkEnd w:id="37"/>
    <w:tbl>
      <w:tblPr>
        <w:tblLayout w:type="fixed"/>
        <w:tblInd w:w="10" w:type="dxa"/>
        <w:tblCellMar>
          <w:top w:w="0" w:type="dxa"/>
          <w:left w:w="0" w:type="dxa"/>
          <w:bottom w:w="0" w:type="dxa"/>
          <w:right w:w="0" w:type="dxa"/>
        </w:tblCellMar>
      </w:tblPr>
      <w:tr>
        <w:trPr>
          <w:trHeight w:val="230"/>
        </w:trPr>
        <w:tc>
          <w:tcPr>
            <w:tcW w:w="14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780" w:type="dxa"/>
            <w:vAlign w:val="bottom"/>
            <w:gridSpan w:val="5"/>
          </w:tcPr>
          <w:p>
            <w:pPr>
              <w:spacing w:after="0"/>
              <w:rPr>
                <w:sz w:val="20"/>
                <w:szCs w:val="20"/>
                <w:color w:val="auto"/>
              </w:rPr>
            </w:pPr>
            <w:r>
              <w:rPr>
                <w:rFonts w:ascii="Arial" w:cs="Arial" w:eastAsia="Arial" w:hAnsi="Arial"/>
                <w:sz w:val="20"/>
                <w:szCs w:val="20"/>
                <w:color w:val="auto"/>
              </w:rPr>
              <w:t>Annex A</w:t>
            </w:r>
          </w:p>
        </w:tc>
      </w:tr>
      <w:tr>
        <w:trPr>
          <w:trHeight w:val="723"/>
        </w:trPr>
        <w:tc>
          <w:tcPr>
            <w:tcW w:w="14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r>
      <w:tr>
        <w:trPr>
          <w:trHeight w:val="209"/>
        </w:trPr>
        <w:tc>
          <w:tcPr>
            <w:tcW w:w="1480" w:type="dxa"/>
            <w:vAlign w:val="bottom"/>
            <w:tcBorders>
              <w:left w:val="single" w:sz="8" w:color="auto"/>
            </w:tcBorders>
          </w:tcPr>
          <w:p>
            <w:pPr>
              <w:spacing w:after="0"/>
              <w:rPr>
                <w:sz w:val="18"/>
                <w:szCs w:val="18"/>
                <w:color w:val="auto"/>
              </w:rPr>
            </w:pPr>
          </w:p>
        </w:tc>
        <w:tc>
          <w:tcPr>
            <w:tcW w:w="3780" w:type="dxa"/>
            <w:vAlign w:val="bottom"/>
            <w:gridSpan w:val="2"/>
          </w:tcPr>
          <w:p>
            <w:pPr>
              <w:spacing w:after="0" w:line="209" w:lineRule="exact"/>
              <w:rPr>
                <w:sz w:val="20"/>
                <w:szCs w:val="20"/>
                <w:color w:val="auto"/>
              </w:rPr>
            </w:pPr>
            <w:r>
              <w:rPr>
                <w:rFonts w:ascii="Arial" w:cs="Arial" w:eastAsia="Arial" w:hAnsi="Arial"/>
                <w:sz w:val="20"/>
                <w:szCs w:val="20"/>
                <w:color w:val="auto"/>
              </w:rPr>
              <w:t>2021 Refinancing Term Loans</w:t>
            </w:r>
          </w:p>
        </w:tc>
        <w:tc>
          <w:tcPr>
            <w:tcW w:w="1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5060" w:type="dxa"/>
            <w:vAlign w:val="bottom"/>
            <w:tcBorders>
              <w:right w:val="single" w:sz="8" w:color="auto"/>
            </w:tcBorders>
            <w:gridSpan w:val="3"/>
          </w:tcPr>
          <w:p>
            <w:pPr>
              <w:ind w:left="1800"/>
              <w:spacing w:after="0" w:line="209" w:lineRule="exact"/>
              <w:rPr>
                <w:sz w:val="20"/>
                <w:szCs w:val="20"/>
                <w:color w:val="auto"/>
              </w:rPr>
            </w:pPr>
            <w:r>
              <w:rPr>
                <w:rFonts w:ascii="Arial" w:cs="Arial" w:eastAsia="Arial" w:hAnsi="Arial"/>
                <w:sz w:val="20"/>
                <w:szCs w:val="20"/>
                <w:color w:val="auto"/>
              </w:rPr>
              <w:t>Titles/Roles</w:t>
            </w:r>
          </w:p>
        </w:tc>
      </w:tr>
      <w:tr>
        <w:trPr>
          <w:trHeight w:val="48"/>
        </w:trPr>
        <w:tc>
          <w:tcPr>
            <w:tcW w:w="1480" w:type="dxa"/>
            <w:vAlign w:val="bottom"/>
            <w:tcBorders>
              <w:left w:val="single" w:sz="8" w:color="auto"/>
              <w:bottom w:val="single" w:sz="8" w:color="auto"/>
            </w:tcBorders>
          </w:tcPr>
          <w:p>
            <w:pPr>
              <w:spacing w:after="0"/>
              <w:rPr>
                <w:sz w:val="4"/>
                <w:szCs w:val="4"/>
                <w:color w:val="auto"/>
              </w:rPr>
            </w:pPr>
          </w:p>
        </w:tc>
        <w:tc>
          <w:tcPr>
            <w:tcW w:w="2400" w:type="dxa"/>
            <w:vAlign w:val="bottom"/>
            <w:tcBorders>
              <w:top w:val="single" w:sz="8" w:color="auto"/>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960" w:type="dxa"/>
            <w:vAlign w:val="bottom"/>
            <w:tcBorders>
              <w:top w:val="single" w:sz="8" w:color="auto"/>
              <w:bottom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r>
      <w:tr>
        <w:trPr>
          <w:trHeight w:val="254"/>
        </w:trPr>
        <w:tc>
          <w:tcPr>
            <w:tcW w:w="5260" w:type="dxa"/>
            <w:vAlign w:val="bottom"/>
            <w:tcBorders>
              <w:left w:val="single" w:sz="8" w:color="auto"/>
            </w:tcBorders>
            <w:gridSpan w:val="3"/>
          </w:tcPr>
          <w:p>
            <w:pPr>
              <w:ind w:left="40"/>
              <w:spacing w:after="0"/>
              <w:rPr>
                <w:sz w:val="20"/>
                <w:szCs w:val="20"/>
                <w:color w:val="auto"/>
              </w:rPr>
            </w:pPr>
            <w:r>
              <w:rPr>
                <w:rFonts w:ascii="Arial" w:cs="Arial" w:eastAsia="Arial" w:hAnsi="Arial"/>
                <w:sz w:val="20"/>
                <w:szCs w:val="20"/>
                <w:color w:val="auto"/>
              </w:rPr>
              <w:t>Credit Suisse AG, Cayman Islands Branch</w:t>
            </w:r>
          </w:p>
        </w:tc>
        <w:tc>
          <w:tcPr>
            <w:tcW w:w="100" w:type="dxa"/>
            <w:vAlign w:val="bottom"/>
            <w:tcBorders>
              <w:righ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5060" w:type="dxa"/>
            <w:vAlign w:val="bottom"/>
            <w:tcBorders>
              <w:right w:val="single" w:sz="8" w:color="auto"/>
            </w:tcBorders>
            <w:gridSpan w:val="3"/>
          </w:tcPr>
          <w:p>
            <w:pPr>
              <w:ind w:left="1520"/>
              <w:spacing w:after="0"/>
              <w:rPr>
                <w:sz w:val="20"/>
                <w:szCs w:val="20"/>
                <w:color w:val="auto"/>
              </w:rPr>
            </w:pPr>
            <w:r>
              <w:rPr>
                <w:rFonts w:ascii="Arial" w:cs="Arial" w:eastAsia="Arial" w:hAnsi="Arial"/>
                <w:sz w:val="20"/>
                <w:szCs w:val="20"/>
                <w:color w:val="auto"/>
              </w:rPr>
              <w:t>Joint Bookrunner</w:t>
            </w:r>
          </w:p>
        </w:tc>
      </w:tr>
      <w:tr>
        <w:trPr>
          <w:trHeight w:val="23"/>
        </w:trPr>
        <w:tc>
          <w:tcPr>
            <w:tcW w:w="1480" w:type="dxa"/>
            <w:vAlign w:val="bottom"/>
            <w:tcBorders>
              <w:left w:val="single" w:sz="8" w:color="auto"/>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54"/>
        </w:trPr>
        <w:tc>
          <w:tcPr>
            <w:tcW w:w="5260" w:type="dxa"/>
            <w:vAlign w:val="bottom"/>
            <w:tcBorders>
              <w:left w:val="single" w:sz="8" w:color="auto"/>
            </w:tcBorders>
            <w:gridSpan w:val="3"/>
          </w:tcPr>
          <w:p>
            <w:pPr>
              <w:ind w:left="20"/>
              <w:spacing w:after="0"/>
              <w:rPr>
                <w:sz w:val="20"/>
                <w:szCs w:val="20"/>
                <w:color w:val="auto"/>
              </w:rPr>
            </w:pPr>
            <w:r>
              <w:rPr>
                <w:rFonts w:ascii="Arial" w:cs="Arial" w:eastAsia="Arial" w:hAnsi="Arial"/>
                <w:sz w:val="20"/>
                <w:szCs w:val="20"/>
                <w:color w:val="auto"/>
              </w:rPr>
              <w:t>BOFA Securities, Inc.</w:t>
            </w:r>
          </w:p>
        </w:tc>
        <w:tc>
          <w:tcPr>
            <w:tcW w:w="100" w:type="dxa"/>
            <w:vAlign w:val="bottom"/>
            <w:tcBorders>
              <w:righ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5060" w:type="dxa"/>
            <w:vAlign w:val="bottom"/>
            <w:tcBorders>
              <w:right w:val="single" w:sz="8" w:color="auto"/>
            </w:tcBorders>
            <w:gridSpan w:val="3"/>
          </w:tcPr>
          <w:p>
            <w:pPr>
              <w:ind w:left="1520"/>
              <w:spacing w:after="0"/>
              <w:rPr>
                <w:sz w:val="20"/>
                <w:szCs w:val="20"/>
                <w:color w:val="auto"/>
              </w:rPr>
            </w:pPr>
            <w:r>
              <w:rPr>
                <w:rFonts w:ascii="Arial" w:cs="Arial" w:eastAsia="Arial" w:hAnsi="Arial"/>
                <w:sz w:val="20"/>
                <w:szCs w:val="20"/>
                <w:color w:val="auto"/>
              </w:rPr>
              <w:t>Joint Bookrunner</w:t>
            </w:r>
          </w:p>
        </w:tc>
      </w:tr>
      <w:tr>
        <w:trPr>
          <w:trHeight w:val="23"/>
        </w:trPr>
        <w:tc>
          <w:tcPr>
            <w:tcW w:w="1480" w:type="dxa"/>
            <w:vAlign w:val="bottom"/>
            <w:tcBorders>
              <w:left w:val="single" w:sz="8" w:color="auto"/>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54"/>
        </w:trPr>
        <w:tc>
          <w:tcPr>
            <w:tcW w:w="5260" w:type="dxa"/>
            <w:vAlign w:val="bottom"/>
            <w:tcBorders>
              <w:left w:val="single" w:sz="8" w:color="auto"/>
            </w:tcBorders>
            <w:gridSpan w:val="3"/>
          </w:tcPr>
          <w:p>
            <w:pPr>
              <w:ind w:left="20"/>
              <w:spacing w:after="0"/>
              <w:rPr>
                <w:sz w:val="20"/>
                <w:szCs w:val="20"/>
                <w:color w:val="auto"/>
              </w:rPr>
            </w:pPr>
            <w:r>
              <w:rPr>
                <w:rFonts w:ascii="Arial" w:cs="Arial" w:eastAsia="Arial" w:hAnsi="Arial"/>
                <w:sz w:val="20"/>
                <w:szCs w:val="20"/>
                <w:color w:val="auto"/>
              </w:rPr>
              <w:t>Morgan Stanley Senior Funding, Inc.</w:t>
            </w:r>
          </w:p>
        </w:tc>
        <w:tc>
          <w:tcPr>
            <w:tcW w:w="100" w:type="dxa"/>
            <w:vAlign w:val="bottom"/>
            <w:tcBorders>
              <w:righ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5060" w:type="dxa"/>
            <w:vAlign w:val="bottom"/>
            <w:tcBorders>
              <w:right w:val="single" w:sz="8" w:color="auto"/>
            </w:tcBorders>
            <w:gridSpan w:val="3"/>
          </w:tcPr>
          <w:p>
            <w:pPr>
              <w:ind w:left="1520"/>
              <w:spacing w:after="0"/>
              <w:rPr>
                <w:sz w:val="20"/>
                <w:szCs w:val="20"/>
                <w:color w:val="auto"/>
              </w:rPr>
            </w:pPr>
            <w:r>
              <w:rPr>
                <w:rFonts w:ascii="Arial" w:cs="Arial" w:eastAsia="Arial" w:hAnsi="Arial"/>
                <w:sz w:val="20"/>
                <w:szCs w:val="20"/>
                <w:color w:val="auto"/>
              </w:rPr>
              <w:t>Joint Bookrunner</w:t>
            </w:r>
          </w:p>
        </w:tc>
      </w:tr>
      <w:tr>
        <w:trPr>
          <w:trHeight w:val="23"/>
        </w:trPr>
        <w:tc>
          <w:tcPr>
            <w:tcW w:w="1480" w:type="dxa"/>
            <w:vAlign w:val="bottom"/>
            <w:tcBorders>
              <w:left w:val="single" w:sz="8" w:color="auto"/>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54"/>
        </w:trPr>
        <w:tc>
          <w:tcPr>
            <w:tcW w:w="5260" w:type="dxa"/>
            <w:vAlign w:val="bottom"/>
            <w:tcBorders>
              <w:left w:val="single" w:sz="8" w:color="auto"/>
            </w:tcBorders>
            <w:gridSpan w:val="3"/>
          </w:tcPr>
          <w:p>
            <w:pPr>
              <w:ind w:left="20"/>
              <w:spacing w:after="0"/>
              <w:rPr>
                <w:sz w:val="20"/>
                <w:szCs w:val="20"/>
                <w:color w:val="auto"/>
              </w:rPr>
            </w:pPr>
            <w:r>
              <w:rPr>
                <w:rFonts w:ascii="Arial" w:cs="Arial" w:eastAsia="Arial" w:hAnsi="Arial"/>
                <w:sz w:val="20"/>
                <w:szCs w:val="20"/>
                <w:color w:val="auto"/>
              </w:rPr>
              <w:t>Barclays Bank PLC</w:t>
            </w:r>
          </w:p>
        </w:tc>
        <w:tc>
          <w:tcPr>
            <w:tcW w:w="100" w:type="dxa"/>
            <w:vAlign w:val="bottom"/>
            <w:tcBorders>
              <w:righ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5060" w:type="dxa"/>
            <w:vAlign w:val="bottom"/>
            <w:tcBorders>
              <w:right w:val="single" w:sz="8" w:color="auto"/>
            </w:tcBorders>
            <w:gridSpan w:val="3"/>
          </w:tcPr>
          <w:p>
            <w:pPr>
              <w:ind w:left="1520"/>
              <w:spacing w:after="0"/>
              <w:rPr>
                <w:sz w:val="20"/>
                <w:szCs w:val="20"/>
                <w:color w:val="auto"/>
              </w:rPr>
            </w:pPr>
            <w:r>
              <w:rPr>
                <w:rFonts w:ascii="Arial" w:cs="Arial" w:eastAsia="Arial" w:hAnsi="Arial"/>
                <w:sz w:val="20"/>
                <w:szCs w:val="20"/>
                <w:color w:val="auto"/>
              </w:rPr>
              <w:t>Joint Bookrunner</w:t>
            </w:r>
          </w:p>
        </w:tc>
      </w:tr>
      <w:tr>
        <w:trPr>
          <w:trHeight w:val="23"/>
        </w:trPr>
        <w:tc>
          <w:tcPr>
            <w:tcW w:w="1480" w:type="dxa"/>
            <w:vAlign w:val="bottom"/>
            <w:tcBorders>
              <w:left w:val="single" w:sz="8" w:color="auto"/>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54"/>
        </w:trPr>
        <w:tc>
          <w:tcPr>
            <w:tcW w:w="5260" w:type="dxa"/>
            <w:vAlign w:val="bottom"/>
            <w:tcBorders>
              <w:left w:val="single" w:sz="8" w:color="auto"/>
            </w:tcBorders>
            <w:gridSpan w:val="3"/>
          </w:tcPr>
          <w:p>
            <w:pPr>
              <w:ind w:left="20"/>
              <w:spacing w:after="0"/>
              <w:rPr>
                <w:sz w:val="20"/>
                <w:szCs w:val="20"/>
                <w:color w:val="auto"/>
              </w:rPr>
            </w:pPr>
            <w:r>
              <w:rPr>
                <w:rFonts w:ascii="Arial" w:cs="Arial" w:eastAsia="Arial" w:hAnsi="Arial"/>
                <w:sz w:val="20"/>
                <w:szCs w:val="20"/>
                <w:color w:val="auto"/>
              </w:rPr>
              <w:t>Citigroup Global Markets Inc.</w:t>
            </w:r>
          </w:p>
        </w:tc>
        <w:tc>
          <w:tcPr>
            <w:tcW w:w="100" w:type="dxa"/>
            <w:vAlign w:val="bottom"/>
            <w:tcBorders>
              <w:righ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5060" w:type="dxa"/>
            <w:vAlign w:val="bottom"/>
            <w:tcBorders>
              <w:right w:val="single" w:sz="8" w:color="auto"/>
            </w:tcBorders>
            <w:gridSpan w:val="3"/>
          </w:tcPr>
          <w:p>
            <w:pPr>
              <w:ind w:left="1520"/>
              <w:spacing w:after="0"/>
              <w:rPr>
                <w:sz w:val="20"/>
                <w:szCs w:val="20"/>
                <w:color w:val="auto"/>
              </w:rPr>
            </w:pPr>
            <w:r>
              <w:rPr>
                <w:rFonts w:ascii="Arial" w:cs="Arial" w:eastAsia="Arial" w:hAnsi="Arial"/>
                <w:sz w:val="20"/>
                <w:szCs w:val="20"/>
                <w:color w:val="auto"/>
              </w:rPr>
              <w:t>Joint Bookrunner</w:t>
            </w:r>
          </w:p>
        </w:tc>
      </w:tr>
      <w:tr>
        <w:trPr>
          <w:trHeight w:val="23"/>
        </w:trPr>
        <w:tc>
          <w:tcPr>
            <w:tcW w:w="1480" w:type="dxa"/>
            <w:vAlign w:val="bottom"/>
            <w:tcBorders>
              <w:left w:val="single" w:sz="8" w:color="auto"/>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54"/>
        </w:trPr>
        <w:tc>
          <w:tcPr>
            <w:tcW w:w="5260" w:type="dxa"/>
            <w:vAlign w:val="bottom"/>
            <w:tcBorders>
              <w:left w:val="single" w:sz="8" w:color="auto"/>
            </w:tcBorders>
            <w:gridSpan w:val="3"/>
          </w:tcPr>
          <w:p>
            <w:pPr>
              <w:ind w:left="20"/>
              <w:spacing w:after="0"/>
              <w:rPr>
                <w:sz w:val="20"/>
                <w:szCs w:val="20"/>
                <w:color w:val="auto"/>
              </w:rPr>
            </w:pPr>
            <w:r>
              <w:rPr>
                <w:rFonts w:ascii="Arial" w:cs="Arial" w:eastAsia="Arial" w:hAnsi="Arial"/>
                <w:sz w:val="20"/>
                <w:szCs w:val="20"/>
                <w:color w:val="auto"/>
              </w:rPr>
              <w:t>Goldman Sachs Bank USA</w:t>
            </w:r>
          </w:p>
        </w:tc>
        <w:tc>
          <w:tcPr>
            <w:tcW w:w="100" w:type="dxa"/>
            <w:vAlign w:val="bottom"/>
            <w:tcBorders>
              <w:righ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5060" w:type="dxa"/>
            <w:vAlign w:val="bottom"/>
            <w:tcBorders>
              <w:right w:val="single" w:sz="8" w:color="auto"/>
            </w:tcBorders>
            <w:gridSpan w:val="3"/>
          </w:tcPr>
          <w:p>
            <w:pPr>
              <w:ind w:left="1520"/>
              <w:spacing w:after="0"/>
              <w:rPr>
                <w:sz w:val="20"/>
                <w:szCs w:val="20"/>
                <w:color w:val="auto"/>
              </w:rPr>
            </w:pPr>
            <w:r>
              <w:rPr>
                <w:rFonts w:ascii="Arial" w:cs="Arial" w:eastAsia="Arial" w:hAnsi="Arial"/>
                <w:sz w:val="20"/>
                <w:szCs w:val="20"/>
                <w:color w:val="auto"/>
              </w:rPr>
              <w:t>Joint Bookrunner</w:t>
            </w:r>
          </w:p>
        </w:tc>
      </w:tr>
      <w:tr>
        <w:trPr>
          <w:trHeight w:val="23"/>
        </w:trPr>
        <w:tc>
          <w:tcPr>
            <w:tcW w:w="1480" w:type="dxa"/>
            <w:vAlign w:val="bottom"/>
            <w:tcBorders>
              <w:left w:val="single" w:sz="8" w:color="auto"/>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54"/>
        </w:trPr>
        <w:tc>
          <w:tcPr>
            <w:tcW w:w="5260" w:type="dxa"/>
            <w:vAlign w:val="bottom"/>
            <w:tcBorders>
              <w:left w:val="single" w:sz="8" w:color="auto"/>
            </w:tcBorders>
            <w:gridSpan w:val="3"/>
          </w:tcPr>
          <w:p>
            <w:pPr>
              <w:ind w:left="20"/>
              <w:spacing w:after="0"/>
              <w:rPr>
                <w:sz w:val="20"/>
                <w:szCs w:val="20"/>
                <w:color w:val="auto"/>
              </w:rPr>
            </w:pPr>
            <w:r>
              <w:rPr>
                <w:rFonts w:ascii="Arial" w:cs="Arial" w:eastAsia="Arial" w:hAnsi="Arial"/>
                <w:sz w:val="20"/>
                <w:szCs w:val="20"/>
                <w:color w:val="auto"/>
              </w:rPr>
              <w:t>JPMorgan Chase Bank, N.A.</w:t>
            </w:r>
          </w:p>
        </w:tc>
        <w:tc>
          <w:tcPr>
            <w:tcW w:w="100" w:type="dxa"/>
            <w:vAlign w:val="bottom"/>
            <w:tcBorders>
              <w:righ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5060" w:type="dxa"/>
            <w:vAlign w:val="bottom"/>
            <w:tcBorders>
              <w:right w:val="single" w:sz="8" w:color="auto"/>
            </w:tcBorders>
            <w:gridSpan w:val="3"/>
          </w:tcPr>
          <w:p>
            <w:pPr>
              <w:ind w:left="1520"/>
              <w:spacing w:after="0"/>
              <w:rPr>
                <w:sz w:val="20"/>
                <w:szCs w:val="20"/>
                <w:color w:val="auto"/>
              </w:rPr>
            </w:pPr>
            <w:r>
              <w:rPr>
                <w:rFonts w:ascii="Arial" w:cs="Arial" w:eastAsia="Arial" w:hAnsi="Arial"/>
                <w:sz w:val="20"/>
                <w:szCs w:val="20"/>
                <w:color w:val="auto"/>
              </w:rPr>
              <w:t>Joint Bookrunner</w:t>
            </w:r>
          </w:p>
        </w:tc>
      </w:tr>
      <w:tr>
        <w:trPr>
          <w:trHeight w:val="23"/>
        </w:trPr>
        <w:tc>
          <w:tcPr>
            <w:tcW w:w="1480" w:type="dxa"/>
            <w:vAlign w:val="bottom"/>
            <w:tcBorders>
              <w:left w:val="single" w:sz="8" w:color="auto"/>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54"/>
        </w:trPr>
        <w:tc>
          <w:tcPr>
            <w:tcW w:w="5260" w:type="dxa"/>
            <w:vAlign w:val="bottom"/>
            <w:tcBorders>
              <w:left w:val="single" w:sz="8" w:color="auto"/>
            </w:tcBorders>
            <w:gridSpan w:val="3"/>
          </w:tcPr>
          <w:p>
            <w:pPr>
              <w:ind w:left="20"/>
              <w:spacing w:after="0"/>
              <w:rPr>
                <w:sz w:val="20"/>
                <w:szCs w:val="20"/>
                <w:color w:val="auto"/>
              </w:rPr>
            </w:pPr>
            <w:r>
              <w:rPr>
                <w:rFonts w:ascii="Arial" w:cs="Arial" w:eastAsia="Arial" w:hAnsi="Arial"/>
                <w:sz w:val="20"/>
                <w:szCs w:val="20"/>
                <w:color w:val="auto"/>
              </w:rPr>
              <w:t>BMO Capital Markets Corp</w:t>
            </w:r>
            <w:r>
              <w:rPr>
                <w:rFonts w:ascii="Arial" w:cs="Arial" w:eastAsia="Arial" w:hAnsi="Arial"/>
                <w:sz w:val="20"/>
                <w:szCs w:val="20"/>
                <w:b w:val="1"/>
                <w:bCs w:val="1"/>
                <w:color w:val="auto"/>
              </w:rPr>
              <w:t>.</w:t>
            </w:r>
          </w:p>
        </w:tc>
        <w:tc>
          <w:tcPr>
            <w:tcW w:w="100" w:type="dxa"/>
            <w:vAlign w:val="bottom"/>
            <w:tcBorders>
              <w:righ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5060" w:type="dxa"/>
            <w:vAlign w:val="bottom"/>
            <w:tcBorders>
              <w:right w:val="single" w:sz="8" w:color="auto"/>
            </w:tcBorders>
            <w:gridSpan w:val="3"/>
          </w:tcPr>
          <w:p>
            <w:pPr>
              <w:ind w:left="1520"/>
              <w:spacing w:after="0"/>
              <w:rPr>
                <w:sz w:val="20"/>
                <w:szCs w:val="20"/>
                <w:color w:val="auto"/>
              </w:rPr>
            </w:pPr>
            <w:r>
              <w:rPr>
                <w:rFonts w:ascii="Arial" w:cs="Arial" w:eastAsia="Arial" w:hAnsi="Arial"/>
                <w:sz w:val="20"/>
                <w:szCs w:val="20"/>
                <w:color w:val="auto"/>
              </w:rPr>
              <w:t>Joint Bookrunner</w:t>
            </w:r>
          </w:p>
        </w:tc>
      </w:tr>
      <w:tr>
        <w:trPr>
          <w:trHeight w:val="23"/>
        </w:trPr>
        <w:tc>
          <w:tcPr>
            <w:tcW w:w="1480" w:type="dxa"/>
            <w:vAlign w:val="bottom"/>
            <w:tcBorders>
              <w:left w:val="single" w:sz="8" w:color="auto"/>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54"/>
        </w:trPr>
        <w:tc>
          <w:tcPr>
            <w:tcW w:w="5260" w:type="dxa"/>
            <w:vAlign w:val="bottom"/>
            <w:tcBorders>
              <w:left w:val="single" w:sz="8" w:color="auto"/>
            </w:tcBorders>
            <w:gridSpan w:val="3"/>
          </w:tcPr>
          <w:p>
            <w:pPr>
              <w:ind w:left="40"/>
              <w:spacing w:after="0"/>
              <w:rPr>
                <w:sz w:val="20"/>
                <w:szCs w:val="20"/>
                <w:color w:val="auto"/>
              </w:rPr>
            </w:pPr>
            <w:r>
              <w:rPr>
                <w:rFonts w:ascii="Arial" w:cs="Arial" w:eastAsia="Arial" w:hAnsi="Arial"/>
                <w:sz w:val="20"/>
                <w:szCs w:val="20"/>
                <w:color w:val="auto"/>
              </w:rPr>
              <w:t>Coöperatieve Rabobank U.A., New York Branch</w:t>
            </w:r>
          </w:p>
        </w:tc>
        <w:tc>
          <w:tcPr>
            <w:tcW w:w="100" w:type="dxa"/>
            <w:vAlign w:val="bottom"/>
            <w:tcBorders>
              <w:righ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5060" w:type="dxa"/>
            <w:vAlign w:val="bottom"/>
            <w:tcBorders>
              <w:right w:val="single" w:sz="8" w:color="auto"/>
            </w:tcBorders>
            <w:gridSpan w:val="3"/>
          </w:tcPr>
          <w:p>
            <w:pPr>
              <w:ind w:left="1520"/>
              <w:spacing w:after="0"/>
              <w:rPr>
                <w:sz w:val="20"/>
                <w:szCs w:val="20"/>
                <w:color w:val="auto"/>
              </w:rPr>
            </w:pPr>
            <w:r>
              <w:rPr>
                <w:rFonts w:ascii="Arial" w:cs="Arial" w:eastAsia="Arial" w:hAnsi="Arial"/>
                <w:sz w:val="20"/>
                <w:szCs w:val="20"/>
                <w:color w:val="auto"/>
              </w:rPr>
              <w:t>Joint Bookrunner</w:t>
            </w:r>
          </w:p>
        </w:tc>
      </w:tr>
      <w:tr>
        <w:trPr>
          <w:trHeight w:val="23"/>
        </w:trPr>
        <w:tc>
          <w:tcPr>
            <w:tcW w:w="1480" w:type="dxa"/>
            <w:vAlign w:val="bottom"/>
            <w:tcBorders>
              <w:left w:val="single" w:sz="8" w:color="auto"/>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54"/>
        </w:trPr>
        <w:tc>
          <w:tcPr>
            <w:tcW w:w="5260" w:type="dxa"/>
            <w:vAlign w:val="bottom"/>
            <w:tcBorders>
              <w:left w:val="single" w:sz="8" w:color="auto"/>
            </w:tcBorders>
            <w:gridSpan w:val="3"/>
          </w:tcPr>
          <w:p>
            <w:pPr>
              <w:ind w:left="40"/>
              <w:spacing w:after="0"/>
              <w:rPr>
                <w:sz w:val="20"/>
                <w:szCs w:val="20"/>
                <w:color w:val="auto"/>
              </w:rPr>
            </w:pPr>
            <w:r>
              <w:rPr>
                <w:rFonts w:ascii="Arial" w:cs="Arial" w:eastAsia="Arial" w:hAnsi="Arial"/>
                <w:sz w:val="20"/>
                <w:szCs w:val="20"/>
                <w:color w:val="auto"/>
              </w:rPr>
              <w:t>Nomura Securities International, Inc.</w:t>
            </w:r>
          </w:p>
        </w:tc>
        <w:tc>
          <w:tcPr>
            <w:tcW w:w="100" w:type="dxa"/>
            <w:vAlign w:val="bottom"/>
            <w:tcBorders>
              <w:righ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5060" w:type="dxa"/>
            <w:vAlign w:val="bottom"/>
            <w:tcBorders>
              <w:right w:val="single" w:sz="8" w:color="auto"/>
            </w:tcBorders>
            <w:gridSpan w:val="3"/>
          </w:tcPr>
          <w:p>
            <w:pPr>
              <w:ind w:left="1520"/>
              <w:spacing w:after="0"/>
              <w:rPr>
                <w:sz w:val="20"/>
                <w:szCs w:val="20"/>
                <w:color w:val="auto"/>
              </w:rPr>
            </w:pPr>
            <w:r>
              <w:rPr>
                <w:rFonts w:ascii="Arial" w:cs="Arial" w:eastAsia="Arial" w:hAnsi="Arial"/>
                <w:sz w:val="20"/>
                <w:szCs w:val="20"/>
                <w:color w:val="auto"/>
              </w:rPr>
              <w:t>Joint Bookrunner</w:t>
            </w:r>
          </w:p>
        </w:tc>
      </w:tr>
      <w:tr>
        <w:trPr>
          <w:trHeight w:val="23"/>
        </w:trPr>
        <w:tc>
          <w:tcPr>
            <w:tcW w:w="1480" w:type="dxa"/>
            <w:vAlign w:val="bottom"/>
            <w:tcBorders>
              <w:left w:val="single" w:sz="8" w:color="auto"/>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54"/>
        </w:trPr>
        <w:tc>
          <w:tcPr>
            <w:tcW w:w="5260" w:type="dxa"/>
            <w:vAlign w:val="bottom"/>
            <w:tcBorders>
              <w:left w:val="single" w:sz="8" w:color="auto"/>
            </w:tcBorders>
            <w:gridSpan w:val="3"/>
          </w:tcPr>
          <w:p>
            <w:pPr>
              <w:ind w:left="40"/>
              <w:spacing w:after="0"/>
              <w:rPr>
                <w:sz w:val="20"/>
                <w:szCs w:val="20"/>
                <w:color w:val="auto"/>
              </w:rPr>
            </w:pPr>
            <w:r>
              <w:rPr>
                <w:rFonts w:ascii="Arial" w:cs="Arial" w:eastAsia="Arial" w:hAnsi="Arial"/>
                <w:sz w:val="20"/>
                <w:szCs w:val="20"/>
                <w:color w:val="auto"/>
              </w:rPr>
              <w:t>Truist Securities, Inc.</w:t>
            </w:r>
          </w:p>
        </w:tc>
        <w:tc>
          <w:tcPr>
            <w:tcW w:w="100" w:type="dxa"/>
            <w:vAlign w:val="bottom"/>
            <w:tcBorders>
              <w:righ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5060" w:type="dxa"/>
            <w:vAlign w:val="bottom"/>
            <w:tcBorders>
              <w:right w:val="single" w:sz="8" w:color="auto"/>
            </w:tcBorders>
            <w:gridSpan w:val="3"/>
          </w:tcPr>
          <w:p>
            <w:pPr>
              <w:ind w:left="1520"/>
              <w:spacing w:after="0"/>
              <w:rPr>
                <w:sz w:val="20"/>
                <w:szCs w:val="20"/>
                <w:color w:val="auto"/>
              </w:rPr>
            </w:pPr>
            <w:r>
              <w:rPr>
                <w:rFonts w:ascii="Arial" w:cs="Arial" w:eastAsia="Arial" w:hAnsi="Arial"/>
                <w:sz w:val="20"/>
                <w:szCs w:val="20"/>
                <w:color w:val="auto"/>
              </w:rPr>
              <w:t>Joint Bookrunner</w:t>
            </w:r>
          </w:p>
        </w:tc>
      </w:tr>
      <w:tr>
        <w:trPr>
          <w:trHeight w:val="23"/>
        </w:trPr>
        <w:tc>
          <w:tcPr>
            <w:tcW w:w="1480" w:type="dxa"/>
            <w:vAlign w:val="bottom"/>
            <w:tcBorders>
              <w:left w:val="single" w:sz="8" w:color="auto"/>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54"/>
        </w:trPr>
        <w:tc>
          <w:tcPr>
            <w:tcW w:w="5260" w:type="dxa"/>
            <w:vAlign w:val="bottom"/>
            <w:tcBorders>
              <w:left w:val="single" w:sz="8" w:color="auto"/>
            </w:tcBorders>
            <w:gridSpan w:val="3"/>
          </w:tcPr>
          <w:p>
            <w:pPr>
              <w:ind w:left="40"/>
              <w:spacing w:after="0"/>
              <w:rPr>
                <w:sz w:val="20"/>
                <w:szCs w:val="20"/>
                <w:color w:val="auto"/>
              </w:rPr>
            </w:pPr>
            <w:r>
              <w:rPr>
                <w:rFonts w:ascii="Arial" w:cs="Arial" w:eastAsia="Arial" w:hAnsi="Arial"/>
                <w:sz w:val="20"/>
                <w:szCs w:val="20"/>
                <w:color w:val="auto"/>
              </w:rPr>
              <w:t>UBS Securities LLC</w:t>
            </w:r>
          </w:p>
        </w:tc>
        <w:tc>
          <w:tcPr>
            <w:tcW w:w="100" w:type="dxa"/>
            <w:vAlign w:val="bottom"/>
            <w:tcBorders>
              <w:righ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5060" w:type="dxa"/>
            <w:vAlign w:val="bottom"/>
            <w:tcBorders>
              <w:right w:val="single" w:sz="8" w:color="auto"/>
            </w:tcBorders>
            <w:gridSpan w:val="3"/>
          </w:tcPr>
          <w:p>
            <w:pPr>
              <w:ind w:left="1520"/>
              <w:spacing w:after="0"/>
              <w:rPr>
                <w:sz w:val="20"/>
                <w:szCs w:val="20"/>
                <w:color w:val="auto"/>
              </w:rPr>
            </w:pPr>
            <w:r>
              <w:rPr>
                <w:rFonts w:ascii="Arial" w:cs="Arial" w:eastAsia="Arial" w:hAnsi="Arial"/>
                <w:sz w:val="20"/>
                <w:szCs w:val="20"/>
                <w:color w:val="auto"/>
              </w:rPr>
              <w:t>Joint Bookrunner</w:t>
            </w:r>
          </w:p>
        </w:tc>
      </w:tr>
      <w:tr>
        <w:trPr>
          <w:trHeight w:val="23"/>
        </w:trPr>
        <w:tc>
          <w:tcPr>
            <w:tcW w:w="1480" w:type="dxa"/>
            <w:vAlign w:val="bottom"/>
            <w:tcBorders>
              <w:left w:val="single" w:sz="8" w:color="auto"/>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54"/>
        </w:trPr>
        <w:tc>
          <w:tcPr>
            <w:tcW w:w="5260" w:type="dxa"/>
            <w:vAlign w:val="bottom"/>
            <w:tcBorders>
              <w:left w:val="single" w:sz="8" w:color="auto"/>
            </w:tcBorders>
            <w:gridSpan w:val="3"/>
          </w:tcPr>
          <w:p>
            <w:pPr>
              <w:ind w:left="40"/>
              <w:spacing w:after="0"/>
              <w:rPr>
                <w:sz w:val="20"/>
                <w:szCs w:val="20"/>
                <w:color w:val="auto"/>
              </w:rPr>
            </w:pPr>
            <w:r>
              <w:rPr>
                <w:rFonts w:ascii="Arial" w:cs="Arial" w:eastAsia="Arial" w:hAnsi="Arial"/>
                <w:sz w:val="20"/>
                <w:szCs w:val="20"/>
                <w:color w:val="auto"/>
              </w:rPr>
              <w:t>Wells Fargo Securities, LLC</w:t>
            </w:r>
          </w:p>
        </w:tc>
        <w:tc>
          <w:tcPr>
            <w:tcW w:w="100" w:type="dxa"/>
            <w:vAlign w:val="bottom"/>
            <w:tcBorders>
              <w:righ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5060" w:type="dxa"/>
            <w:vAlign w:val="bottom"/>
            <w:tcBorders>
              <w:right w:val="single" w:sz="8" w:color="auto"/>
            </w:tcBorders>
            <w:gridSpan w:val="3"/>
          </w:tcPr>
          <w:p>
            <w:pPr>
              <w:ind w:left="1520"/>
              <w:spacing w:after="0"/>
              <w:rPr>
                <w:sz w:val="20"/>
                <w:szCs w:val="20"/>
                <w:color w:val="auto"/>
              </w:rPr>
            </w:pPr>
            <w:r>
              <w:rPr>
                <w:rFonts w:ascii="Arial" w:cs="Arial" w:eastAsia="Arial" w:hAnsi="Arial"/>
                <w:sz w:val="20"/>
                <w:szCs w:val="20"/>
                <w:color w:val="auto"/>
              </w:rPr>
              <w:t>Joint Bookrunner</w:t>
            </w:r>
          </w:p>
        </w:tc>
      </w:tr>
      <w:tr>
        <w:trPr>
          <w:trHeight w:val="23"/>
        </w:trPr>
        <w:tc>
          <w:tcPr>
            <w:tcW w:w="1480" w:type="dxa"/>
            <w:vAlign w:val="bottom"/>
            <w:tcBorders>
              <w:left w:val="single" w:sz="8" w:color="auto"/>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020"/>
          </w:cols>
          <w:pgMar w:left="320" w:top="1395" w:right="5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354455" cy="651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5445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BellRing Brands Announces Repricing of $636 Million Term Loan</w:t>
      </w:r>
    </w:p>
    <w:p>
      <w:pPr>
        <w:spacing w:after="0" w:line="284" w:lineRule="exact"/>
        <w:rPr>
          <w:sz w:val="20"/>
          <w:szCs w:val="20"/>
          <w:color w:val="auto"/>
        </w:rPr>
      </w:pPr>
    </w:p>
    <w:p>
      <w:pPr>
        <w:ind w:right="140"/>
        <w:spacing w:after="0" w:line="382" w:lineRule="auto"/>
        <w:rPr>
          <w:sz w:val="20"/>
          <w:szCs w:val="20"/>
          <w:color w:val="auto"/>
        </w:rPr>
      </w:pPr>
      <w:r>
        <w:rPr>
          <w:rFonts w:ascii="Arial" w:cs="Arial" w:eastAsia="Arial" w:hAnsi="Arial"/>
          <w:sz w:val="16"/>
          <w:szCs w:val="16"/>
          <w:b w:val="1"/>
          <w:bCs w:val="1"/>
          <w:color w:val="auto"/>
        </w:rPr>
        <w:t xml:space="preserve">St. Louis, Missouri - February 26, 2021 </w:t>
      </w:r>
      <w:r>
        <w:rPr>
          <w:rFonts w:ascii="Arial" w:cs="Arial" w:eastAsia="Arial" w:hAnsi="Arial"/>
          <w:sz w:val="16"/>
          <w:szCs w:val="16"/>
          <w:color w:val="auto"/>
        </w:rPr>
        <w:t>- BellRing Brands, Inc. (NYSE:BRBR) (the “Company”) today announced that its subsidiary, BellRing Brands,</w:t>
      </w:r>
      <w:r>
        <w:rPr>
          <w:rFonts w:ascii="Arial" w:cs="Arial" w:eastAsia="Arial" w:hAnsi="Arial"/>
          <w:sz w:val="16"/>
          <w:szCs w:val="16"/>
          <w:b w:val="1"/>
          <w:bCs w:val="1"/>
          <w:color w:val="auto"/>
        </w:rPr>
        <w:t xml:space="preserve"> </w:t>
      </w:r>
      <w:r>
        <w:rPr>
          <w:rFonts w:ascii="Arial" w:cs="Arial" w:eastAsia="Arial" w:hAnsi="Arial"/>
          <w:sz w:val="16"/>
          <w:szCs w:val="16"/>
          <w:color w:val="auto"/>
        </w:rPr>
        <w:t>LLC (“BellRing LLC”), completed an opportunistic repricing of its existing $636.2 million term loan through an amendment to its credit agreement.</w:t>
      </w:r>
    </w:p>
    <w:p>
      <w:pPr>
        <w:spacing w:after="0" w:line="120" w:lineRule="exact"/>
        <w:rPr>
          <w:sz w:val="20"/>
          <w:szCs w:val="20"/>
          <w:color w:val="auto"/>
        </w:rPr>
      </w:pPr>
    </w:p>
    <w:p>
      <w:pPr>
        <w:ind w:right="60"/>
        <w:spacing w:after="0" w:line="288" w:lineRule="auto"/>
        <w:rPr>
          <w:sz w:val="20"/>
          <w:szCs w:val="20"/>
          <w:color w:val="auto"/>
        </w:rPr>
      </w:pPr>
      <w:r>
        <w:rPr>
          <w:rFonts w:ascii="Arial" w:cs="Arial" w:eastAsia="Arial" w:hAnsi="Arial"/>
          <w:sz w:val="18"/>
          <w:szCs w:val="18"/>
          <w:color w:val="auto"/>
        </w:rPr>
        <w:t>The amendment refinances BellRing LLC’s term loan to reduce the interest rate on the term loan by 100 basis points (1.00%) to the Eurodollar Rate plus 4.00% or the Base Rate plus 3.00%, and also reduces the floor for the Eurodollar Rate for BellRing LLC’s term loan from 1.00% to 0.75%. In addition, the amendment provides that if on or before August 26, 2021 BellRing LLC repays the term loan with the proceeds of a new financing at a lower effective interest rate, or further amends the credit agreement to reduce the effective interest rate, BellRing LLC must pay a 1% premium on the amount repaid or subject to the interest rate reduction.</w:t>
      </w:r>
    </w:p>
    <w:p>
      <w:pPr>
        <w:spacing w:after="0" w:line="189" w:lineRule="exact"/>
        <w:rPr>
          <w:sz w:val="20"/>
          <w:szCs w:val="20"/>
          <w:color w:val="auto"/>
        </w:rPr>
      </w:pPr>
    </w:p>
    <w:p>
      <w:pPr>
        <w:ind w:right="600"/>
        <w:spacing w:after="0" w:line="308" w:lineRule="auto"/>
        <w:rPr>
          <w:sz w:val="20"/>
          <w:szCs w:val="20"/>
          <w:color w:val="auto"/>
        </w:rPr>
      </w:pPr>
      <w:r>
        <w:rPr>
          <w:rFonts w:ascii="Arial" w:cs="Arial" w:eastAsia="Arial" w:hAnsi="Arial"/>
          <w:sz w:val="18"/>
          <w:szCs w:val="18"/>
          <w:color w:val="auto"/>
        </w:rPr>
        <w:t>The repricing is expected to reduce annual cash interest by approximately $8 million. The term loan maturity date of October 21, 2024 and all other material provisions under the credit agreement remain unchanged.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on Forward-Looking Language</w:t>
      </w:r>
    </w:p>
    <w:p>
      <w:pPr>
        <w:spacing w:after="0" w:line="202" w:lineRule="exact"/>
        <w:rPr>
          <w:sz w:val="20"/>
          <w:szCs w:val="20"/>
          <w:color w:val="auto"/>
        </w:rPr>
      </w:pPr>
    </w:p>
    <w:p>
      <w:pPr>
        <w:ind w:right="120"/>
        <w:spacing w:after="0" w:line="324" w:lineRule="auto"/>
        <w:rPr>
          <w:sz w:val="20"/>
          <w:szCs w:val="20"/>
          <w:color w:val="auto"/>
        </w:rPr>
      </w:pPr>
      <w:r>
        <w:rPr>
          <w:rFonts w:ascii="Arial" w:cs="Arial" w:eastAsia="Arial" w:hAnsi="Arial"/>
          <w:sz w:val="16"/>
          <w:szCs w:val="16"/>
          <w:color w:val="auto"/>
        </w:rPr>
        <w:t>Forward-looking statements, within the meaning of Section 27A of the Securities Act of 1933, as amended, and Section 21E of the Securities Exchange Act of 1934, as amended, are made throughout this press release.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press release. All forward-looking statements are subject to a number of important factors, risks, uncertainties and assumptions that could cause actual results to differ materially from those described in any forward-looking statements. These factors and risks include, but are not limited to, the rapidly changing situation related to the COVID-19 pandemic and other financial, operational and legal risks and uncertainties detailed from time to time in the Company’s cautionary statements contained in its filings with the Securities and Exchange Commission. These forward-looking statements represent the Company’s judgment as of the date of this press release. The Company disclaims, however, any intent or obligation to update these forward-looking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BellRing Brands, Inc.</w:t>
      </w:r>
    </w:p>
    <w:p>
      <w:pPr>
        <w:spacing w:after="0" w:line="256" w:lineRule="exact"/>
        <w:rPr>
          <w:sz w:val="20"/>
          <w:szCs w:val="20"/>
          <w:color w:val="auto"/>
        </w:rPr>
      </w:pPr>
    </w:p>
    <w:p>
      <w:pPr>
        <w:jc w:val="both"/>
        <w:ind w:right="160"/>
        <w:spacing w:after="0" w:line="295" w:lineRule="auto"/>
        <w:rPr>
          <w:sz w:val="20"/>
          <w:szCs w:val="20"/>
          <w:color w:val="auto"/>
        </w:rPr>
      </w:pPr>
      <w:r>
        <w:rPr>
          <w:rFonts w:ascii="Arial" w:cs="Arial" w:eastAsia="Arial" w:hAnsi="Arial"/>
          <w:sz w:val="18"/>
          <w:szCs w:val="18"/>
          <w:color w:val="auto"/>
        </w:rPr>
        <w:t xml:space="preserve">BellRing Brands, Inc. is a holding company operating in the global convenient nutrition category. Its primary brands,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r>
        <w:rPr>
          <w:rFonts w:ascii="Arial" w:cs="Arial" w:eastAsia="Arial" w:hAnsi="Arial"/>
          <w:sz w:val="18"/>
          <w:szCs w:val="18"/>
          <w:color w:val="auto"/>
        </w:rPr>
        <w:t>®, comprise all major product forms, including ready-to-drink protein shakes, powders and nutrition bars, and are distributed across channels including club, food, drug, mass, eCommerce, specialty and convenience.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Jennifer Meyer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jennifer.meyer@bellringbrands.com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(314) 644-7665</w:t>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lowerLetter"/>
      <w:start w:val="1"/>
    </w:lvl>
    <w:lvl w:ilvl="1">
      <w:lvlJc w:val="left"/>
      <w:lvlText w:val="%2."/>
      <w:numFmt w:val="decimal"/>
      <w:start w:val="2"/>
    </w:lvl>
  </w:abstractNum>
  <w:abstractNum w:abstractNumId="4">
    <w:nsid w:val="54E49EB4"/>
    <w:multiLevelType w:val="hybridMultilevel"/>
    <w:lvl w:ilvl="0">
      <w:lvlJc w:val="left"/>
      <w:lvlText w:val="(%1)"/>
      <w:numFmt w:val="lowerLetter"/>
      <w:start w:val="1"/>
    </w:lvl>
    <w:lvl w:ilvl="1">
      <w:lvlJc w:val="left"/>
      <w:lvlText w:val="%2."/>
      <w:numFmt w:val="decimal"/>
      <w:start w:val="3"/>
    </w:lvl>
  </w:abstractNum>
  <w:abstractNum w:abstractNumId="5">
    <w:nsid w:val="71F32454"/>
    <w:multiLevelType w:val="hybridMultilevel"/>
    <w:lvl w:ilvl="0">
      <w:lvlJc w:val="left"/>
      <w:lvlText w:val="(%1)"/>
      <w:numFmt w:val="lowerRoman"/>
      <w:start w:val="1"/>
    </w:lvl>
  </w:abstractNum>
  <w:abstractNum w:abstractNumId="6">
    <w:nsid w:val="2CA88611"/>
    <w:multiLevelType w:val="hybridMultilevel"/>
    <w:lvl w:ilvl="0">
      <w:lvlJc w:val="left"/>
      <w:lvlText w:val="(%1)"/>
      <w:numFmt w:val="lowerRoman"/>
      <w:start w:val="2"/>
    </w:lvl>
  </w:abstractNum>
  <w:abstractNum w:abstractNumId="7">
    <w:nsid w:val="836C40E"/>
    <w:multiLevelType w:val="hybridMultilevel"/>
    <w:lvl w:ilvl="0">
      <w:lvlJc w:val="left"/>
      <w:lvlText w:val="(%1)"/>
      <w:numFmt w:val="lowerRoman"/>
      <w:start w:val="3"/>
    </w:lvl>
  </w:abstractNum>
  <w:abstractNum w:abstractNumId="8">
    <w:nsid w:val="2901D82"/>
    <w:multiLevelType w:val="hybridMultilevel"/>
    <w:lvl w:ilvl="0">
      <w:lvlJc w:val="left"/>
      <w:lvlText w:val="(%1)"/>
      <w:numFmt w:val="lowerRoman"/>
      <w:start w:val="4"/>
    </w:lvl>
  </w:abstractNum>
  <w:abstractNum w:abstractNumId="9">
    <w:nsid w:val="3A95F874"/>
    <w:multiLevelType w:val="hybridMultilevel"/>
    <w:lvl w:ilvl="0">
      <w:lvlJc w:val="left"/>
      <w:lvlText w:val="(%1)"/>
      <w:numFmt w:val="lowerRoman"/>
      <w:start w:val="5"/>
    </w:lvl>
  </w:abstractNum>
  <w:abstractNum w:abstractNumId="10">
    <w:nsid w:val="8138641"/>
    <w:multiLevelType w:val="hybridMultilevel"/>
    <w:lvl w:ilvl="0">
      <w:lvlJc w:val="left"/>
      <w:lvlText w:val="(%1)"/>
      <w:numFmt w:val="lowerRoman"/>
      <w:start w:val="3"/>
    </w:lvl>
  </w:abstractNum>
  <w:abstractNum w:abstractNumId="11">
    <w:nsid w:val="1E7FF521"/>
    <w:multiLevelType w:val="hybridMultilevel"/>
    <w:lvl w:ilvl="0">
      <w:lvlJc w:val="left"/>
      <w:lvlText w:val="(%1)"/>
      <w:numFmt w:val="lowerRoman"/>
      <w:start w:val="6"/>
    </w:lvl>
  </w:abstractNum>
  <w:abstractNum w:abstractNumId="12">
    <w:nsid w:val="7C3DBD3D"/>
    <w:multiLevelType w:val="hybridMultilevel"/>
    <w:lvl w:ilvl="0">
      <w:lvlJc w:val="left"/>
      <w:lvlText w:val="(%1)"/>
      <w:numFmt w:val="lowerRoman"/>
      <w:start w:val="7"/>
    </w:lvl>
  </w:abstractNum>
  <w:abstractNum w:abstractNumId="13">
    <w:nsid w:val="737B8DDC"/>
    <w:multiLevelType w:val="hybridMultilevel"/>
    <w:lvl w:ilvl="0">
      <w:lvlJc w:val="left"/>
      <w:lvlText w:val="(%1)"/>
      <w:numFmt w:val="lowerRoman"/>
      <w:start w:val="8"/>
    </w:lvl>
  </w:abstractNum>
  <w:abstractNum w:abstractNumId="14">
    <w:nsid w:val="6CEAF087"/>
    <w:multiLevelType w:val="hybridMultilevel"/>
    <w:lvl w:ilvl="0">
      <w:lvlJc w:val="left"/>
      <w:lvlText w:val="%1"/>
      <w:numFmt w:val="lowerRoman"/>
      <w:start w:val="1"/>
    </w:lvl>
    <w:lvl w:ilvl="1">
      <w:lvlJc w:val="left"/>
      <w:lvlText w:val="(%2)"/>
      <w:numFmt w:val="upperLetter"/>
      <w:start w:val="1"/>
    </w:lvl>
  </w:abstractNum>
  <w:abstractNum w:abstractNumId="15">
    <w:nsid w:val="22221A70"/>
    <w:multiLevelType w:val="hybridMultilevel"/>
    <w:lvl w:ilvl="0">
      <w:lvlJc w:val="left"/>
      <w:lvlText w:val="(%1)"/>
      <w:numFmt w:val="lowerRoman"/>
      <w:start w:val="9"/>
    </w:lvl>
    <w:lvl w:ilvl="1">
      <w:lvlJc w:val="left"/>
      <w:lvlText w:val="%2"/>
      <w:numFmt w:val="upperLetter"/>
      <w:start w:val="1"/>
    </w:lvl>
  </w:abstractNum>
  <w:abstractNum w:abstractNumId="16">
    <w:nsid w:val="4516DDE9"/>
    <w:multiLevelType w:val="hybridMultilevel"/>
    <w:lvl w:ilvl="0">
      <w:lvlJc w:val="left"/>
      <w:lvlText w:val="(%1)"/>
      <w:numFmt w:val="lowerRoman"/>
      <w:start w:val="10"/>
    </w:lvl>
  </w:abstractNum>
  <w:abstractNum w:abstractNumId="17">
    <w:nsid w:val="3006C83E"/>
    <w:multiLevelType w:val="hybridMultilevel"/>
    <w:lvl w:ilvl="0">
      <w:lvlJc w:val="left"/>
      <w:lvlText w:val="(%1)"/>
      <w:numFmt w:val="lowerRoman"/>
      <w:start w:val="11"/>
    </w:lvl>
  </w:abstractNum>
  <w:abstractNum w:abstractNumId="18">
    <w:nsid w:val="614FD4A1"/>
    <w:multiLevelType w:val="hybridMultilevel"/>
    <w:lvl w:ilvl="0">
      <w:lvlJc w:val="left"/>
      <w:lvlText w:val="(%1)"/>
      <w:numFmt w:val="lowerRoman"/>
      <w:start w:val="1"/>
    </w:lvl>
  </w:abstractNum>
  <w:abstractNum w:abstractNumId="19">
    <w:nsid w:val="419AC241"/>
    <w:multiLevelType w:val="hybridMultilevel"/>
    <w:lvl w:ilvl="0">
      <w:lvlJc w:val="left"/>
      <w:lvlText w:val="%1"/>
      <w:numFmt w:val="lowerRoman"/>
      <w:start w:val="1"/>
    </w:lvl>
    <w:lvl w:ilvl="1">
      <w:lvlJc w:val="left"/>
      <w:lvlText w:val="(%2)"/>
      <w:numFmt w:val="lowerRoman"/>
      <w:start w:val="2"/>
    </w:lvl>
  </w:abstractNum>
  <w:abstractNum w:abstractNumId="20">
    <w:nsid w:val="5577F8E1"/>
    <w:multiLevelType w:val="hybridMultilevel"/>
    <w:lvl w:ilvl="0">
      <w:lvlJc w:val="left"/>
      <w:lvlText w:val="(%1)"/>
      <w:numFmt w:val="lowerRoman"/>
      <w:start w:val="12"/>
    </w:lvl>
    <w:lvl w:ilvl="1">
      <w:lvlJc w:val="left"/>
      <w:lvlText w:val="%2"/>
      <w:numFmt w:val="lowerRoman"/>
      <w:start w:val="1"/>
    </w:lvl>
  </w:abstractNum>
  <w:abstractNum w:abstractNumId="21">
    <w:nsid w:val="440BADFC"/>
    <w:multiLevelType w:val="hybridMultilevel"/>
    <w:lvl w:ilvl="0">
      <w:lvlJc w:val="left"/>
      <w:lvlText w:val="(%1)"/>
      <w:numFmt w:val="lowerRoman"/>
      <w:start w:val="13"/>
    </w:lvl>
  </w:abstractNum>
  <w:abstractNum w:abstractNumId="22">
    <w:nsid w:val="5072367"/>
    <w:multiLevelType w:val="hybridMultilevel"/>
    <w:lvl w:ilvl="0">
      <w:lvlJc w:val="left"/>
      <w:lvlText w:val="(%1)"/>
      <w:numFmt w:val="lowerRoman"/>
      <w:start w:val="14"/>
    </w:lvl>
  </w:abstractNum>
  <w:abstractNum w:abstractNumId="23">
    <w:nsid w:val="3804823E"/>
    <w:multiLevelType w:val="hybridMultilevel"/>
    <w:lvl w:ilvl="0">
      <w:lvlJc w:val="left"/>
      <w:lvlText w:val="(%1)"/>
      <w:numFmt w:val="lowerRoman"/>
      <w:start w:val="15"/>
    </w:lvl>
  </w:abstractNum>
  <w:abstractNum w:abstractNumId="24">
    <w:nsid w:val="77465F01"/>
    <w:multiLevelType w:val="hybridMultilevel"/>
    <w:lvl w:ilvl="0">
      <w:lvlJc w:val="left"/>
      <w:lvlText w:val="(%1)"/>
      <w:numFmt w:val="lowerRoman"/>
      <w:start w:val="16"/>
    </w:lvl>
  </w:abstractNum>
  <w:abstractNum w:abstractNumId="25">
    <w:nsid w:val="7724C67E"/>
    <w:multiLevelType w:val="hybridMultilevel"/>
    <w:lvl w:ilvl="0">
      <w:lvlJc w:val="left"/>
      <w:lvlText w:val="(%1)"/>
      <w:numFmt w:val="lowerRoman"/>
      <w:start w:val="19"/>
    </w:lvl>
  </w:abstractNum>
  <w:abstractNum w:abstractNumId="26">
    <w:nsid w:val="5C482A97"/>
    <w:multiLevelType w:val="hybridMultilevel"/>
    <w:lvl w:ilvl="0">
      <w:lvlJc w:val="left"/>
      <w:lvlText w:val="(%1)"/>
      <w:numFmt w:val="lowerRoman"/>
      <w:start w:val="20"/>
    </w:lvl>
  </w:abstractNum>
  <w:abstractNum w:abstractNumId="27">
    <w:nsid w:val="2463B9EA"/>
    <w:multiLevelType w:val="hybridMultilevel"/>
    <w:lvl w:ilvl="0">
      <w:lvlJc w:val="left"/>
      <w:lvlText w:val="(%1)"/>
      <w:numFmt w:val="lowerRoman"/>
      <w:start w:val="21"/>
    </w:lvl>
  </w:abstractNum>
  <w:abstractNum w:abstractNumId="28">
    <w:nsid w:val="5E884ADC"/>
    <w:multiLevelType w:val="hybridMultilevel"/>
    <w:lvl w:ilvl="0">
      <w:lvlJc w:val="left"/>
      <w:lvlText w:val="(%1)"/>
      <w:numFmt w:val="lowerRoman"/>
      <w:start w:val="22"/>
    </w:lvl>
    <w:lvl w:ilvl="1">
      <w:lvlJc w:val="left"/>
      <w:lvlText w:val="(%2)"/>
      <w:numFmt w:val="lowerLetter"/>
      <w:start w:val="1"/>
    </w:lvl>
  </w:abstractNum>
  <w:abstractNum w:abstractNumId="29">
    <w:nsid w:val="51EAD36B"/>
    <w:multiLevelType w:val="hybridMultilevel"/>
    <w:lvl w:ilvl="0">
      <w:lvlJc w:val="left"/>
      <w:lvlText w:val="(%1)"/>
      <w:numFmt w:val="lowerLetter"/>
      <w:start w:val="2"/>
    </w:lvl>
  </w:abstractNum>
  <w:abstractNum w:abstractNumId="30">
    <w:nsid w:val="2D517796"/>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4"/>
    </w:lvl>
  </w:abstractNum>
  <w:abstractNum w:abstractNumId="31">
    <w:nsid w:val="580BD78F"/>
    <w:multiLevelType w:val="hybridMultilevel"/>
    <w:lvl w:ilvl="0">
      <w:lvlJc w:val="left"/>
      <w:lvlText w:val="%1"/>
      <w:numFmt w:val="lowerRoman"/>
      <w:start w:val="1"/>
    </w:lvl>
    <w:lvl w:ilvl="1">
      <w:lvlJc w:val="left"/>
      <w:lvlText w:val="(%2)"/>
      <w:numFmt w:val="lowerLetter"/>
      <w:start w:val="35"/>
    </w:lvl>
    <w:lvl w:ilvl="2">
      <w:lvlJc w:val="left"/>
      <w:lvlText w:val="(%3)"/>
      <w:numFmt w:val="lowerLetter"/>
      <w:start w:val="5"/>
    </w:lvl>
  </w:abstractNum>
  <w:abstractNum w:abstractNumId="32">
    <w:nsid w:val="153EA438"/>
    <w:multiLevelType w:val="hybridMultilevel"/>
    <w:lvl w:ilvl="0">
      <w:lvlJc w:val="left"/>
      <w:lvlText w:val="(%1)"/>
      <w:numFmt w:val="lowerRoman"/>
      <w:start w:val="23"/>
    </w:lvl>
    <w:lvl w:ilvl="1">
      <w:lvlJc w:val="left"/>
      <w:lvlText w:val="%2"/>
      <w:numFmt w:val="lowerLetter"/>
      <w:start w:val="1"/>
    </w:lvl>
    <w:lvl w:ilvl="2">
      <w:lvlJc w:val="left"/>
      <w:lvlText w:val="%3"/>
      <w:numFmt w:val="lowerLetter"/>
      <w:start w:val="1"/>
    </w:lvl>
  </w:abstractNum>
  <w:abstractNum w:abstractNumId="33">
    <w:nsid w:val="385558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34">
    <w:nsid w:val="70A64E2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lowerLetter"/>
      <w:start w:val="3"/>
    </w:lvl>
  </w:abstractNum>
  <w:abstractNum w:abstractNumId="37">
    <w:nsid w:val="1D4ED43B"/>
    <w:multiLevelType w:val="hybridMultilevel"/>
    <w:lvl w:ilvl="0">
      <w:lvlJc w:val="left"/>
      <w:lvlText w:val="%1."/>
      <w:numFmt w:val="decimal"/>
      <w:start w:val="5"/>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1"/>
      <w:numFmt w:val="lowerRoman"/>
      <w:start w:val="1"/>
    </w:lvl>
    <w:lvl w:ilvl="1">
      <w:lvlJc w:val="left"/>
      <w:lvlText w:val="(%2)"/>
      <w:numFmt w:val="lowerLetter"/>
      <w:start w:val="3"/>
    </w:lvl>
    <w:lvl w:ilvl="2">
      <w:lvlJc w:val="left"/>
      <w:lvlText w:val="%3"/>
      <w:numFmt w:val="decimal"/>
      <w:start w:val="1"/>
    </w:lvl>
  </w:abstractNum>
  <w:abstractNum w:abstractNumId="40">
    <w:nsid w:val="57E4CCAF"/>
    <w:multiLevelType w:val="hybridMultilevel"/>
    <w:lvl w:ilvl="0">
      <w:lvlJc w:val="left"/>
      <w:lvlText w:val="(%1)"/>
      <w:numFmt w:val="lowerRoman"/>
      <w:start w:val="4"/>
    </w:lvl>
    <w:lvl w:ilvl="1">
      <w:lvlJc w:val="left"/>
      <w:lvlText w:val="(%2)"/>
      <w:numFmt w:val="lowerLetter"/>
      <w:start w:val="4"/>
    </w:lvl>
    <w:lvl w:ilvl="2">
      <w:lvlJc w:val="left"/>
      <w:lvlText w:val="%3."/>
      <w:numFmt w:val="decimal"/>
      <w:start w:val="6"/>
    </w:lvl>
  </w:abstractNum>
  <w:abstractNum w:abstractNumId="41">
    <w:nsid w:val="7A6D8D3C"/>
    <w:multiLevelType w:val="hybridMultilevel"/>
    <w:lvl w:ilvl="0">
      <w:lvlJc w:val="left"/>
      <w:lvlText w:val="%1."/>
      <w:numFmt w:val="decimal"/>
      <w:start w:val="7"/>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decimal"/>
      <w:start w:val="8"/>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decimal"/>
      <w:start w:val="9"/>
    </w:lvl>
  </w:abstractNum>
  <w:abstractNum w:abstractNumId="46">
    <w:nsid w:val="7644A45C"/>
    <w:multiLevelType w:val="hybridMultilevel"/>
    <w:lvl w:ilvl="0">
      <w:lvlJc w:val="left"/>
      <w:lvlText w:val="%1"/>
      <w:numFmt w:val="lowerLetter"/>
      <w:start w:val="1"/>
    </w:lvl>
    <w:lvl w:ilvl="1">
      <w:lvlJc w:val="left"/>
      <w:lvlText w:val="%2."/>
      <w:numFmt w:val="decimal"/>
      <w:start w:val="10"/>
    </w:lvl>
  </w:abstractNum>
  <w:abstractNum w:abstractNumId="47">
    <w:nsid w:val="32FFF902"/>
    <w:multiLevelType w:val="hybridMultilevel"/>
    <w:lvl w:ilvl="0">
      <w:lvlJc w:val="left"/>
      <w:lvlText w:val="(%1)"/>
      <w:numFmt w:val="lowerLetter"/>
      <w:start w:val="1"/>
    </w:lvl>
    <w:lvl w:ilvl="1">
      <w:lvlJc w:val="left"/>
      <w:lvlText w:val="%2."/>
      <w:numFmt w:val="decimal"/>
      <w:start w:val="11"/>
    </w:lvl>
  </w:abstractNum>
  <w:abstractNum w:abstractNumId="48">
    <w:nsid w:val="684A481A"/>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2021-02-26T16:43:46Z</dcterms:created>
  <dcterms:modified xsi:type="dcterms:W3CDTF">2021-02-26T16:43:46Z</dcterms:modified>
</cp:coreProperties>
</file>