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319405</wp:posOffset>
            </wp:positionH>
            <wp:positionV relativeFrom="page">
              <wp:posOffset>852170</wp:posOffset>
            </wp:positionV>
            <wp:extent cx="66776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77660" cy="8255"/>
                    </a:xfrm>
                    <a:prstGeom prst="rect">
                      <a:avLst/>
                    </a:prstGeom>
                    <a:noFill/>
                  </pic:spPr>
                </pic:pic>
              </a:graphicData>
            </a:graphic>
          </wp:anchor>
        </w:drawing>
        <w:drawing>
          <wp:anchor simplePos="0" relativeHeight="251657728" behindDoc="1" locked="0" layoutInCell="0" allowOverlap="1">
            <wp:simplePos x="0" y="0"/>
            <wp:positionH relativeFrom="page">
              <wp:posOffset>319405</wp:posOffset>
            </wp:positionH>
            <wp:positionV relativeFrom="page">
              <wp:posOffset>877570</wp:posOffset>
            </wp:positionV>
            <wp:extent cx="66776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77660"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9" w:lineRule="exact"/>
        <w:rPr>
          <w:sz w:val="24"/>
          <w:szCs w:val="24"/>
          <w:color w:val="auto"/>
        </w:rPr>
      </w:pPr>
    </w:p>
    <w:p>
      <w:pPr>
        <w:ind w:left="4440"/>
        <w:spacing w:after="0"/>
        <w:rPr>
          <w:sz w:val="20"/>
          <w:szCs w:val="20"/>
          <w:color w:val="auto"/>
        </w:rPr>
      </w:pPr>
      <w:r>
        <w:rPr>
          <w:rFonts w:ascii="Arial" w:cs="Arial" w:eastAsia="Arial" w:hAnsi="Arial"/>
          <w:sz w:val="22"/>
          <w:szCs w:val="22"/>
          <w:color w:val="auto"/>
        </w:rPr>
        <w:t>______________________</w:t>
      </w:r>
    </w:p>
    <w:p>
      <w:pPr>
        <w:spacing w:after="0" w:line="74"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18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ind w:left="412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4" w:lineRule="exact"/>
        <w:rPr>
          <w:sz w:val="24"/>
          <w:szCs w:val="24"/>
          <w:color w:val="auto"/>
        </w:rPr>
      </w:pPr>
    </w:p>
    <w:p>
      <w:pPr>
        <w:ind w:left="4140"/>
        <w:spacing w:after="0"/>
        <w:rPr>
          <w:sz w:val="20"/>
          <w:szCs w:val="20"/>
          <w:color w:val="auto"/>
        </w:rPr>
      </w:pPr>
      <w:r>
        <w:rPr>
          <w:rFonts w:ascii="Arial" w:cs="Arial" w:eastAsia="Arial" w:hAnsi="Arial"/>
          <w:sz w:val="22"/>
          <w:szCs w:val="22"/>
          <w:b w:val="1"/>
          <w:bCs w:val="1"/>
          <w:color w:val="auto"/>
        </w:rPr>
        <w:t>Securities Exchange Act of 1934</w:t>
      </w:r>
    </w:p>
    <w:p>
      <w:pPr>
        <w:spacing w:after="0" w:line="155"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Date of Report (Date of earliest event reported): March 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2902585</wp:posOffset>
            </wp:positionH>
            <wp:positionV relativeFrom="paragraph">
              <wp:posOffset>126365</wp:posOffset>
            </wp:positionV>
            <wp:extent cx="1337310" cy="651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37310"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ind w:right="-179"/>
        <w:spacing w:after="0"/>
        <w:rPr>
          <w:sz w:val="20"/>
          <w:szCs w:val="20"/>
          <w:color w:val="auto"/>
        </w:rPr>
      </w:pPr>
      <w:r>
        <w:rPr>
          <w:rFonts w:ascii="Arial" w:cs="Arial" w:eastAsia="Arial" w:hAnsi="Arial"/>
          <w:sz w:val="36"/>
          <w:szCs w:val="36"/>
          <w:b w:val="1"/>
          <w:bCs w:val="1"/>
          <w:color w:val="auto"/>
        </w:rPr>
        <w:t>BellRing Brands, Inc.</w:t>
      </w:r>
    </w:p>
    <w:p>
      <w:pPr>
        <w:spacing w:after="0" w:line="150"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pacing w:after="0" w:line="244" w:lineRule="exact"/>
        <w:rPr>
          <w:sz w:val="24"/>
          <w:szCs w:val="24"/>
          <w:color w:val="auto"/>
        </w:rPr>
      </w:pPr>
    </w:p>
    <w:tbl>
      <w:tblPr>
        <w:tblLayout w:type="fixed"/>
        <w:tblInd w:w="80" w:type="dxa"/>
        <w:tblCellMar>
          <w:top w:w="0" w:type="dxa"/>
          <w:left w:w="0" w:type="dxa"/>
          <w:bottom w:w="0" w:type="dxa"/>
          <w:right w:w="0" w:type="dxa"/>
        </w:tblCellMar>
      </w:tblPr>
      <w:tr>
        <w:trPr>
          <w:trHeight w:val="256"/>
        </w:trPr>
        <w:tc>
          <w:tcPr>
            <w:tcW w:w="3460" w:type="dxa"/>
            <w:vAlign w:val="bottom"/>
          </w:tcPr>
          <w:p>
            <w:pPr>
              <w:jc w:val="center"/>
              <w:ind w:right="206"/>
              <w:spacing w:after="0"/>
              <w:rPr>
                <w:sz w:val="20"/>
                <w:szCs w:val="20"/>
                <w:color w:val="auto"/>
              </w:rPr>
            </w:pPr>
            <w:r>
              <w:rPr>
                <w:rFonts w:ascii="Arial" w:cs="Arial" w:eastAsia="Arial" w:hAnsi="Arial"/>
                <w:sz w:val="20"/>
                <w:szCs w:val="20"/>
                <w:b w:val="1"/>
                <w:bCs w:val="1"/>
                <w:color w:val="auto"/>
                <w:w w:val="91"/>
              </w:rPr>
              <w:t>Delaware</w:t>
            </w:r>
          </w:p>
        </w:tc>
        <w:tc>
          <w:tcPr>
            <w:tcW w:w="1900" w:type="dxa"/>
            <w:vAlign w:val="bottom"/>
          </w:tcPr>
          <w:p>
            <w:pPr>
              <w:jc w:val="right"/>
              <w:spacing w:after="0"/>
              <w:rPr>
                <w:sz w:val="20"/>
                <w:szCs w:val="20"/>
                <w:color w:val="auto"/>
              </w:rPr>
            </w:pPr>
            <w:r>
              <w:rPr>
                <w:rFonts w:ascii="Arial" w:cs="Arial" w:eastAsia="Arial" w:hAnsi="Arial"/>
                <w:sz w:val="20"/>
                <w:szCs w:val="20"/>
                <w:b w:val="1"/>
                <w:bCs w:val="1"/>
                <w:color w:val="auto"/>
              </w:rPr>
              <w:t>001-39093</w:t>
            </w:r>
          </w:p>
        </w:tc>
        <w:tc>
          <w:tcPr>
            <w:tcW w:w="1180" w:type="dxa"/>
            <w:vAlign w:val="bottom"/>
          </w:tcPr>
          <w:p>
            <w:pPr>
              <w:spacing w:after="0"/>
              <w:rPr>
                <w:sz w:val="22"/>
                <w:szCs w:val="22"/>
                <w:color w:val="auto"/>
              </w:rPr>
            </w:pPr>
          </w:p>
        </w:tc>
        <w:tc>
          <w:tcPr>
            <w:tcW w:w="2860" w:type="dxa"/>
            <w:vAlign w:val="bottom"/>
          </w:tcPr>
          <w:p>
            <w:pPr>
              <w:jc w:val="right"/>
              <w:ind w:right="666"/>
              <w:spacing w:after="0"/>
              <w:rPr>
                <w:sz w:val="20"/>
                <w:szCs w:val="20"/>
                <w:color w:val="auto"/>
              </w:rPr>
            </w:pPr>
            <w:r>
              <w:rPr>
                <w:rFonts w:ascii="Arial" w:cs="Arial" w:eastAsia="Arial" w:hAnsi="Arial"/>
                <w:sz w:val="20"/>
                <w:szCs w:val="20"/>
                <w:b w:val="1"/>
                <w:bCs w:val="1"/>
                <w:color w:val="auto"/>
              </w:rPr>
              <w:t>83-4096323</w:t>
            </w:r>
          </w:p>
        </w:tc>
      </w:tr>
      <w:tr>
        <w:trPr>
          <w:trHeight w:val="266"/>
        </w:trPr>
        <w:tc>
          <w:tcPr>
            <w:tcW w:w="3460" w:type="dxa"/>
            <w:vAlign w:val="bottom"/>
          </w:tcPr>
          <w:p>
            <w:pPr>
              <w:jc w:val="center"/>
              <w:ind w:right="186"/>
              <w:spacing w:after="0"/>
              <w:rPr>
                <w:sz w:val="20"/>
                <w:szCs w:val="20"/>
                <w:color w:val="auto"/>
              </w:rPr>
            </w:pPr>
            <w:r>
              <w:rPr>
                <w:rFonts w:ascii="Arial" w:cs="Arial" w:eastAsia="Arial" w:hAnsi="Arial"/>
                <w:sz w:val="18"/>
                <w:szCs w:val="18"/>
                <w:color w:val="auto"/>
                <w:w w:val="93"/>
              </w:rPr>
              <w:t>(State or other jurisdiction of incorporation)</w:t>
            </w:r>
          </w:p>
        </w:tc>
        <w:tc>
          <w:tcPr>
            <w:tcW w:w="3080" w:type="dxa"/>
            <w:vAlign w:val="bottom"/>
            <w:gridSpan w:val="2"/>
          </w:tcPr>
          <w:p>
            <w:pPr>
              <w:jc w:val="center"/>
              <w:ind w:right="141"/>
              <w:spacing w:after="0"/>
              <w:rPr>
                <w:sz w:val="20"/>
                <w:szCs w:val="20"/>
                <w:color w:val="auto"/>
              </w:rPr>
            </w:pPr>
            <w:r>
              <w:rPr>
                <w:rFonts w:ascii="Arial" w:cs="Arial" w:eastAsia="Arial" w:hAnsi="Arial"/>
                <w:sz w:val="18"/>
                <w:szCs w:val="18"/>
                <w:color w:val="auto"/>
                <w:w w:val="93"/>
              </w:rPr>
              <w:t>(Commission File Number)</w:t>
            </w:r>
          </w:p>
        </w:tc>
        <w:tc>
          <w:tcPr>
            <w:tcW w:w="2860" w:type="dxa"/>
            <w:vAlign w:val="bottom"/>
          </w:tcPr>
          <w:p>
            <w:pPr>
              <w:jc w:val="center"/>
              <w:ind w:left="286"/>
              <w:spacing w:after="0"/>
              <w:rPr>
                <w:sz w:val="20"/>
                <w:szCs w:val="20"/>
                <w:color w:val="auto"/>
              </w:rPr>
            </w:pPr>
            <w:r>
              <w:rPr>
                <w:rFonts w:ascii="Arial" w:cs="Arial" w:eastAsia="Arial" w:hAnsi="Arial"/>
                <w:sz w:val="18"/>
                <w:szCs w:val="18"/>
                <w:color w:val="auto"/>
                <w:w w:val="94"/>
              </w:rPr>
              <w:t>(IRS Employer Identification No.)</w:t>
            </w:r>
          </w:p>
        </w:tc>
      </w:tr>
      <w:tr>
        <w:trPr>
          <w:trHeight w:val="625"/>
        </w:trPr>
        <w:tc>
          <w:tcPr>
            <w:tcW w:w="3460" w:type="dxa"/>
            <w:vAlign w:val="bottom"/>
          </w:tcPr>
          <w:p>
            <w:pPr>
              <w:jc w:val="center"/>
              <w:ind w:right="206"/>
              <w:spacing w:after="0"/>
              <w:rPr>
                <w:sz w:val="20"/>
                <w:szCs w:val="20"/>
                <w:color w:val="auto"/>
              </w:rPr>
            </w:pPr>
            <w:r>
              <w:rPr>
                <w:rFonts w:ascii="Arial" w:cs="Arial" w:eastAsia="Arial" w:hAnsi="Arial"/>
                <w:sz w:val="20"/>
                <w:szCs w:val="20"/>
                <w:b w:val="1"/>
                <w:bCs w:val="1"/>
                <w:color w:val="auto"/>
                <w:w w:val="89"/>
              </w:rPr>
              <w:t>2503 S. Hanley Road</w:t>
            </w:r>
          </w:p>
        </w:tc>
        <w:tc>
          <w:tcPr>
            <w:tcW w:w="1900" w:type="dxa"/>
            <w:vAlign w:val="bottom"/>
          </w:tcPr>
          <w:p>
            <w:pPr>
              <w:ind w:left="300"/>
              <w:spacing w:after="0"/>
              <w:rPr>
                <w:sz w:val="20"/>
                <w:szCs w:val="20"/>
                <w:color w:val="auto"/>
              </w:rPr>
            </w:pPr>
            <w:r>
              <w:rPr>
                <w:rFonts w:ascii="Arial" w:cs="Arial" w:eastAsia="Arial" w:hAnsi="Arial"/>
                <w:sz w:val="20"/>
                <w:szCs w:val="20"/>
                <w:b w:val="1"/>
                <w:bCs w:val="1"/>
                <w:color w:val="auto"/>
              </w:rPr>
              <w:t>St. Louis</w:t>
            </w:r>
          </w:p>
        </w:tc>
        <w:tc>
          <w:tcPr>
            <w:tcW w:w="1180" w:type="dxa"/>
            <w:vAlign w:val="bottom"/>
          </w:tcPr>
          <w:p>
            <w:pPr>
              <w:ind w:left="40"/>
              <w:spacing w:after="0"/>
              <w:rPr>
                <w:sz w:val="20"/>
                <w:szCs w:val="20"/>
                <w:color w:val="auto"/>
              </w:rPr>
            </w:pPr>
            <w:r>
              <w:rPr>
                <w:rFonts w:ascii="Arial" w:cs="Arial" w:eastAsia="Arial" w:hAnsi="Arial"/>
                <w:sz w:val="20"/>
                <w:szCs w:val="20"/>
                <w:b w:val="1"/>
                <w:bCs w:val="1"/>
                <w:color w:val="auto"/>
              </w:rPr>
              <w:t>Missouri</w:t>
            </w:r>
          </w:p>
        </w:tc>
        <w:tc>
          <w:tcPr>
            <w:tcW w:w="2860" w:type="dxa"/>
            <w:vAlign w:val="bottom"/>
          </w:tcPr>
          <w:p>
            <w:pPr>
              <w:jc w:val="right"/>
              <w:ind w:right="906"/>
              <w:spacing w:after="0"/>
              <w:rPr>
                <w:sz w:val="20"/>
                <w:szCs w:val="20"/>
                <w:color w:val="auto"/>
              </w:rPr>
            </w:pPr>
            <w:r>
              <w:rPr>
                <w:rFonts w:ascii="Arial" w:cs="Arial" w:eastAsia="Arial" w:hAnsi="Arial"/>
                <w:sz w:val="20"/>
                <w:szCs w:val="20"/>
                <w:b w:val="1"/>
                <w:bCs w:val="1"/>
                <w:color w:val="auto"/>
              </w:rPr>
              <w:t>63144</w:t>
            </w:r>
          </w:p>
        </w:tc>
      </w:tr>
      <w:tr>
        <w:trPr>
          <w:trHeight w:val="266"/>
        </w:trPr>
        <w:tc>
          <w:tcPr>
            <w:tcW w:w="5360" w:type="dxa"/>
            <w:vAlign w:val="bottom"/>
            <w:gridSpan w:val="2"/>
          </w:tcPr>
          <w:p>
            <w:pPr>
              <w:ind w:left="1760"/>
              <w:spacing w:after="0"/>
              <w:rPr>
                <w:sz w:val="20"/>
                <w:szCs w:val="20"/>
                <w:color w:val="auto"/>
              </w:rPr>
            </w:pPr>
            <w:r>
              <w:rPr>
                <w:rFonts w:ascii="Arial" w:cs="Arial" w:eastAsia="Arial" w:hAnsi="Arial"/>
                <w:sz w:val="18"/>
                <w:szCs w:val="18"/>
                <w:color w:val="auto"/>
              </w:rPr>
              <w:t>(Address of Principal Executive Offices)</w:t>
            </w:r>
          </w:p>
        </w:tc>
        <w:tc>
          <w:tcPr>
            <w:tcW w:w="1180" w:type="dxa"/>
            <w:vAlign w:val="bottom"/>
          </w:tcPr>
          <w:p>
            <w:pPr>
              <w:spacing w:after="0"/>
              <w:rPr>
                <w:sz w:val="23"/>
                <w:szCs w:val="23"/>
                <w:color w:val="auto"/>
              </w:rPr>
            </w:pPr>
          </w:p>
        </w:tc>
        <w:tc>
          <w:tcPr>
            <w:tcW w:w="2860" w:type="dxa"/>
            <w:vAlign w:val="bottom"/>
          </w:tcPr>
          <w:p>
            <w:pPr>
              <w:jc w:val="center"/>
              <w:ind w:left="286"/>
              <w:spacing w:after="0"/>
              <w:rPr>
                <w:sz w:val="20"/>
                <w:szCs w:val="20"/>
                <w:color w:val="auto"/>
              </w:rPr>
            </w:pPr>
            <w:r>
              <w:rPr>
                <w:rFonts w:ascii="Arial" w:cs="Arial" w:eastAsia="Arial" w:hAnsi="Arial"/>
                <w:sz w:val="18"/>
                <w:szCs w:val="18"/>
                <w:color w:val="auto"/>
                <w:w w:val="94"/>
              </w:rPr>
              <w:t>(Zip Code)</w:t>
            </w:r>
          </w:p>
        </w:tc>
      </w:tr>
    </w:tbl>
    <w:p>
      <w:pPr>
        <w:spacing w:after="0" w:line="193"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9"/>
          <w:szCs w:val="19"/>
          <w:b w:val="1"/>
          <w:bCs w:val="1"/>
          <w:color w:val="auto"/>
        </w:rPr>
        <w:t>(314) 644-7600</w:t>
      </w:r>
    </w:p>
    <w:p>
      <w:pPr>
        <w:spacing w:after="0" w:line="19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540" w:hanging="208"/>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40" w:hanging="208"/>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40" w:hanging="208"/>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540" w:hanging="208"/>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67" w:lineRule="exact"/>
        <w:rPr>
          <w:sz w:val="24"/>
          <w:szCs w:val="24"/>
          <w:color w:val="auto"/>
        </w:rPr>
      </w:pPr>
    </w:p>
    <w:tbl>
      <w:tblPr>
        <w:tblLayout w:type="fixed"/>
        <w:tblInd w:w="180" w:type="dxa"/>
        <w:tblCellMar>
          <w:top w:w="0" w:type="dxa"/>
          <w:left w:w="0" w:type="dxa"/>
          <w:bottom w:w="0" w:type="dxa"/>
          <w:right w:w="0" w:type="dxa"/>
        </w:tblCellMar>
      </w:tblPr>
      <w:tr>
        <w:trPr>
          <w:trHeight w:val="207"/>
        </w:trPr>
        <w:tc>
          <w:tcPr>
            <w:tcW w:w="1040" w:type="dxa"/>
            <w:vAlign w:val="bottom"/>
          </w:tcPr>
          <w:p>
            <w:pPr>
              <w:spacing w:after="0"/>
              <w:rPr>
                <w:sz w:val="18"/>
                <w:szCs w:val="18"/>
                <w:color w:val="auto"/>
              </w:rPr>
            </w:pPr>
          </w:p>
        </w:tc>
        <w:tc>
          <w:tcPr>
            <w:tcW w:w="2700" w:type="dxa"/>
            <w:vAlign w:val="bottom"/>
            <w:gridSpan w:val="2"/>
          </w:tcPr>
          <w:p>
            <w:pPr>
              <w:jc w:val="center"/>
              <w:ind w:right="1400"/>
              <w:spacing w:after="0"/>
              <w:rPr>
                <w:sz w:val="20"/>
                <w:szCs w:val="20"/>
                <w:color w:val="auto"/>
              </w:rPr>
            </w:pPr>
            <w:r>
              <w:rPr>
                <w:rFonts w:ascii="Arial" w:cs="Arial" w:eastAsia="Arial" w:hAnsi="Arial"/>
                <w:sz w:val="18"/>
                <w:szCs w:val="18"/>
                <w:color w:val="auto"/>
                <w:w w:val="90"/>
              </w:rPr>
              <w:t>Title of each class</w:t>
            </w:r>
          </w:p>
        </w:tc>
        <w:tc>
          <w:tcPr>
            <w:tcW w:w="2500" w:type="dxa"/>
            <w:vAlign w:val="bottom"/>
            <w:gridSpan w:val="3"/>
          </w:tcPr>
          <w:p>
            <w:pPr>
              <w:jc w:val="center"/>
              <w:ind w:right="460"/>
              <w:spacing w:after="0"/>
              <w:rPr>
                <w:sz w:val="20"/>
                <w:szCs w:val="20"/>
                <w:color w:val="auto"/>
              </w:rPr>
            </w:pPr>
            <w:r>
              <w:rPr>
                <w:rFonts w:ascii="Arial" w:cs="Arial" w:eastAsia="Arial" w:hAnsi="Arial"/>
                <w:sz w:val="18"/>
                <w:szCs w:val="18"/>
                <w:color w:val="auto"/>
                <w:w w:val="92"/>
              </w:rPr>
              <w:t>Trading Symbol(s)</w:t>
            </w:r>
          </w:p>
        </w:tc>
        <w:tc>
          <w:tcPr>
            <w:tcW w:w="318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0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72"/>
        </w:trPr>
        <w:tc>
          <w:tcPr>
            <w:tcW w:w="374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0"/>
              </w:rPr>
              <w:t>Class A Common Stock, $0.01 par value per</w:t>
            </w:r>
          </w:p>
        </w:tc>
        <w:tc>
          <w:tcPr>
            <w:tcW w:w="340" w:type="dxa"/>
            <w:vAlign w:val="bottom"/>
          </w:tcPr>
          <w:p>
            <w:pPr>
              <w:spacing w:after="0"/>
              <w:rPr>
                <w:sz w:val="23"/>
                <w:szCs w:val="23"/>
                <w:color w:val="auto"/>
              </w:rPr>
            </w:pPr>
          </w:p>
        </w:tc>
        <w:tc>
          <w:tcPr>
            <w:tcW w:w="216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96"/>
              </w:rPr>
              <w:t>BRBR</w:t>
            </w:r>
          </w:p>
        </w:tc>
        <w:tc>
          <w:tcPr>
            <w:tcW w:w="318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r>
        <w:trPr>
          <w:trHeight w:val="234"/>
        </w:trPr>
        <w:tc>
          <w:tcPr>
            <w:tcW w:w="1040" w:type="dxa"/>
            <w:vAlign w:val="bottom"/>
          </w:tcPr>
          <w:p>
            <w:pPr>
              <w:spacing w:after="0"/>
              <w:rPr>
                <w:sz w:val="20"/>
                <w:szCs w:val="20"/>
                <w:color w:val="auto"/>
              </w:rPr>
            </w:pPr>
          </w:p>
        </w:tc>
        <w:tc>
          <w:tcPr>
            <w:tcW w:w="2700" w:type="dxa"/>
            <w:vAlign w:val="bottom"/>
            <w:gridSpan w:val="2"/>
          </w:tcPr>
          <w:p>
            <w:pPr>
              <w:jc w:val="center"/>
              <w:ind w:right="1400"/>
              <w:spacing w:after="0"/>
              <w:rPr>
                <w:sz w:val="20"/>
                <w:szCs w:val="20"/>
                <w:color w:val="auto"/>
              </w:rPr>
            </w:pPr>
            <w:r>
              <w:rPr>
                <w:rFonts w:ascii="Arial" w:cs="Arial" w:eastAsia="Arial" w:hAnsi="Arial"/>
                <w:sz w:val="18"/>
                <w:szCs w:val="18"/>
                <w:b w:val="1"/>
                <w:bCs w:val="1"/>
                <w:color w:val="auto"/>
                <w:w w:val="87"/>
              </w:rPr>
              <w:t>share</w:t>
            </w: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180" w:type="dxa"/>
            <w:vAlign w:val="bottom"/>
          </w:tcPr>
          <w:p>
            <w:pPr>
              <w:spacing w:after="0"/>
              <w:rPr>
                <w:sz w:val="20"/>
                <w:szCs w:val="20"/>
                <w:color w:val="auto"/>
              </w:rPr>
            </w:pPr>
          </w:p>
        </w:tc>
      </w:tr>
    </w:tbl>
    <w:p>
      <w:pPr>
        <w:spacing w:after="0" w:line="229"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w:t>
      </w:r>
    </w:p>
    <w:p>
      <w:pPr>
        <w:spacing w:after="0" w:line="11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wp:posOffset>
            </wp:positionH>
            <wp:positionV relativeFrom="paragraph">
              <wp:posOffset>288925</wp:posOffset>
            </wp:positionV>
            <wp:extent cx="63690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69050" cy="8255"/>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314325</wp:posOffset>
            </wp:positionV>
            <wp:extent cx="63690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69050" cy="8890"/>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189"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BellRing Brands, Inc. (the “Company”) held its annual meeting of stockholders (the “Annual Meeting”) at the offices of Post Holdings, Inc., 2600 S. Hanley Rd., St. Louis, Missouri 63144 on Friday, March 6, 2020. At the Annual Meeting, 37,610,376 votes for the holders of 37,610,376 shares of the Class A common stock of the Company and 80,051,947 votes for the holder of 1 share of the Class B common stock of the Company, totaling 117,662,323 votes of the common stock of the Company, were represented, constituting a 98.48% quorum. The final result for each of the matters submitted to a vote of the stockholders at the Annual Meeting are as follows:</w:t>
      </w:r>
    </w:p>
    <w:p>
      <w:pPr>
        <w:spacing w:after="0" w:line="216" w:lineRule="exact"/>
        <w:rPr>
          <w:sz w:val="20"/>
          <w:szCs w:val="20"/>
          <w:color w:val="auto"/>
        </w:rPr>
      </w:pPr>
    </w:p>
    <w:p>
      <w:pPr>
        <w:ind w:left="1300" w:right="220" w:hanging="1295"/>
        <w:spacing w:after="0" w:line="261" w:lineRule="auto"/>
        <w:rPr>
          <w:sz w:val="20"/>
          <w:szCs w:val="20"/>
          <w:color w:val="auto"/>
        </w:rPr>
      </w:pPr>
      <w:r>
        <w:rPr>
          <w:rFonts w:ascii="Arial" w:cs="Arial" w:eastAsia="Arial" w:hAnsi="Arial"/>
          <w:sz w:val="18"/>
          <w:szCs w:val="18"/>
          <w:i w:val="1"/>
          <w:iCs w:val="1"/>
          <w:color w:val="auto"/>
        </w:rPr>
        <w:t xml:space="preserve">Proposal 1: </w:t>
      </w:r>
      <w:r>
        <w:rPr>
          <w:rFonts w:ascii="Arial" w:cs="Arial" w:eastAsia="Arial" w:hAnsi="Arial"/>
          <w:sz w:val="18"/>
          <w:szCs w:val="18"/>
          <w:color w:val="auto"/>
        </w:rPr>
        <w:t>Both of the nominees for director were elected to serve until the Company’s annual meeting of stockholders to be held in 2023 or until their</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 successors are elected and qualified, by the votes set forth in the table below:</w:t>
      </w:r>
    </w:p>
    <w:p>
      <w:pPr>
        <w:spacing w:after="0" w:line="248"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Percentage of Votes</w:t>
            </w:r>
          </w:p>
        </w:tc>
      </w:tr>
      <w:tr>
        <w:trPr>
          <w:trHeight w:val="234"/>
        </w:trPr>
        <w:tc>
          <w:tcPr>
            <w:tcW w:w="2080" w:type="dxa"/>
            <w:vAlign w:val="bottom"/>
            <w:gridSpan w:val="2"/>
          </w:tcPr>
          <w:p>
            <w:pPr>
              <w:ind w:left="620"/>
              <w:spacing w:after="0"/>
              <w:rPr>
                <w:sz w:val="20"/>
                <w:szCs w:val="20"/>
                <w:color w:val="auto"/>
              </w:rPr>
            </w:pPr>
            <w:r>
              <w:rPr>
                <w:rFonts w:ascii="Arial" w:cs="Arial" w:eastAsia="Arial" w:hAnsi="Arial"/>
                <w:sz w:val="18"/>
                <w:szCs w:val="18"/>
                <w:b w:val="1"/>
                <w:bCs w:val="1"/>
                <w:color w:val="auto"/>
              </w:rPr>
              <w:t>Nominee</w:t>
            </w:r>
          </w:p>
        </w:tc>
        <w:tc>
          <w:tcPr>
            <w:tcW w:w="1660" w:type="dxa"/>
            <w:vAlign w:val="bottom"/>
            <w:gridSpan w:val="2"/>
          </w:tcPr>
          <w:p>
            <w:pPr>
              <w:ind w:left="620"/>
              <w:spacing w:after="0"/>
              <w:rPr>
                <w:sz w:val="20"/>
                <w:szCs w:val="20"/>
                <w:color w:val="auto"/>
              </w:rPr>
            </w:pPr>
            <w:r>
              <w:rPr>
                <w:rFonts w:ascii="Arial" w:cs="Arial" w:eastAsia="Arial" w:hAnsi="Arial"/>
                <w:sz w:val="18"/>
                <w:szCs w:val="18"/>
                <w:b w:val="1"/>
                <w:bCs w:val="1"/>
                <w:color w:val="auto"/>
              </w:rPr>
              <w:t>For</w:t>
            </w:r>
          </w:p>
        </w:tc>
        <w:tc>
          <w:tcPr>
            <w:tcW w:w="1680" w:type="dxa"/>
            <w:vAlign w:val="bottom"/>
            <w:gridSpan w:val="2"/>
          </w:tcPr>
          <w:p>
            <w:pPr>
              <w:ind w:left="400"/>
              <w:spacing w:after="0"/>
              <w:rPr>
                <w:sz w:val="20"/>
                <w:szCs w:val="20"/>
                <w:color w:val="auto"/>
              </w:rPr>
            </w:pPr>
            <w:r>
              <w:rPr>
                <w:rFonts w:ascii="Arial" w:cs="Arial" w:eastAsia="Arial" w:hAnsi="Arial"/>
                <w:sz w:val="18"/>
                <w:szCs w:val="18"/>
                <w:b w:val="1"/>
                <w:bCs w:val="1"/>
                <w:color w:val="auto"/>
              </w:rPr>
              <w:t>Withhold</w:t>
            </w:r>
          </w:p>
        </w:tc>
        <w:tc>
          <w:tcPr>
            <w:tcW w:w="1660" w:type="dxa"/>
            <w:vAlign w:val="bottom"/>
            <w:gridSpan w:val="2"/>
          </w:tcPr>
          <w:p>
            <w:pPr>
              <w:ind w:left="60"/>
              <w:spacing w:after="0"/>
              <w:rPr>
                <w:sz w:val="20"/>
                <w:szCs w:val="20"/>
                <w:color w:val="auto"/>
              </w:rPr>
            </w:pPr>
            <w:r>
              <w:rPr>
                <w:rFonts w:ascii="Arial" w:cs="Arial" w:eastAsia="Arial" w:hAnsi="Arial"/>
                <w:sz w:val="18"/>
                <w:szCs w:val="18"/>
                <w:b w:val="1"/>
                <w:bCs w:val="1"/>
                <w:color w:val="auto"/>
              </w:rPr>
              <w:t>Broker Non-Votes</w:t>
            </w: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rPr>
              <w:t>Cast For</w:t>
            </w:r>
          </w:p>
        </w:tc>
        <w:tc>
          <w:tcPr>
            <w:tcW w:w="200" w:type="dxa"/>
            <w:vAlign w:val="bottom"/>
          </w:tcPr>
          <w:p>
            <w:pPr>
              <w:spacing w:after="0"/>
              <w:rPr>
                <w:sz w:val="20"/>
                <w:szCs w:val="20"/>
                <w:color w:val="auto"/>
              </w:rPr>
            </w:pPr>
          </w:p>
        </w:tc>
      </w:tr>
      <w:tr>
        <w:trPr>
          <w:trHeight w:val="27"/>
        </w:trPr>
        <w:tc>
          <w:tcPr>
            <w:tcW w:w="19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3"/>
        </w:trPr>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Elliot H. Stein, Jr.</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111,974,568</w:t>
            </w: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5,039,558</w:t>
            </w: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648,197</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2080" w:type="dxa"/>
            <w:vAlign w:val="bottom"/>
            <w:gridSpan w:val="2"/>
          </w:tcPr>
          <w:p>
            <w:pPr>
              <w:ind w:left="20"/>
              <w:spacing w:after="0"/>
              <w:rPr>
                <w:sz w:val="20"/>
                <w:szCs w:val="20"/>
                <w:color w:val="auto"/>
              </w:rPr>
            </w:pPr>
            <w:r>
              <w:rPr>
                <w:rFonts w:ascii="Arial" w:cs="Arial" w:eastAsia="Arial" w:hAnsi="Arial"/>
                <w:sz w:val="18"/>
                <w:szCs w:val="18"/>
                <w:color w:val="auto"/>
              </w:rPr>
              <w:t>Darcy H. Davenport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114,041,900</w:t>
            </w:r>
          </w:p>
        </w:tc>
        <w:tc>
          <w:tcPr>
            <w:tcW w:w="160" w:type="dxa"/>
            <w:vAlign w:val="bottom"/>
          </w:tcPr>
          <w:p>
            <w:pPr>
              <w:spacing w:after="0"/>
              <w:rPr>
                <w:sz w:val="21"/>
                <w:szCs w:val="21"/>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2,972,226</w:t>
            </w:r>
          </w:p>
        </w:tc>
        <w:tc>
          <w:tcPr>
            <w:tcW w:w="16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648,197</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97.46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bl>
    <w:p>
      <w:pPr>
        <w:spacing w:after="0" w:line="364" w:lineRule="exact"/>
        <w:rPr>
          <w:sz w:val="20"/>
          <w:szCs w:val="20"/>
          <w:color w:val="auto"/>
        </w:rPr>
      </w:pPr>
    </w:p>
    <w:p>
      <w:pPr>
        <w:ind w:left="1300" w:right="200" w:hanging="1295"/>
        <w:spacing w:after="0" w:line="261" w:lineRule="auto"/>
        <w:rPr>
          <w:sz w:val="20"/>
          <w:szCs w:val="20"/>
          <w:color w:val="auto"/>
        </w:rPr>
      </w:pPr>
      <w:r>
        <w:rPr>
          <w:rFonts w:ascii="Arial" w:cs="Arial" w:eastAsia="Arial" w:hAnsi="Arial"/>
          <w:sz w:val="18"/>
          <w:szCs w:val="18"/>
          <w:i w:val="1"/>
          <w:iCs w:val="1"/>
          <w:color w:val="auto"/>
        </w:rPr>
        <w:t xml:space="preserve">Proposal 2: </w:t>
      </w:r>
      <w:r>
        <w:rPr>
          <w:rFonts w:ascii="Arial" w:cs="Arial" w:eastAsia="Arial" w:hAnsi="Arial"/>
          <w:sz w:val="18"/>
          <w:szCs w:val="18"/>
          <w:color w:val="auto"/>
        </w:rPr>
        <w:t>The appointment of PricewaterhouseCoopers LLP as the Company’s independent registered public accounting firm for fiscal year 2020 was</w:t>
      </w:r>
      <w:r>
        <w:rPr>
          <w:rFonts w:ascii="Arial" w:cs="Arial" w:eastAsia="Arial" w:hAnsi="Arial"/>
          <w:sz w:val="18"/>
          <w:szCs w:val="18"/>
          <w:i w:val="1"/>
          <w:iCs w:val="1"/>
          <w:color w:val="auto"/>
        </w:rPr>
        <w:t xml:space="preserve"> </w:t>
      </w:r>
      <w:r>
        <w:rPr>
          <w:rFonts w:ascii="Arial" w:cs="Arial" w:eastAsia="Arial" w:hAnsi="Arial"/>
          <w:sz w:val="18"/>
          <w:szCs w:val="18"/>
          <w:color w:val="auto"/>
        </w:rPr>
        <w:t>ratified by the stockholders, by the votes set forth in the table below:</w:t>
      </w:r>
    </w:p>
    <w:p>
      <w:pPr>
        <w:spacing w:after="0" w:line="248"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6"/>
              </w:rPr>
              <w:t>Percentage of Votes</w:t>
            </w:r>
          </w:p>
        </w:tc>
      </w:tr>
      <w:tr>
        <w:trPr>
          <w:trHeight w:val="234"/>
        </w:trPr>
        <w:tc>
          <w:tcPr>
            <w:tcW w:w="1740" w:type="dxa"/>
            <w:vAlign w:val="bottom"/>
            <w:gridSpan w:val="2"/>
          </w:tcPr>
          <w:p>
            <w:pPr>
              <w:ind w:left="640"/>
              <w:spacing w:after="0"/>
              <w:rPr>
                <w:sz w:val="20"/>
                <w:szCs w:val="20"/>
                <w:color w:val="auto"/>
              </w:rPr>
            </w:pPr>
            <w:r>
              <w:rPr>
                <w:rFonts w:ascii="Arial" w:cs="Arial" w:eastAsia="Arial" w:hAnsi="Arial"/>
                <w:sz w:val="18"/>
                <w:szCs w:val="18"/>
                <w:b w:val="1"/>
                <w:bCs w:val="1"/>
                <w:color w:val="auto"/>
              </w:rPr>
              <w:t>For</w:t>
            </w:r>
          </w:p>
        </w:tc>
        <w:tc>
          <w:tcPr>
            <w:tcW w:w="1760" w:type="dxa"/>
            <w:vAlign w:val="bottom"/>
            <w:gridSpan w:val="2"/>
          </w:tcPr>
          <w:p>
            <w:pPr>
              <w:ind w:left="480"/>
              <w:spacing w:after="0"/>
              <w:rPr>
                <w:sz w:val="20"/>
                <w:szCs w:val="20"/>
                <w:color w:val="auto"/>
              </w:rPr>
            </w:pPr>
            <w:r>
              <w:rPr>
                <w:rFonts w:ascii="Arial" w:cs="Arial" w:eastAsia="Arial" w:hAnsi="Arial"/>
                <w:sz w:val="18"/>
                <w:szCs w:val="18"/>
                <w:b w:val="1"/>
                <w:bCs w:val="1"/>
                <w:color w:val="auto"/>
              </w:rPr>
              <w:t>Against</w:t>
            </w:r>
          </w:p>
        </w:tc>
        <w:tc>
          <w:tcPr>
            <w:tcW w:w="1740" w:type="dxa"/>
            <w:vAlign w:val="bottom"/>
            <w:gridSpan w:val="2"/>
          </w:tcPr>
          <w:p>
            <w:pPr>
              <w:ind w:left="480"/>
              <w:spacing w:after="0"/>
              <w:rPr>
                <w:sz w:val="20"/>
                <w:szCs w:val="20"/>
                <w:color w:val="auto"/>
              </w:rPr>
            </w:pPr>
            <w:r>
              <w:rPr>
                <w:rFonts w:ascii="Arial" w:cs="Arial" w:eastAsia="Arial" w:hAnsi="Arial"/>
                <w:sz w:val="18"/>
                <w:szCs w:val="18"/>
                <w:b w:val="1"/>
                <w:bCs w:val="1"/>
                <w:color w:val="auto"/>
              </w:rPr>
              <w:t>Abstain</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Cast For</w:t>
            </w:r>
          </w:p>
        </w:tc>
      </w:tr>
      <w:tr>
        <w:trPr>
          <w:trHeight w:val="27"/>
        </w:trPr>
        <w:tc>
          <w:tcPr>
            <w:tcW w:w="15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7"/>
        </w:trPr>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117,591,579</w:t>
            </w:r>
          </w:p>
        </w:tc>
        <w:tc>
          <w:tcPr>
            <w:tcW w:w="200" w:type="dxa"/>
            <w:vAlign w:val="bottom"/>
            <w:shd w:val="clear" w:color="auto" w:fill="CCEEFF"/>
          </w:tcPr>
          <w:p>
            <w:pPr>
              <w:spacing w:after="0"/>
              <w:rPr>
                <w:sz w:val="20"/>
                <w:szCs w:val="20"/>
                <w:color w:val="auto"/>
              </w:rPr>
            </w:pP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2,980</w:t>
            </w: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67,764</w:t>
            </w:r>
          </w:p>
        </w:tc>
        <w:tc>
          <w:tcPr>
            <w:tcW w:w="2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100.00 %</w:t>
            </w:r>
          </w:p>
        </w:tc>
      </w:tr>
      <w:tr>
        <w:trPr>
          <w:trHeight w:val="27"/>
        </w:trPr>
        <w:tc>
          <w:tcPr>
            <w:tcW w:w="15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80" w:lineRule="exact"/>
        <w:rPr>
          <w:sz w:val="20"/>
          <w:szCs w:val="20"/>
          <w:color w:val="auto"/>
        </w:rPr>
      </w:pPr>
    </w:p>
    <w:p>
      <w:pPr>
        <w:jc w:val="both"/>
        <w:ind w:left="1300" w:right="20" w:hanging="1295"/>
        <w:spacing w:after="0" w:line="248" w:lineRule="auto"/>
        <w:rPr>
          <w:sz w:val="20"/>
          <w:szCs w:val="20"/>
          <w:color w:val="auto"/>
        </w:rPr>
      </w:pPr>
      <w:r>
        <w:rPr>
          <w:rFonts w:ascii="Arial" w:cs="Arial" w:eastAsia="Arial" w:hAnsi="Arial"/>
          <w:sz w:val="18"/>
          <w:szCs w:val="18"/>
          <w:i w:val="1"/>
          <w:iCs w:val="1"/>
          <w:color w:val="auto"/>
        </w:rPr>
        <w:t xml:space="preserve">Proposal 3: </w:t>
      </w:r>
      <w:r>
        <w:rPr>
          <w:rFonts w:ascii="Arial" w:cs="Arial" w:eastAsia="Arial" w:hAnsi="Arial"/>
          <w:sz w:val="18"/>
          <w:szCs w:val="18"/>
          <w:color w:val="auto"/>
        </w:rPr>
        <w:t>The Company’s Deferred Compensation Plan for Directors, as described in, and filed as part of, the Company’s Definitive Proxy Statement on</w:t>
      </w:r>
      <w:r>
        <w:rPr>
          <w:rFonts w:ascii="Arial" w:cs="Arial" w:eastAsia="Arial" w:hAnsi="Arial"/>
          <w:sz w:val="18"/>
          <w:szCs w:val="18"/>
          <w:i w:val="1"/>
          <w:iCs w:val="1"/>
          <w:color w:val="auto"/>
        </w:rPr>
        <w:t xml:space="preserve"> </w:t>
      </w:r>
      <w:r>
        <w:rPr>
          <w:rFonts w:ascii="Arial" w:cs="Arial" w:eastAsia="Arial" w:hAnsi="Arial"/>
          <w:sz w:val="18"/>
          <w:szCs w:val="18"/>
          <w:color w:val="auto"/>
        </w:rPr>
        <w:t>Schedule 14A filed with the Securities and Exchange Commission on January 24, 2020, was approved by the votes set forth in the table below:</w:t>
      </w:r>
    </w:p>
    <w:p>
      <w:pPr>
        <w:spacing w:after="0" w:line="259"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86"/>
              </w:rPr>
              <w:t>Percentage of Votes</w:t>
            </w:r>
          </w:p>
        </w:tc>
      </w:tr>
      <w:tr>
        <w:trPr>
          <w:trHeight w:val="234"/>
        </w:trPr>
        <w:tc>
          <w:tcPr>
            <w:tcW w:w="1820" w:type="dxa"/>
            <w:vAlign w:val="bottom"/>
            <w:gridSpan w:val="2"/>
          </w:tcPr>
          <w:p>
            <w:pPr>
              <w:ind w:left="660"/>
              <w:spacing w:after="0"/>
              <w:rPr>
                <w:sz w:val="20"/>
                <w:szCs w:val="20"/>
                <w:color w:val="auto"/>
              </w:rPr>
            </w:pPr>
            <w:r>
              <w:rPr>
                <w:rFonts w:ascii="Arial" w:cs="Arial" w:eastAsia="Arial" w:hAnsi="Arial"/>
                <w:sz w:val="18"/>
                <w:szCs w:val="18"/>
                <w:b w:val="1"/>
                <w:bCs w:val="1"/>
                <w:color w:val="auto"/>
              </w:rPr>
              <w:t>For</w:t>
            </w:r>
          </w:p>
        </w:tc>
        <w:tc>
          <w:tcPr>
            <w:tcW w:w="1820" w:type="dxa"/>
            <w:vAlign w:val="bottom"/>
            <w:gridSpan w:val="2"/>
          </w:tcPr>
          <w:p>
            <w:pPr>
              <w:ind w:left="500"/>
              <w:spacing w:after="0"/>
              <w:rPr>
                <w:sz w:val="20"/>
                <w:szCs w:val="20"/>
                <w:color w:val="auto"/>
              </w:rPr>
            </w:pPr>
            <w:r>
              <w:rPr>
                <w:rFonts w:ascii="Arial" w:cs="Arial" w:eastAsia="Arial" w:hAnsi="Arial"/>
                <w:sz w:val="18"/>
                <w:szCs w:val="18"/>
                <w:b w:val="1"/>
                <w:bCs w:val="1"/>
                <w:color w:val="auto"/>
              </w:rPr>
              <w:t>Against</w:t>
            </w:r>
          </w:p>
        </w:tc>
        <w:tc>
          <w:tcPr>
            <w:tcW w:w="1840" w:type="dxa"/>
            <w:vAlign w:val="bottom"/>
            <w:gridSpan w:val="2"/>
          </w:tcPr>
          <w:p>
            <w:pPr>
              <w:ind w:left="500"/>
              <w:spacing w:after="0"/>
              <w:rPr>
                <w:sz w:val="20"/>
                <w:szCs w:val="20"/>
                <w:color w:val="auto"/>
              </w:rPr>
            </w:pPr>
            <w:r>
              <w:rPr>
                <w:rFonts w:ascii="Arial" w:cs="Arial" w:eastAsia="Arial" w:hAnsi="Arial"/>
                <w:sz w:val="18"/>
                <w:szCs w:val="18"/>
                <w:b w:val="1"/>
                <w:bCs w:val="1"/>
                <w:color w:val="auto"/>
              </w:rPr>
              <w:t>Abstain</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0"/>
              </w:rPr>
              <w:t>Cast For</w:t>
            </w:r>
          </w:p>
        </w:tc>
      </w:tr>
      <w:tr>
        <w:trPr>
          <w:trHeight w:val="27"/>
        </w:trPr>
        <w:tc>
          <w:tcPr>
            <w:tcW w:w="16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1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116,871,012</w:t>
            </w:r>
          </w:p>
        </w:tc>
        <w:tc>
          <w:tcPr>
            <w:tcW w:w="200" w:type="dxa"/>
            <w:vAlign w:val="bottom"/>
            <w:shd w:val="clear" w:color="auto" w:fill="CCEEFF"/>
          </w:tcPr>
          <w:p>
            <w:pPr>
              <w:spacing w:after="0"/>
              <w:rPr>
                <w:sz w:val="20"/>
                <w:szCs w:val="20"/>
                <w:color w:val="auto"/>
              </w:rPr>
            </w:pPr>
          </w:p>
        </w:tc>
        <w:tc>
          <w:tcPr>
            <w:tcW w:w="1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114,531</w:t>
            </w:r>
          </w:p>
        </w:tc>
        <w:tc>
          <w:tcPr>
            <w:tcW w:w="200" w:type="dxa"/>
            <w:vAlign w:val="bottom"/>
            <w:shd w:val="clear" w:color="auto" w:fill="CCEEFF"/>
          </w:tcPr>
          <w:p>
            <w:pPr>
              <w:spacing w:after="0"/>
              <w:rPr>
                <w:sz w:val="20"/>
                <w:szCs w:val="20"/>
                <w:color w:val="auto"/>
              </w:rPr>
            </w:pPr>
          </w:p>
        </w:tc>
        <w:tc>
          <w:tcPr>
            <w:tcW w:w="1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28,583</w:t>
            </w:r>
          </w:p>
        </w:tc>
        <w:tc>
          <w:tcPr>
            <w:tcW w:w="22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99.90 %</w:t>
            </w:r>
          </w:p>
        </w:tc>
      </w:tr>
      <w:tr>
        <w:trPr>
          <w:trHeight w:val="27"/>
        </w:trPr>
        <w:tc>
          <w:tcPr>
            <w:tcW w:w="16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r>
    </w:tbl>
    <w:p>
      <w:pPr>
        <w:sectPr>
          <w:pgSz w:w="11900" w:h="16838" w:orient="portrait"/>
          <w:cols w:equalWidth="0" w:num="1">
            <w:col w:w="11180"/>
          </w:cols>
          <w:pgMar w:left="320" w:top="1431" w:right="399" w:bottom="1440" w:gutter="0" w:footer="0" w:header="0"/>
        </w:sectPr>
      </w:pPr>
    </w:p>
    <w:bookmarkStart w:id="2" w:name="page3"/>
    <w:bookmarkEnd w:id="2"/>
    <w:p>
      <w:pPr>
        <w:spacing w:after="0" w:line="30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7" w:lineRule="exact"/>
        <w:rPr>
          <w:sz w:val="20"/>
          <w:szCs w:val="20"/>
          <w:color w:val="auto"/>
        </w:rPr>
      </w:pPr>
    </w:p>
    <w:p>
      <w:pPr>
        <w:ind w:left="20"/>
        <w:spacing w:after="0"/>
        <w:tabs>
          <w:tab w:leader="none" w:pos="5520" w:val="left"/>
        </w:tabs>
        <w:rPr>
          <w:sz w:val="20"/>
          <w:szCs w:val="20"/>
          <w:color w:val="auto"/>
        </w:rPr>
      </w:pPr>
      <w:r>
        <w:rPr>
          <w:rFonts w:ascii="Arial" w:cs="Arial" w:eastAsia="Arial" w:hAnsi="Arial"/>
          <w:sz w:val="18"/>
          <w:szCs w:val="18"/>
          <w:color w:val="auto"/>
        </w:rPr>
        <w:t>Date: March 12, 2020</w:t>
      </w:r>
      <w:r>
        <w:rPr>
          <w:sz w:val="20"/>
          <w:szCs w:val="20"/>
          <w:color w:val="auto"/>
        </w:rPr>
        <w:tab/>
      </w:r>
      <w:r>
        <w:rPr>
          <w:rFonts w:ascii="Arial" w:cs="Arial" w:eastAsia="Arial" w:hAnsi="Arial"/>
          <w:sz w:val="16"/>
          <w:szCs w:val="16"/>
          <w:b w:val="1"/>
          <w:bCs w:val="1"/>
          <w:color w:val="auto"/>
        </w:rPr>
        <w:t>BellRing Brands, Inc.</w:t>
      </w:r>
    </w:p>
    <w:p>
      <w:pPr>
        <w:spacing w:after="0" w:line="13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68" w:lineRule="exact"/>
        <w:rPr>
          <w:sz w:val="20"/>
          <w:szCs w:val="20"/>
          <w:color w:val="auto"/>
        </w:rPr>
      </w:pPr>
    </w:p>
    <w:tbl>
      <w:tblPr>
        <w:tblLayout w:type="fixed"/>
        <w:tblInd w:w="554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Pr>
          <w:p>
            <w:pPr>
              <w:ind w:left="20"/>
              <w:spacing w:after="0"/>
              <w:rPr>
                <w:sz w:val="20"/>
                <w:szCs w:val="20"/>
                <w:color w:val="auto"/>
              </w:rPr>
            </w:pPr>
            <w:r>
              <w:rPr>
                <w:rFonts w:ascii="Arial" w:cs="Arial" w:eastAsia="Arial" w:hAnsi="Arial"/>
                <w:sz w:val="18"/>
                <w:szCs w:val="18"/>
                <w:color w:val="auto"/>
              </w:rPr>
              <w:t>/s/ Craig L. Rosenthal</w:t>
            </w:r>
          </w:p>
        </w:tc>
      </w:tr>
      <w:tr>
        <w:trPr>
          <w:trHeight w:val="27"/>
        </w:trPr>
        <w:tc>
          <w:tcPr>
            <w:tcW w:w="90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291"/>
        </w:trPr>
        <w:tc>
          <w:tcPr>
            <w:tcW w:w="900" w:type="dxa"/>
            <w:vAlign w:val="bottom"/>
          </w:tcPr>
          <w:p>
            <w:pPr>
              <w:spacing w:after="0"/>
              <w:rPr>
                <w:sz w:val="20"/>
                <w:szCs w:val="20"/>
                <w:color w:val="auto"/>
              </w:rPr>
            </w:pPr>
            <w:r>
              <w:rPr>
                <w:rFonts w:ascii="Arial" w:cs="Arial" w:eastAsia="Arial" w:hAnsi="Arial"/>
                <w:sz w:val="18"/>
                <w:szCs w:val="18"/>
                <w:color w:val="auto"/>
              </w:rPr>
              <w:t>Name:</w:t>
            </w:r>
          </w:p>
        </w:tc>
        <w:tc>
          <w:tcPr>
            <w:tcW w:w="4580" w:type="dxa"/>
            <w:vAlign w:val="bottom"/>
          </w:tcPr>
          <w:p>
            <w:pPr>
              <w:ind w:left="20"/>
              <w:spacing w:after="0"/>
              <w:rPr>
                <w:sz w:val="20"/>
                <w:szCs w:val="20"/>
                <w:color w:val="auto"/>
              </w:rPr>
            </w:pPr>
            <w:r>
              <w:rPr>
                <w:rFonts w:ascii="Arial" w:cs="Arial" w:eastAsia="Arial" w:hAnsi="Arial"/>
                <w:sz w:val="18"/>
                <w:szCs w:val="18"/>
                <w:color w:val="auto"/>
              </w:rPr>
              <w:t>Craig L. Rosenthal</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ind w:left="20"/>
              <w:spacing w:after="0"/>
              <w:rPr>
                <w:sz w:val="20"/>
                <w:szCs w:val="20"/>
                <w:color w:val="auto"/>
              </w:rPr>
            </w:pPr>
            <w:r>
              <w:rPr>
                <w:rFonts w:ascii="Arial" w:cs="Arial" w:eastAsia="Arial" w:hAnsi="Arial"/>
                <w:sz w:val="18"/>
                <w:szCs w:val="18"/>
                <w:color w:val="auto"/>
              </w:rPr>
              <w:t>Senior Vice President, General Counsel and Secretary</w:t>
            </w:r>
          </w:p>
        </w:tc>
      </w:tr>
    </w:tbl>
    <w:p>
      <w:pPr>
        <w:spacing w:after="0" w:line="1" w:lineRule="exact"/>
        <w:rPr>
          <w:sz w:val="20"/>
          <w:szCs w:val="20"/>
          <w:color w:val="auto"/>
        </w:rPr>
      </w:pPr>
    </w:p>
    <w:sectPr>
      <w:pgSz w:w="11900" w:h="16838" w:orient="portrait"/>
      <w:cols w:equalWidth="0" w:num="1">
        <w:col w:w="11200"/>
      </w:cols>
      <w:pgMar w:left="320" w:top="143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2020-03-12T15:11:53Z</dcterms:created>
  <dcterms:modified xsi:type="dcterms:W3CDTF">2020-03-12T15:11:53Z</dcterms:modified>
</cp:coreProperties>
</file>