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66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66005"/>
                    </a:xfrm>
                    <a:prstGeom prst="rect">
                      <a:avLst/>
                    </a:prstGeom>
                    <a:noFill/>
                  </pic:spPr>
                </pic:pic>
              </a:graphicData>
            </a:graphic>
          </wp:anchor>
        </w:drawing>
      </w:r>
    </w:p>
    <w:p>
      <w:pPr>
        <w:sectPr>
          <w:pgSz w:w="11900" w:h="16838" w:orient="portrait"/>
          <w:cols w:equalWidth="0" w:num="1">
            <w:col w:w="10940"/>
          </w:cols>
          <w:pgMar w:left="480" w:top="236" w:right="479" w:bottom="22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restart"/>
          </w:tcPr>
          <w:p>
            <w:pPr>
              <w:spacing w:after="0" w:line="256" w:lineRule="exact"/>
              <w:rPr>
                <w:rFonts w:ascii="Arial" w:cs="Arial" w:eastAsia="Arial" w:hAnsi="Arial"/>
                <w:sz w:val="24"/>
                <w:szCs w:val="24"/>
                <w:color w:val="0000EE"/>
                <w:w w:val="92"/>
              </w:rPr>
            </w:pPr>
            <w:hyperlink r:id="rId10">
              <w:r>
                <w:rPr>
                  <w:rFonts w:ascii="Arial" w:cs="Arial" w:eastAsia="Arial" w:hAnsi="Arial"/>
                  <w:sz w:val="24"/>
                  <w:szCs w:val="24"/>
                  <w:color w:val="0000EE"/>
                  <w:w w:val="92"/>
                </w:rPr>
                <w:t>JOHNSON JENNIFER</w:t>
              </w:r>
            </w:hyperlink>
          </w:p>
        </w:tc>
        <w:tc>
          <w:tcPr>
            <w:tcW w:w="5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60" w:type="dxa"/>
            <w:vAlign w:val="bottom"/>
            <w:tcBorders>
              <w:bottom w:val="single" w:sz="8" w:color="0000EE"/>
            </w:tcBorders>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gridSpan w:val="3"/>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KUPERMAN</w:t>
              </w:r>
            </w:hyperlink>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0"/>
          <w:szCs w:val="20"/>
          <w:color w:val="auto"/>
        </w:rPr>
      </w:pPr>
    </w:p>
    <w:p>
      <w:pPr>
        <w:sectPr>
          <w:pgSz w:w="11900" w:h="16838" w:orient="portrait"/>
          <w:cols w:equalWidth="0" w:num="2">
            <w:col w:w="4720" w:space="280"/>
            <w:col w:w="5940"/>
          </w:cols>
          <w:pgMar w:left="480" w:top="236" w:right="479" w:bottom="226"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226"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12,619</w:t>
            </w:r>
            <w:r>
              <w:rPr>
                <w:rFonts w:ascii="Arial" w:cs="Arial" w:eastAsia="Arial" w:hAnsi="Arial"/>
                <w:sz w:val="25"/>
                <w:szCs w:val="25"/>
                <w:color w:val="008000"/>
                <w:vertAlign w:val="superscript"/>
              </w:rPr>
              <w:t>(1)(2)</w:t>
            </w:r>
          </w:p>
        </w:tc>
        <w:tc>
          <w:tcPr>
            <w:tcW w:w="1040" w:type="dxa"/>
            <w:vAlign w:val="bottom"/>
            <w:tcBorders>
              <w:bottom w:val="single" w:sz="8" w:color="2C2C2C"/>
            </w:tcBorders>
          </w:tcPr>
          <w:p>
            <w:pPr>
              <w:ind w:left="880"/>
              <w:spacing w:after="0"/>
              <w:rPr>
                <w:sz w:val="20"/>
                <w:szCs w:val="20"/>
                <w:color w:val="auto"/>
              </w:rPr>
            </w:pPr>
            <w:r>
              <w:rPr>
                <w:rFonts w:ascii="Arial" w:cs="Arial" w:eastAsia="Arial" w:hAnsi="Arial"/>
                <w:sz w:val="20"/>
                <w:szCs w:val="20"/>
                <w:color w:val="0000FF"/>
                <w:w w:val="96"/>
              </w:rPr>
              <w:t>D</w:t>
            </w: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5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7"/>
              </w:rPr>
              <w:t>BellRing Brands, Inc. Common</w:t>
            </w:r>
          </w:p>
        </w:tc>
        <w:tc>
          <w:tcPr>
            <w:tcW w:w="12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(3)</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ind w:left="180"/>
              <w:spacing w:after="0"/>
              <w:rPr>
                <w:sz w:val="20"/>
                <w:szCs w:val="20"/>
                <w:color w:val="auto"/>
              </w:rPr>
            </w:pPr>
            <w:r>
              <w:rPr>
                <w:rFonts w:ascii="Arial" w:cs="Arial" w:eastAsia="Arial" w:hAnsi="Arial"/>
                <w:sz w:val="20"/>
                <w:szCs w:val="20"/>
                <w:color w:val="0000FF"/>
                <w:w w:val="94"/>
              </w:rPr>
              <w:t>6,332.713</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Equivalents</w:t>
            </w:r>
          </w:p>
        </w:tc>
        <w:tc>
          <w:tcPr>
            <w:tcW w:w="12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100" w:firstLine="5"/>
        <w:spacing w:after="0" w:line="235"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stock equivalents in New BellRing common stock ("Stock Equivalents") which were received by the Reporting Person in connection with the Transactions. The original grant of Class A Common Stock of Old BellRing equivalents (the "Old BellRing Stock Equivalents") were to be distributed (on a one-for-one basis) into shares of Class A Common Stock of Old BellRing upon Reporting Person's retirement from the Board of Directors. The Stock Equivalents have no fixed exercisable or expiration dates. The Old BellRing Stock Equivalents were assumed by New BellRing in connection with the Transactions and replaced with an equal number of Stock Equivalents having the same terms and conditions as the Old BellRing Stock Equivalents. Such award may be adjusted to account for the cash consideration payable to stockholders of Old BellRing in the Transactions. to adjustment pursuant to the terms thereof.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226"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Jennifer Kuperman Johnson</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Jennifer Kuperman Johnson</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648"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2022-03-10T16:36:45Z</dcterms:created>
  <dcterms:modified xsi:type="dcterms:W3CDTF">2022-03-10T16:36:45Z</dcterms:modified>
</cp:coreProperties>
</file>