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jc w:val="center"/>
        <w:ind w:left="340"/>
        <w:spacing w:after="0"/>
        <w:rPr>
          <w:sz w:val="20"/>
          <w:szCs w:val="20"/>
          <w:color w:val="auto"/>
        </w:rPr>
      </w:pPr>
      <w:r>
        <w:rPr>
          <w:rFonts w:ascii="Arial" w:cs="Arial" w:eastAsia="Arial" w:hAnsi="Arial"/>
          <w:sz w:val="10"/>
          <w:szCs w:val="10"/>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-1905</wp:posOffset>
            </wp:positionV>
            <wp:extent cx="140335" cy="189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335" cy="189230"/>
                    </a:xfrm>
                    <a:prstGeom prst="rect">
                      <a:avLst/>
                    </a:prstGeom>
                    <a:noFill/>
                  </pic:spPr>
                </pic:pic>
              </a:graphicData>
            </a:graphic>
          </wp:anchor>
        </w:drawing>
      </w:r>
    </w:p>
    <w:p>
      <w:pPr>
        <w:jc w:val="both"/>
        <w:ind w:left="340" w:right="360" w:hanging="259"/>
        <w:spacing w:after="0" w:line="180" w:lineRule="auto"/>
        <w:tabs>
          <w:tab w:leader="none" w:pos="34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5279390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15875</wp:posOffset>
            </wp:positionV>
            <wp:extent cx="6993890" cy="5257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2578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00"/>
            <w:col w:w="854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RODE PAUL A</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BELLRING BRANDS,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2503 S. HANLEY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BELLRING BRANDS,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BRBR</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6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03/10/2022</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5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80" w:type="dxa"/>
            <w:vAlign w:val="bottom"/>
          </w:tcPr>
          <w:p>
            <w:pPr>
              <w:ind w:left="1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80" w:type="dxa"/>
            <w:vAlign w:val="bottom"/>
          </w:tcPr>
          <w:p>
            <w:pPr>
              <w:ind w:left="1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5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8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20" w:type="dxa"/>
            <w:vAlign w:val="bottom"/>
          </w:tcPr>
          <w:p>
            <w:pPr>
              <w:spacing w:after="0"/>
              <w:rPr>
                <w:sz w:val="21"/>
                <w:szCs w:val="21"/>
                <w:color w:val="auto"/>
              </w:rPr>
            </w:pPr>
          </w:p>
        </w:tc>
        <w:tc>
          <w:tcPr>
            <w:tcW w:w="1500" w:type="dxa"/>
            <w:vAlign w:val="bottom"/>
          </w:tcPr>
          <w:p>
            <w:pPr>
              <w:ind w:left="1000"/>
              <w:spacing w:after="0"/>
              <w:rPr>
                <w:sz w:val="20"/>
                <w:szCs w:val="20"/>
                <w:color w:val="auto"/>
              </w:rPr>
            </w:pPr>
            <w:r>
              <w:rPr>
                <w:rFonts w:ascii="Arial" w:cs="Arial" w:eastAsia="Arial" w:hAnsi="Arial"/>
                <w:sz w:val="17"/>
                <w:szCs w:val="17"/>
                <w:color w:val="0000FF"/>
              </w:rPr>
              <w:t>CFO</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69" w:lineRule="exact"/>
        <w:rPr>
          <w:sz w:val="24"/>
          <w:szCs w:val="24"/>
          <w:color w:val="auto"/>
        </w:rPr>
      </w:pPr>
    </w:p>
    <w:p>
      <w:pPr>
        <w:sectPr>
          <w:pgSz w:w="11900" w:h="16838" w:orient="portrait"/>
          <w:cols w:equalWidth="0" w:num="3">
            <w:col w:w="3200" w:space="720"/>
            <w:col w:w="3140" w:space="68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30"/>
              <w:spacing w:after="0" w:line="141" w:lineRule="exact"/>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line="141"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4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ST. LOUIS</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MO</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63144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12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gridSpan w:val="3"/>
          </w:tcPr>
          <w:p>
            <w:pPr>
              <w:ind w:left="900"/>
              <w:spacing w:after="0"/>
              <w:rPr>
                <w:sz w:val="20"/>
                <w:szCs w:val="20"/>
                <w:color w:val="auto"/>
              </w:rPr>
            </w:pPr>
            <w:r>
              <w:rPr>
                <w:rFonts w:ascii="Arial" w:cs="Arial" w:eastAsia="Arial" w:hAnsi="Arial"/>
                <w:sz w:val="17"/>
                <w:szCs w:val="17"/>
                <w:color w:val="0000FF"/>
              </w:rPr>
              <w:t>03/10/2022</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D</w:t>
            </w:r>
          </w:p>
        </w:tc>
        <w:tc>
          <w:tcPr>
            <w:tcW w:w="160" w:type="dxa"/>
            <w:vAlign w:val="bottom"/>
          </w:tcPr>
          <w:p>
            <w:pPr>
              <w:spacing w:after="0"/>
              <w:rPr>
                <w:sz w:val="22"/>
                <w:szCs w:val="2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0000FF"/>
              </w:rPr>
              <w:t>18,112</w:t>
            </w:r>
          </w:p>
        </w:tc>
        <w:tc>
          <w:tcPr>
            <w:tcW w:w="520" w:type="dxa"/>
            <w:vAlign w:val="bottom"/>
          </w:tcPr>
          <w:p>
            <w:pPr>
              <w:ind w:left="300"/>
              <w:spacing w:after="0"/>
              <w:rPr>
                <w:sz w:val="20"/>
                <w:szCs w:val="20"/>
                <w:color w:val="auto"/>
              </w:rPr>
            </w:pPr>
            <w:r>
              <w:rPr>
                <w:rFonts w:ascii="Arial" w:cs="Arial" w:eastAsia="Arial" w:hAnsi="Arial"/>
                <w:sz w:val="17"/>
                <w:szCs w:val="17"/>
                <w:color w:val="0000FF"/>
              </w:rPr>
              <w:t>D</w:t>
            </w:r>
          </w:p>
        </w:tc>
        <w:tc>
          <w:tcPr>
            <w:tcW w:w="540" w:type="dxa"/>
            <w:vAlign w:val="bottom"/>
          </w:tcPr>
          <w:p>
            <w:pPr>
              <w:jc w:val="right"/>
              <w:ind w:right="37"/>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2"/>
                <w:szCs w:val="22"/>
                <w:color w:val="auto"/>
              </w:rPr>
            </w:pPr>
          </w:p>
        </w:tc>
        <w:tc>
          <w:tcPr>
            <w:tcW w:w="1280" w:type="dxa"/>
            <w:vAlign w:val="bottom"/>
            <w:gridSpan w:val="3"/>
          </w:tcPr>
          <w:p>
            <w:pPr>
              <w:jc w:val="right"/>
              <w:ind w:right="321"/>
              <w:spacing w:after="0"/>
              <w:rPr>
                <w:sz w:val="20"/>
                <w:szCs w:val="20"/>
                <w:color w:val="auto"/>
              </w:rPr>
            </w:pPr>
            <w:r>
              <w:rPr>
                <w:rFonts w:ascii="Arial" w:cs="Arial" w:eastAsia="Arial" w:hAnsi="Arial"/>
                <w:sz w:val="17"/>
                <w:szCs w:val="17"/>
                <w:color w:val="0000FF"/>
              </w:rPr>
              <w:t>28,795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5"/>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gridSpan w:val="2"/>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03/10/2022</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5"/>
              </w:rPr>
              <w:t>28,795</w:t>
            </w:r>
            <w:r>
              <w:rPr>
                <w:rFonts w:ascii="Arial" w:cs="Arial" w:eastAsia="Arial" w:hAnsi="Arial"/>
                <w:sz w:val="21"/>
                <w:szCs w:val="21"/>
                <w:color w:val="008000"/>
                <w:w w:val="95"/>
                <w:vertAlign w:val="superscript"/>
              </w:rPr>
              <w:t>(2)</w:t>
            </w: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1"/>
                <w:szCs w:val="11"/>
                <w:color w:val="008000"/>
              </w:rPr>
              <w:t>(1)(2)</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521"/>
              <w:spacing w:after="0"/>
              <w:rPr>
                <w:sz w:val="20"/>
                <w:szCs w:val="20"/>
                <w:color w:val="auto"/>
              </w:rPr>
            </w:pPr>
            <w:r>
              <w:rPr>
                <w:rFonts w:ascii="Arial" w:cs="Arial" w:eastAsia="Arial" w:hAnsi="Arial"/>
                <w:sz w:val="17"/>
                <w:szCs w:val="17"/>
                <w:color w:val="0000FF"/>
              </w:rPr>
              <w:t>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10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gridSpan w:val="2"/>
          </w:tcPr>
          <w:p>
            <w:pPr>
              <w:ind w:left="100"/>
              <w:spacing w:after="0" w:line="142" w:lineRule="exact"/>
              <w:rPr>
                <w:sz w:val="20"/>
                <w:szCs w:val="20"/>
                <w:color w:val="auto"/>
              </w:rPr>
            </w:pPr>
            <w:r>
              <w:rPr>
                <w:rFonts w:ascii="Arial" w:cs="Arial" w:eastAsia="Arial" w:hAnsi="Arial"/>
                <w:sz w:val="13"/>
                <w:szCs w:val="13"/>
                <w:color w:val="0000FF"/>
              </w:rPr>
              <w:t>Class A</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34,610</w:t>
            </w:r>
          </w:p>
        </w:tc>
        <w:tc>
          <w:tcPr>
            <w:tcW w:w="60" w:type="dxa"/>
            <w:vAlign w:val="bottom"/>
          </w:tcPr>
          <w:p>
            <w:pPr>
              <w:spacing w:after="0"/>
              <w:rPr>
                <w:sz w:val="12"/>
                <w:szCs w:val="12"/>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1"/>
                <w:szCs w:val="11"/>
                <w:color w:val="008000"/>
              </w:rPr>
              <w:t>(3)</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20.05</w:t>
            </w:r>
          </w:p>
        </w:tc>
        <w:tc>
          <w:tcPr>
            <w:tcW w:w="140" w:type="dxa"/>
            <w:vAlign w:val="bottom"/>
          </w:tcPr>
          <w:p>
            <w:pPr>
              <w:spacing w:after="0"/>
              <w:rPr>
                <w:sz w:val="12"/>
                <w:szCs w:val="12"/>
                <w:color w:val="auto"/>
              </w:rPr>
            </w:pPr>
          </w:p>
        </w:tc>
        <w:tc>
          <w:tcPr>
            <w:tcW w:w="1040" w:type="dxa"/>
            <w:vAlign w:val="bottom"/>
          </w:tcPr>
          <w:p>
            <w:pPr>
              <w:ind w:left="260"/>
              <w:spacing w:after="0" w:line="142" w:lineRule="exact"/>
              <w:rPr>
                <w:sz w:val="20"/>
                <w:szCs w:val="20"/>
                <w:color w:val="auto"/>
              </w:rPr>
            </w:pPr>
            <w:r>
              <w:rPr>
                <w:rFonts w:ascii="Arial" w:cs="Arial" w:eastAsia="Arial" w:hAnsi="Arial"/>
                <w:sz w:val="13"/>
                <w:szCs w:val="13"/>
                <w:color w:val="0000FF"/>
              </w:rPr>
              <w:t>03/10/2022</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60"/>
              <w:spacing w:after="0" w:line="142" w:lineRule="exact"/>
              <w:rPr>
                <w:sz w:val="20"/>
                <w:szCs w:val="20"/>
                <w:color w:val="auto"/>
              </w:rPr>
            </w:pPr>
            <w:r>
              <w:rPr>
                <w:rFonts w:ascii="Arial" w:cs="Arial" w:eastAsia="Arial" w:hAnsi="Arial"/>
                <w:sz w:val="13"/>
                <w:szCs w:val="13"/>
                <w:color w:val="0000FF"/>
              </w:rPr>
              <w:t>D</w:t>
            </w:r>
          </w:p>
        </w:tc>
        <w:tc>
          <w:tcPr>
            <w:tcW w:w="920" w:type="dxa"/>
            <w:vAlign w:val="bottom"/>
          </w:tcPr>
          <w:p>
            <w:pPr>
              <w:ind w:left="440"/>
              <w:spacing w:after="0" w:line="142" w:lineRule="exact"/>
              <w:rPr>
                <w:sz w:val="20"/>
                <w:szCs w:val="20"/>
                <w:color w:val="auto"/>
              </w:rPr>
            </w:pPr>
            <w:r>
              <w:rPr>
                <w:rFonts w:ascii="Arial" w:cs="Arial" w:eastAsia="Arial" w:hAnsi="Arial"/>
                <w:sz w:val="13"/>
                <w:szCs w:val="13"/>
                <w:color w:val="0000FF"/>
              </w:rPr>
              <w:t>34,610</w:t>
            </w:r>
          </w:p>
        </w:tc>
        <w:tc>
          <w:tcPr>
            <w:tcW w:w="760" w:type="dxa"/>
            <w:vAlign w:val="bottom"/>
            <w:gridSpan w:val="2"/>
            <w:vMerge w:val="continue"/>
          </w:tcPr>
          <w:p>
            <w:pPr>
              <w:spacing w:after="0"/>
              <w:rPr>
                <w:sz w:val="12"/>
                <w:szCs w:val="12"/>
                <w:color w:val="auto"/>
              </w:rPr>
            </w:pPr>
          </w:p>
        </w:tc>
        <w:tc>
          <w:tcPr>
            <w:tcW w:w="700" w:type="dxa"/>
            <w:vAlign w:val="bottom"/>
            <w:gridSpan w:val="2"/>
          </w:tcPr>
          <w:p>
            <w:pPr>
              <w:ind w:left="40"/>
              <w:spacing w:after="0" w:line="142" w:lineRule="exact"/>
              <w:rPr>
                <w:sz w:val="20"/>
                <w:szCs w:val="20"/>
                <w:color w:val="auto"/>
              </w:rPr>
            </w:pPr>
            <w:r>
              <w:rPr>
                <w:rFonts w:ascii="Arial" w:cs="Arial" w:eastAsia="Arial" w:hAnsi="Arial"/>
                <w:sz w:val="13"/>
                <w:szCs w:val="13"/>
                <w:color w:val="0000FF"/>
                <w:w w:val="98"/>
              </w:rPr>
              <w:t>11/12/2030</w:t>
            </w: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00" w:type="dxa"/>
            <w:vAlign w:val="bottom"/>
          </w:tcPr>
          <w:p>
            <w:pPr>
              <w:ind w:left="380"/>
              <w:spacing w:after="0" w:line="142"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line="142"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-2190115</wp:posOffset>
            </wp:positionV>
            <wp:extent cx="29210" cy="2195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9519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340" w:firstLine="2"/>
        <w:spacing w:after="0" w:line="257" w:lineRule="auto"/>
        <w:tabs>
          <w:tab w:leader="none" w:pos="169"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On March 10, 2022, Post Holdings, Inc. ("Post") and BellRing Intermediate Holdings, Inc. (formerly known as BellRing Brands, Inc.) ("Old BellRing") completed the transactions under the transaction agreement and plan of merger entered into on October 26, 2021, as amended on February 28, 2022, whereby Post contributed its membership units of BellRing Brands, LLC into a newly-formed subsidiary, BellRing Distribution, LLC (which converted into a Delaware corporation prior to the distribution and was renamed "BellRing Brands, Inc.") ("New BellRing"), in exchange for New BellRing stock and New BellRing debt securities and distributed a portion of its New BellRing stock to Post shareholders in a pro-rata distribution, following which Old BellRing merged with a subsidiary of New BellRing and each outstanding share of Old BellRing Class A common stock was converted into one share of New BellRing common stock and $2.97 in cash (collectively, the "Transactions").</w:t>
      </w:r>
    </w:p>
    <w:p>
      <w:pPr>
        <w:spacing w:after="0" w:line="21" w:lineRule="exact"/>
        <w:rPr>
          <w:rFonts w:ascii="Arial" w:cs="Arial" w:eastAsia="Arial" w:hAnsi="Arial"/>
          <w:sz w:val="12"/>
          <w:szCs w:val="12"/>
          <w:color w:val="008000"/>
        </w:rPr>
      </w:pPr>
    </w:p>
    <w:p>
      <w:pPr>
        <w:ind w:left="180" w:hanging="138"/>
        <w:spacing w:after="0"/>
        <w:tabs>
          <w:tab w:leader="none" w:pos="18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In connection with the Transactions, unvested restricted stock units of Old BellRing were assumed by New BellRing and continue to be subject to the same terms and conditions of the Old BellRing awards.</w:t>
      </w:r>
    </w:p>
    <w:p>
      <w:pPr>
        <w:spacing w:after="0" w:line="55" w:lineRule="exact"/>
        <w:rPr>
          <w:rFonts w:ascii="Arial" w:cs="Arial" w:eastAsia="Arial" w:hAnsi="Arial"/>
          <w:sz w:val="12"/>
          <w:szCs w:val="12"/>
          <w:color w:val="008000"/>
        </w:rPr>
      </w:pPr>
    </w:p>
    <w:p>
      <w:pPr>
        <w:jc w:val="both"/>
        <w:ind w:left="40" w:right="500" w:firstLine="2"/>
        <w:spacing w:after="0" w:line="310" w:lineRule="auto"/>
        <w:tabs>
          <w:tab w:leader="none" w:pos="169" w:val="left"/>
        </w:tabs>
        <w:numPr>
          <w:ilvl w:val="0"/>
          <w:numId w:val="3"/>
        </w:numPr>
        <w:rPr>
          <w:rFonts w:ascii="Arial" w:cs="Arial" w:eastAsia="Arial" w:hAnsi="Arial"/>
          <w:sz w:val="11"/>
          <w:szCs w:val="11"/>
          <w:color w:val="008000"/>
        </w:rPr>
      </w:pPr>
      <w:r>
        <w:rPr>
          <w:rFonts w:ascii="Arial" w:cs="Arial" w:eastAsia="Arial" w:hAnsi="Arial"/>
          <w:sz w:val="11"/>
          <w:szCs w:val="11"/>
          <w:color w:val="008000"/>
        </w:rPr>
        <w:t>Represents an option grant which provided for vesting in equal annual installments over three years commencing November 12, 2021 (the "Original Option"). The Original Option was assumed by New BellRing in connection with the Transactions and replaced with an option to purchase an equal number shares of New BellRing common stock, under the same terms and conditions as the Original Option.</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Craig L. Rosenthal,</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03/10/2022</w:t>
            </w:r>
          </w:p>
        </w:tc>
        <w:tc>
          <w:tcPr>
            <w:tcW w:w="0" w:type="dxa"/>
            <w:vAlign w:val="bottom"/>
          </w:tcPr>
          <w:p>
            <w:pPr>
              <w:spacing w:after="0"/>
              <w:rPr>
                <w:sz w:val="1"/>
                <w:szCs w:val="1"/>
                <w:color w:val="auto"/>
              </w:rPr>
            </w:pPr>
          </w:p>
        </w:tc>
      </w:tr>
      <w:tr>
        <w:trPr>
          <w:trHeight w:val="88"/>
        </w:trPr>
        <w:tc>
          <w:tcPr>
            <w:tcW w:w="1120" w:type="dxa"/>
            <w:vAlign w:val="bottom"/>
            <w:tcBorders>
              <w:top w:val="single" w:sz="8" w:color="auto"/>
              <w:bottom w:val="single" w:sz="8" w:color="auto"/>
            </w:tcBorders>
            <w:vMerge w:val="restart"/>
          </w:tcPr>
          <w:p>
            <w:pPr>
              <w:spacing w:after="0" w:line="186" w:lineRule="exact"/>
              <w:rPr>
                <w:sz w:val="20"/>
                <w:szCs w:val="20"/>
                <w:color w:val="auto"/>
              </w:rPr>
            </w:pPr>
            <w:r>
              <w:rPr>
                <w:rFonts w:ascii="Arial" w:cs="Arial" w:eastAsia="Arial" w:hAnsi="Arial"/>
                <w:sz w:val="17"/>
                <w:szCs w:val="17"/>
                <w:color w:val="0000FF"/>
                <w:w w:val="90"/>
              </w:rPr>
              <w:t>Attorney-in-Fact</w:t>
            </w:r>
          </w:p>
        </w:tc>
        <w:tc>
          <w:tcPr>
            <w:tcW w:w="380" w:type="dxa"/>
            <w:vAlign w:val="bottom"/>
            <w:tcBorders>
              <w:top w:val="single" w:sz="8" w:color="auto"/>
              <w:bottom w:val="single" w:sz="8" w:color="auto"/>
            </w:tcBorders>
            <w:vMerge w:val="restart"/>
          </w:tcPr>
          <w:p>
            <w:pPr>
              <w:spacing w:after="0"/>
              <w:rPr>
                <w:sz w:val="7"/>
                <w:szCs w:val="7"/>
                <w:color w:val="auto"/>
              </w:rPr>
            </w:pPr>
          </w:p>
        </w:tc>
        <w:tc>
          <w:tcPr>
            <w:tcW w:w="7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120" w:type="dxa"/>
            <w:vAlign w:val="bottom"/>
            <w:tcBorders>
              <w:bottom w:val="single" w:sz="8" w:color="auto"/>
            </w:tcBorders>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0420" TargetMode="External"/><Relationship Id="rId13"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2022-03-10T15:52:07Z</dcterms:created>
  <dcterms:modified xsi:type="dcterms:W3CDTF">2022-03-10T15:52:07Z</dcterms:modified>
</cp:coreProperties>
</file>