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2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left"/>
              <w:rPr/>
            </w:pPr>
            <w:r>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288" w:before="0" w:after="0"/>
        <w:jc w:val="center"/>
        <w:rPr/>
      </w:pPr>
      <w:r>
        <w:rPr>
          <w:rFonts w:ascii="Times New Roman;sans-serif" w:hAnsi="Times New Roman;sans-serif"/>
          <w:b/>
          <w:color w:val="000000"/>
          <w:sz w:val="32"/>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12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______________________</w:t>
      </w:r>
    </w:p>
    <w:p>
      <w:pPr>
        <w:pStyle w:val="TextBody"/>
        <w:bidi w:val="0"/>
        <w:spacing w:lineRule="auto" w:line="288" w:before="0" w:after="18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bidi w:val="0"/>
        <w:spacing w:lineRule="auto" w:line="288" w:before="0" w:after="0"/>
        <w:ind w:left="0" w:right="0" w:firstLine="72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of The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w:t>
      </w:r>
    </w:p>
    <w:p>
      <w:pPr>
        <w:pStyle w:val="TextBody"/>
        <w:bidi w:val="0"/>
        <w:spacing w:lineRule="auto" w:line="312" w:before="18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February 29, 2024 </w:t>
      </w:r>
    </w:p>
    <w:p>
      <w:pPr>
        <w:pStyle w:val="TextBody"/>
        <w:bidi w:val="0"/>
        <w:spacing w:before="0" w:after="60"/>
        <w:jc w:val="center"/>
        <w:rPr/>
      </w:pPr>
      <w:r>
        <w:rPr/>
        <w:drawing>
          <wp:inline distT="0" distB="0" distL="0" distR="0">
            <wp:extent cx="1666875"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876300"/>
                    </a:xfrm>
                    <a:prstGeom prst="rect">
                      <a:avLst/>
                    </a:prstGeom>
                  </pic:spPr>
                </pic:pic>
              </a:graphicData>
            </a:graphic>
          </wp:inline>
        </w:drawing>
      </w:r>
    </w:p>
    <w:p>
      <w:pPr>
        <w:pStyle w:val="TextBody"/>
        <w:bidi w:val="0"/>
        <w:spacing w:lineRule="auto" w:line="288" w:before="0" w:after="140"/>
        <w:jc w:val="center"/>
        <w:rPr/>
      </w:pPr>
      <w:r>
        <w:rPr>
          <w:rFonts w:ascii="Times New Roman;sans-serif" w:hAnsi="Times New Roman;sans-serif"/>
          <w:b/>
          <w:color w:val="000000"/>
          <w:sz w:val="40"/>
        </w:rPr>
        <w:t>BellRing Brands, Inc.</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861" w:type="dxa"/>
        <w:jc w:val="center"/>
        <w:tblInd w:w="0" w:type="dxa"/>
        <w:tblLayout w:type="fixed"/>
        <w:tblCellMar>
          <w:top w:w="28" w:type="dxa"/>
          <w:left w:w="28" w:type="dxa"/>
          <w:bottom w:w="28" w:type="dxa"/>
          <w:right w:w="28" w:type="dxa"/>
        </w:tblCellMar>
      </w:tblPr>
      <w:tblGrid>
        <w:gridCol w:w="1328"/>
        <w:gridCol w:w="1167"/>
        <w:gridCol w:w="1179"/>
        <w:gridCol w:w="379"/>
        <w:gridCol w:w="379"/>
        <w:gridCol w:w="379"/>
        <w:gridCol w:w="379"/>
        <w:gridCol w:w="379"/>
        <w:gridCol w:w="398"/>
        <w:gridCol w:w="847"/>
        <w:gridCol w:w="847"/>
        <w:gridCol w:w="120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Delaware</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001-39093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87-3296749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w:t>
            </w:r>
          </w:p>
        </w:tc>
        <w:tc>
          <w:tcPr>
            <w:tcW w:w="22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3674"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37"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1156"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94"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2503 S. Hanley Road</w:t>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St. Louis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Missouri</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63144</w:t>
            </w:r>
          </w:p>
        </w:tc>
      </w:tr>
      <w:tr>
        <w:trPr/>
        <w:tc>
          <w:tcPr>
            <w:tcW w:w="5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312" w:before="120" w:after="18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2"/>
        </w:rPr>
        <w:t>(314) 644-7600</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83" w:type="dxa"/>
        <w:jc w:val="left"/>
        <w:tblInd w:w="0" w:type="dxa"/>
        <w:tblLayout w:type="fixed"/>
        <w:tblCellMar>
          <w:top w:w="28" w:type="dxa"/>
          <w:left w:w="28" w:type="dxa"/>
          <w:bottom w:w="28" w:type="dxa"/>
          <w:right w:w="28" w:type="dxa"/>
        </w:tblCellMar>
      </w:tblPr>
      <w:tblGrid>
        <w:gridCol w:w="1325"/>
        <w:gridCol w:w="1160"/>
        <w:gridCol w:w="1174"/>
        <w:gridCol w:w="539"/>
        <w:gridCol w:w="539"/>
        <w:gridCol w:w="541"/>
        <w:gridCol w:w="1085"/>
        <w:gridCol w:w="1085"/>
        <w:gridCol w:w="1535"/>
      </w:tblGrid>
      <w:tr>
        <w:trPr/>
        <w:tc>
          <w:tcPr>
            <w:tcW w:w="132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Name of each exchange on which registered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$0.01 par value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BRBR</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75" w:after="30"/>
              <w:jc w:val="center"/>
              <w:rPr/>
            </w:pPr>
            <w:r>
              <w:rPr/>
            </w:r>
          </w:p>
        </w:tc>
      </w:tr>
    </w:tbl>
    <w:p>
      <w:pPr>
        <w:pStyle w:val="TextBody"/>
        <w:bidi w:val="0"/>
        <w:spacing w:before="12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8.01.    Other Events.</w:t>
      </w:r>
    </w:p>
    <w:p>
      <w:pPr>
        <w:pStyle w:val="TextBody"/>
        <w:bidi w:val="0"/>
        <w:spacing w:before="0" w:after="0"/>
        <w:jc w:val="left"/>
        <w:rPr/>
      </w:pPr>
      <w:r>
        <w:rPr/>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29, 2024, the Board of Directors (the “Board”) of BellRing Brands, Inc. (the “Company”) approved, effective March 11, 2024 (the “Effective Date”), a $300 million share repurchase authorization (the “New Authorization”) and cancelled, effective March 11, 2024, its existing $80 million share repurchase authorization, which was approved by the Board on May 3, 2023 and became effective on the same date (the “Existing Authorization”). The Company had repurchased approximately $79 million of shares of common stock under the Existing Authorization as of February 29, 2024. The New Authorization extends for a two-year period beginning on the Effective Date, and the Company may begin repurchasing shares under the New Authorization on the Effective Date. Repurchases may be made from time to time in the open market, in private purchases, through forward, derivative, accelerated repurchase or automatic purchase transactions, or otherwise. The New Authorization does not, however, obligate the Company to acquire any particular amount of shares, and repurchases may be suspended or terminated at any time at the Company’s discretion. The amount and timing of repurchases are subject to a variety of factors including liquidity, share price, market conditions and legal requirements. A press release announcing the approval of the New Authorization and the cancellation of the Existing Authorization is attached as Exhibit 99.1 hereto and is incorporated herein by reference.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 Exhibits</w:t>
      </w:r>
    </w:p>
    <w:p>
      <w:pPr>
        <w:pStyle w:val="TextBody"/>
        <w:bidi w:val="0"/>
        <w:spacing w:before="0" w:after="0"/>
        <w:jc w:val="left"/>
        <w:rPr/>
      </w:pPr>
      <w:r>
        <w:rPr/>
      </w:r>
    </w:p>
    <w:tbl>
      <w:tblPr>
        <w:tblW w:w="10184" w:type="dxa"/>
        <w:jc w:val="left"/>
        <w:tblInd w:w="0" w:type="dxa"/>
        <w:tblLayout w:type="fixed"/>
        <w:tblCellMar>
          <w:top w:w="28" w:type="dxa"/>
          <w:left w:w="28" w:type="dxa"/>
          <w:bottom w:w="28" w:type="dxa"/>
          <w:right w:w="28" w:type="dxa"/>
        </w:tblCellMar>
      </w:tblPr>
      <w:tblGrid>
        <w:gridCol w:w="385"/>
        <w:gridCol w:w="338"/>
        <w:gridCol w:w="341"/>
        <w:gridCol w:w="2671"/>
        <w:gridCol w:w="2671"/>
        <w:gridCol w:w="3778"/>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No.</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feb24sharerepurchasepr.htm">
              <w:r>
                <w:rPr>
                  <w:rStyle w:val="InternetLink"/>
                  <w:rFonts w:ascii="Times New Roman;sans-serif" w:hAnsi="Times New Roman;sans-serif"/>
                  <w:b w:val="false"/>
                  <w:color w:val="0000FF"/>
                  <w:sz w:val="20"/>
                  <w:u w:val="single"/>
                </w:rPr>
                <w:t>Press Release dated February 29, 2024</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iXBRL tags are embedded within the Inline XBRL document)</w:t>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50" w:type="dxa"/>
        <w:jc w:val="left"/>
        <w:tblInd w:w="0" w:type="dxa"/>
        <w:tblLayout w:type="fixed"/>
        <w:tblCellMar>
          <w:top w:w="28" w:type="dxa"/>
          <w:left w:w="28" w:type="dxa"/>
          <w:bottom w:w="28" w:type="dxa"/>
          <w:right w:w="28" w:type="dxa"/>
        </w:tblCellMar>
      </w:tblPr>
      <w:tblGrid>
        <w:gridCol w:w="754"/>
        <w:gridCol w:w="664"/>
        <w:gridCol w:w="667"/>
        <w:gridCol w:w="305"/>
        <w:gridCol w:w="305"/>
        <w:gridCol w:w="305"/>
        <w:gridCol w:w="830"/>
        <w:gridCol w:w="830"/>
        <w:gridCol w:w="1190"/>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February 29, 2024</w:t>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BellRing Brands, Inc.</w:t>
            </w:r>
          </w:p>
        </w:tc>
      </w:tr>
      <w:tr>
        <w:trPr/>
        <w:tc>
          <w:tcPr>
            <w:tcW w:w="208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208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2850" w:type="dxa"/>
            <w:gridSpan w:val="3"/>
            <w:tcBorders/>
            <w:tcMar>
              <w:top w:w="0" w:type="dxa"/>
              <w:left w:w="0" w:type="dxa"/>
              <w:bottom w:w="0" w:type="dxa"/>
              <w:right w:w="0" w:type="dxa"/>
            </w:tcMar>
            <w:vAlign w:val="center"/>
          </w:tcPr>
          <w:p>
            <w:pPr>
              <w:pStyle w:val="TableContents"/>
              <w:bidi w:val="0"/>
              <w:spacing w:before="75" w:after="30"/>
              <w:jc w:val="left"/>
              <w:rPr/>
            </w:pPr>
            <w:r>
              <w:rPr/>
            </w:r>
          </w:p>
        </w:tc>
      </w:tr>
      <w:tr>
        <w:trPr/>
        <w:tc>
          <w:tcPr>
            <w:tcW w:w="208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Craig L. Rosenthal</w:t>
            </w:r>
          </w:p>
        </w:tc>
      </w:tr>
      <w:tr>
        <w:trPr/>
        <w:tc>
          <w:tcPr>
            <w:tcW w:w="208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Craig L. Rosenthal</w:t>
            </w:r>
          </w:p>
        </w:tc>
      </w:tr>
      <w:tr>
        <w:trPr/>
        <w:tc>
          <w:tcPr>
            <w:tcW w:w="2085" w:type="dxa"/>
            <w:gridSpan w:val="3"/>
            <w:tcBorders/>
            <w:tcMar>
              <w:top w:w="0" w:type="dxa"/>
              <w:left w:w="0" w:type="dxa"/>
              <w:bottom w:w="0" w:type="dxa"/>
              <w:right w:w="0" w:type="dxa"/>
            </w:tcMar>
            <w:vAlign w:val="center"/>
          </w:tcPr>
          <w:p>
            <w:pPr>
              <w:pStyle w:val="TableContents"/>
              <w:bidi w:val="0"/>
              <w:spacing w:before="75" w:after="30"/>
              <w:jc w:val="left"/>
              <w:rPr/>
            </w:pPr>
            <w:r>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 and Secretary</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Exhibit 99.1</w:t>
      </w:r>
    </w:p>
    <w:p>
      <w:pPr>
        <w:pStyle w:val="TextBody"/>
        <w:bidi w:val="0"/>
        <w:spacing w:before="0" w:after="0"/>
        <w:jc w:val="left"/>
        <w:rPr/>
      </w:pPr>
      <w:r>
        <w:rPr/>
        <w:drawing>
          <wp:inline distT="0" distB="0" distL="0" distR="0">
            <wp:extent cx="1504950" cy="7239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04950" cy="7239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333" w:before="0" w:after="0"/>
        <w:jc w:val="center"/>
        <w:rPr>
          <w:rFonts w:ascii="Times New Roman;sans-serif" w:hAnsi="Times New Roman;sans-serif"/>
          <w:b/>
          <w:color w:val="000000"/>
          <w:sz w:val="28"/>
        </w:rPr>
      </w:pPr>
      <w:r>
        <w:rPr>
          <w:rFonts w:ascii="Times New Roman;sans-serif" w:hAnsi="Times New Roman;sans-serif"/>
          <w:b/>
          <w:color w:val="000000"/>
          <w:sz w:val="28"/>
        </w:rPr>
        <w:t>BellRing Brands Announces New Share Repurchase Authorization of $300 Million</w:t>
      </w:r>
    </w:p>
    <w:p>
      <w:pPr>
        <w:pStyle w:val="TextBody"/>
        <w:bidi w:val="0"/>
        <w:spacing w:before="0" w:after="0"/>
        <w:jc w:val="center"/>
        <w:rPr/>
      </w:pPr>
      <w:r>
        <w:rPr/>
      </w:r>
    </w:p>
    <w:p>
      <w:pPr>
        <w:pStyle w:val="TextBody"/>
        <w:bidi w:val="0"/>
        <w:spacing w:lineRule="auto" w:line="333" w:before="0" w:after="240"/>
        <w:jc w:val="left"/>
        <w:rPr/>
      </w:pPr>
      <w:r>
        <w:rPr>
          <w:rFonts w:ascii="Times New Roman;sans-serif" w:hAnsi="Times New Roman;sans-serif"/>
          <w:b/>
          <w:color w:val="000000"/>
          <w:sz w:val="20"/>
        </w:rPr>
        <w:t xml:space="preserve">St. Louis – February 29, 2024 </w:t>
      </w:r>
      <w:r>
        <w:rPr>
          <w:color w:val="000000"/>
        </w:rPr>
        <w:t xml:space="preserve">– </w:t>
      </w:r>
      <w:r>
        <w:rPr>
          <w:rFonts w:ascii="Times New Roman;sans-serif" w:hAnsi="Times New Roman;sans-serif"/>
          <w:b w:val="false"/>
          <w:color w:val="000000"/>
          <w:sz w:val="20"/>
        </w:rPr>
        <w:t xml:space="preserve">BellRing Brands, Inc. (NYSE:BRBR) today announced its Board of Directors approved a $300 million share repurchase authorization over the next two years, with share repurchases under the new authorization beginning on March 11, 2024. Subsequent to December 31, 2023 and as of February 29, 2024, BellRing repurchased 0.2 million shares of its common stock for $12.3 million at an average price of $53.58 per share. As of February 29, 2024, BellRing had repurchased approximately $79 million under its previous $80 million share repurchase authorization, which became effective on May 3, 2023 and will be cancelled effective March 11, 2024. </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Repurchases may be made from time to time in the open market, private purchases, through forward, derivative, alternative, accelerated repurchase or automatic purchase transactions, or otherwise. The authorization does not, however, obligate BellRing to acquire any particular amount of shares, and repurchases may be suspended or terminated at any time at BellRing’s discretion. The amount and timing of repurchases are subject to a variety of factors including liquidity, share price, market conditions and legal requirements.</w:t>
      </w:r>
    </w:p>
    <w:p>
      <w:pPr>
        <w:pStyle w:val="TextBody"/>
        <w:bidi w:val="0"/>
        <w:spacing w:lineRule="auto" w:line="333" w:before="0" w:after="240"/>
        <w:jc w:val="left"/>
        <w:rPr>
          <w:rFonts w:ascii="Times New Roman;sans-serif" w:hAnsi="Times New Roman;sans-serif"/>
          <w:b/>
          <w:color w:val="000000"/>
          <w:sz w:val="20"/>
        </w:rPr>
      </w:pPr>
      <w:r>
        <w:rPr>
          <w:rFonts w:ascii="Times New Roman;sans-serif" w:hAnsi="Times New Roman;sans-serif"/>
          <w:b/>
          <w:color w:val="000000"/>
          <w:sz w:val="20"/>
        </w:rPr>
        <w:t>Cautionary Statement on Forward-Looking Language</w:t>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within the meaning of Section 27A of the Securities Act and Section 21E of the Securities Exchange Act of 1934, as amended, are made in this press release.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press release. All forward-looking statements are subject to a number of important factors, risks, uncertainties and assumptions that could cause actual results to differ materially from those described in any forward-looking statements. These factors and risks include, but are not limited to, unanticipated developments that prevent, delay or negatively impact the repurchases and other financial, operational and legal risks and uncertainties detailed from time to time in BellRing’s cautionary statements contained in its filings with the Securities and Exchange Commission. These forward-looking statements represent BellRing’s judgment as of the date of this press release. BellRing disclaims, however, any intent or obligation to update these forward-looking statements. </w:t>
      </w:r>
    </w:p>
    <w:p>
      <w:pPr>
        <w:pStyle w:val="TextBody"/>
        <w:bidi w:val="0"/>
        <w:spacing w:lineRule="auto" w:line="333" w:before="0" w:after="240"/>
        <w:jc w:val="left"/>
        <w:rPr>
          <w:rFonts w:ascii="Times New Roman;sans-serif" w:hAnsi="Times New Roman;sans-serif"/>
          <w:b/>
          <w:color w:val="000000"/>
          <w:sz w:val="20"/>
        </w:rPr>
      </w:pPr>
      <w:r>
        <w:rPr>
          <w:rFonts w:ascii="Times New Roman;sans-serif" w:hAnsi="Times New Roman;sans-serif"/>
          <w:b/>
          <w:color w:val="000000"/>
          <w:sz w:val="20"/>
        </w:rPr>
        <w:t xml:space="preserve">About BellRing Brands, Inc. </w:t>
      </w:r>
    </w:p>
    <w:p>
      <w:pPr>
        <w:pStyle w:val="TextBody"/>
        <w:bidi w:val="0"/>
        <w:spacing w:lineRule="auto" w:line="333" w:before="0" w:after="240"/>
        <w:jc w:val="left"/>
        <w:rPr/>
      </w:pPr>
      <w:r>
        <w:rPr>
          <w:rFonts w:ascii="Times New Roman;sans-serif" w:hAnsi="Times New Roman;sans-serif"/>
          <w:b w:val="false"/>
          <w:color w:val="000000"/>
          <w:sz w:val="20"/>
        </w:rPr>
        <w:t xml:space="preserve">BellRing Brands, Inc. is a rapidly growing leader in the global convenient nutrition category offering ready-to-drink shake and powder protein products. Its primary brands, </w:t>
      </w:r>
      <w:r>
        <w:rPr>
          <w:rFonts w:ascii="Times New Roman;sans-serif" w:hAnsi="Times New Roman;sans-serif"/>
          <w:b w:val="false"/>
          <w:i/>
          <w:color w:val="000000"/>
          <w:sz w:val="20"/>
        </w:rPr>
        <w:t>Premier Protein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i/>
          <w:color w:val="000000"/>
          <w:sz w:val="20"/>
        </w:rPr>
        <w:t>Dymatize</w:t>
      </w:r>
      <w:r>
        <w:rPr>
          <w:rFonts w:ascii="Times New Roman;sans-serif" w:hAnsi="Times New Roman;sans-serif"/>
          <w:b w:val="false"/>
          <w:color w:val="000000"/>
          <w:sz w:val="13"/>
        </w:rPr>
        <w:t>®</w:t>
      </w:r>
      <w:r>
        <w:rPr>
          <w:rFonts w:ascii="Times New Roman;sans-serif" w:hAnsi="Times New Roman;sans-serif"/>
          <w:b w:val="false"/>
          <w:color w:val="000000"/>
          <w:sz w:val="20"/>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color w:val="000000"/>
          <w:sz w:val="20"/>
        </w:rPr>
      </w:pPr>
      <w:r>
        <w:rPr>
          <w:rFonts w:ascii="Times New Roman;sans-serif" w:hAnsi="Times New Roman;sans-serif"/>
          <w:b/>
          <w:color w:val="000000"/>
          <w:sz w:val="20"/>
        </w:rPr>
        <w:t>Contact:</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Investor Relations</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 Meyer</w:t>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jennifer.meyer@bellringbrands.com</w:t>
      </w:r>
    </w:p>
    <w:p>
      <w:pPr>
        <w:pStyle w:val="TextBody"/>
        <w:bidi w:val="0"/>
        <w:spacing w:lineRule="auto" w:line="333"/>
        <w:jc w:val="left"/>
        <w:rPr>
          <w:rFonts w:ascii="Times New Roman;sans-serif" w:hAnsi="Times New Roman;sans-serif"/>
          <w:b w:val="false"/>
          <w:color w:val="000000"/>
          <w:sz w:val="20"/>
        </w:rPr>
      </w:pPr>
      <w:r>
        <w:rPr>
          <w:rFonts w:ascii="Times New Roman;sans-serif" w:hAnsi="Times New Roman;sans-serif"/>
          <w:b w:val="false"/>
          <w:color w:val="000000"/>
          <w:sz w:val="20"/>
        </w:rPr>
        <w:t>(314) 644-7665</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1075</Words>
  <Characters>6288</Characters>
  <CharactersWithSpaces>7321</CharactersWithSpaces>
  <Paragraphs>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