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ROSENTHAL CRAIG L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BELLRING BRANDS,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2503 S. HANLEY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BELLRING BRANDS,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BRBR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GC &amp; SECRETARY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40" w:space="68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3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11/12/2020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7"/>
              </w:rPr>
              <w:t>7,855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27,210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94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21,169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20.05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11/12/2020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21,169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11/12/2030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21,169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94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-3233420</wp:posOffset>
            </wp:positionV>
            <wp:extent cx="7033895" cy="32753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275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4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BellRing Brands, Inc. Class A common stock. The restricted stock units were granted under the BellRing Brands, Inc. 2019 Long-Term Incentive Plan in a transaction exempt under Rule 16b-3 and vest in equal increments over three years.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to purchase 21,169 shares of Class A common stock was awarded under the BellRing Brands, Inc. 2019 Long-Term Incentive Plan in a transaction exempt under Rule 16b-3 and vest in equal increments over three years.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Craig L. Rosenthal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11/16/2020</w:t>
            </w: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0252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2020-11-16T15:55:26Z</dcterms:created>
  <dcterms:modified xsi:type="dcterms:W3CDTF">2020-11-16T15:55:26Z</dcterms:modified>
</cp:coreProperties>
</file>