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18" w:lineRule="auto"/>
        <w:rPr>
          <w:sz w:val="20"/>
          <w:szCs w:val="20"/>
          <w:color w:val="auto"/>
        </w:rPr>
      </w:pPr>
      <w:r>
        <w:rPr>
          <w:rFonts w:ascii="Arial" w:cs="Arial" w:eastAsia="Arial" w:hAnsi="Arial"/>
          <w:sz w:val="16"/>
          <w:szCs w:val="16"/>
          <w:b w:val="1"/>
          <w:bCs w:val="1"/>
          <w:color w:val="auto"/>
        </w:rPr>
        <w:t>WASHINGTON, D.C. 20549</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ind w:left="4500"/>
        <w:spacing w:after="0"/>
        <w:rPr>
          <w:sz w:val="20"/>
          <w:szCs w:val="20"/>
          <w:color w:val="auto"/>
        </w:rPr>
      </w:pPr>
      <w:r>
        <w:rPr>
          <w:rFonts w:ascii="Arial" w:cs="Arial" w:eastAsia="Arial" w:hAnsi="Arial"/>
          <w:sz w:val="25"/>
          <w:szCs w:val="25"/>
          <w:b w:val="1"/>
          <w:bCs w:val="1"/>
          <w:color w:val="auto"/>
        </w:rPr>
        <w:t>__________________</w:t>
      </w:r>
    </w:p>
    <w:p>
      <w:pPr>
        <w:spacing w:after="0" w:line="220" w:lineRule="exact"/>
        <w:rPr>
          <w:sz w:val="24"/>
          <w:szCs w:val="24"/>
          <w:color w:val="auto"/>
        </w:rPr>
      </w:pPr>
    </w:p>
    <w:p>
      <w:pPr>
        <w:jc w:val="center"/>
        <w:ind w:left="3880" w:right="1400" w:hanging="2476"/>
        <w:spacing w:after="0" w:line="284" w:lineRule="auto"/>
        <w:tabs>
          <w:tab w:leader="none" w:pos="1617"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December 31,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jc w:val="center"/>
        <w:ind w:left="4040" w:right="1400" w:hanging="2640"/>
        <w:spacing w:after="0" w:line="292" w:lineRule="auto"/>
        <w:tabs>
          <w:tab w:leader="none" w:pos="1599"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 to _____</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1-39093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2893695</wp:posOffset>
            </wp:positionH>
            <wp:positionV relativeFrom="paragraph">
              <wp:posOffset>127635</wp:posOffset>
            </wp:positionV>
            <wp:extent cx="1362710"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6271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BellRing Brands,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2340" w:type="dxa"/>
            <w:vAlign w:val="bottom"/>
            <w:gridSpan w:val="2"/>
          </w:tcPr>
          <w:p>
            <w:pPr>
              <w:jc w:val="center"/>
              <w:ind w:left="215"/>
              <w:spacing w:after="0"/>
              <w:rPr>
                <w:sz w:val="20"/>
                <w:szCs w:val="20"/>
                <w:color w:val="auto"/>
              </w:rPr>
            </w:pPr>
            <w:r>
              <w:rPr>
                <w:rFonts w:ascii="Arial" w:cs="Arial" w:eastAsia="Arial" w:hAnsi="Arial"/>
                <w:sz w:val="18"/>
                <w:szCs w:val="18"/>
                <w:b w:val="1"/>
                <w:bCs w:val="1"/>
                <w:color w:val="auto"/>
                <w:w w:val="91"/>
              </w:rPr>
              <w:t>Delaware</w:t>
            </w: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60" w:type="dxa"/>
            <w:vAlign w:val="bottom"/>
            <w:gridSpan w:val="2"/>
          </w:tcPr>
          <w:p>
            <w:pPr>
              <w:jc w:val="right"/>
              <w:ind w:right="1659"/>
              <w:spacing w:after="0"/>
              <w:rPr>
                <w:sz w:val="20"/>
                <w:szCs w:val="20"/>
                <w:color w:val="auto"/>
              </w:rPr>
            </w:pPr>
            <w:r>
              <w:rPr>
                <w:rFonts w:ascii="Arial" w:cs="Arial" w:eastAsia="Arial" w:hAnsi="Arial"/>
                <w:sz w:val="18"/>
                <w:szCs w:val="18"/>
                <w:b w:val="1"/>
                <w:bCs w:val="1"/>
                <w:color w:val="auto"/>
              </w:rPr>
              <w:t>83-4096323</w:t>
            </w:r>
          </w:p>
        </w:tc>
      </w:tr>
      <w:tr>
        <w:trPr>
          <w:trHeight w:val="210"/>
        </w:trPr>
        <w:tc>
          <w:tcPr>
            <w:tcW w:w="6900" w:type="dxa"/>
            <w:vAlign w:val="bottom"/>
            <w:gridSpan w:val="6"/>
          </w:tcPr>
          <w:p>
            <w:pPr>
              <w:jc w:val="center"/>
              <w:ind w:right="1180"/>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660" w:type="dxa"/>
            <w:vAlign w:val="bottom"/>
            <w:gridSpan w:val="2"/>
          </w:tcPr>
          <w:p>
            <w:pPr>
              <w:jc w:val="center"/>
              <w:ind w:right="619"/>
              <w:spacing w:after="0"/>
              <w:rPr>
                <w:sz w:val="20"/>
                <w:szCs w:val="20"/>
                <w:color w:val="auto"/>
              </w:rPr>
            </w:pPr>
            <w:r>
              <w:rPr>
                <w:rFonts w:ascii="Arial" w:cs="Arial" w:eastAsia="Arial" w:hAnsi="Arial"/>
                <w:sz w:val="16"/>
                <w:szCs w:val="16"/>
                <w:color w:val="auto"/>
                <w:w w:val="95"/>
              </w:rPr>
              <w:t>(I.R.S. Employer Identification No.)</w:t>
            </w:r>
          </w:p>
        </w:tc>
      </w:tr>
      <w:tr>
        <w:trPr>
          <w:trHeight w:val="249"/>
        </w:trPr>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020" w:type="dxa"/>
            <w:vAlign w:val="bottom"/>
            <w:gridSpan w:val="3"/>
          </w:tcPr>
          <w:p>
            <w:pPr>
              <w:jc w:val="center"/>
              <w:ind w:left="374"/>
              <w:spacing w:after="0"/>
              <w:rPr>
                <w:sz w:val="20"/>
                <w:szCs w:val="20"/>
                <w:color w:val="auto"/>
              </w:rPr>
            </w:pPr>
            <w:r>
              <w:rPr>
                <w:rFonts w:ascii="Arial" w:cs="Arial" w:eastAsia="Arial" w:hAnsi="Arial"/>
                <w:sz w:val="18"/>
                <w:szCs w:val="18"/>
                <w:b w:val="1"/>
                <w:bCs w:val="1"/>
                <w:color w:val="auto"/>
                <w:w w:val="90"/>
              </w:rPr>
              <w:t>2503 S. Hanley Road</w:t>
            </w:r>
          </w:p>
        </w:tc>
        <w:tc>
          <w:tcPr>
            <w:tcW w:w="780" w:type="dxa"/>
            <w:vAlign w:val="bottom"/>
          </w:tcPr>
          <w:p>
            <w:pPr>
              <w:spacing w:after="0"/>
              <w:rPr>
                <w:sz w:val="21"/>
                <w:szCs w:val="21"/>
                <w:color w:val="auto"/>
              </w:rPr>
            </w:pPr>
          </w:p>
        </w:tc>
        <w:tc>
          <w:tcPr>
            <w:tcW w:w="2880" w:type="dxa"/>
            <w:vAlign w:val="bottom"/>
          </w:tcPr>
          <w:p>
            <w:pPr>
              <w:spacing w:after="0"/>
              <w:rPr>
                <w:sz w:val="21"/>
                <w:szCs w:val="21"/>
                <w:color w:val="auto"/>
              </w:rPr>
            </w:pPr>
          </w:p>
        </w:tc>
      </w:tr>
      <w:tr>
        <w:trPr>
          <w:trHeight w:val="193"/>
        </w:trPr>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20" w:type="dxa"/>
            <w:vAlign w:val="bottom"/>
            <w:gridSpan w:val="3"/>
          </w:tcPr>
          <w:p>
            <w:pPr>
              <w:jc w:val="center"/>
              <w:ind w:left="394"/>
              <w:spacing w:after="0" w:line="193" w:lineRule="exact"/>
              <w:rPr>
                <w:sz w:val="20"/>
                <w:szCs w:val="20"/>
                <w:color w:val="auto"/>
              </w:rPr>
            </w:pPr>
            <w:r>
              <w:rPr>
                <w:rFonts w:ascii="Arial" w:cs="Arial" w:eastAsia="Arial" w:hAnsi="Arial"/>
                <w:sz w:val="18"/>
                <w:szCs w:val="18"/>
                <w:b w:val="1"/>
                <w:bCs w:val="1"/>
                <w:color w:val="auto"/>
                <w:w w:val="90"/>
              </w:rPr>
              <w:t>St. Louis, Missouri 63144</w:t>
            </w:r>
          </w:p>
        </w:tc>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80" w:type="dxa"/>
            <w:vAlign w:val="bottom"/>
            <w:gridSpan w:val="5"/>
          </w:tcPr>
          <w:p>
            <w:pPr>
              <w:jc w:val="center"/>
              <w:ind w:right="3119"/>
              <w:spacing w:after="0"/>
              <w:rPr>
                <w:sz w:val="20"/>
                <w:szCs w:val="20"/>
                <w:color w:val="auto"/>
              </w:rPr>
            </w:pPr>
            <w:r>
              <w:rPr>
                <w:rFonts w:ascii="Arial" w:cs="Arial" w:eastAsia="Arial" w:hAnsi="Arial"/>
                <w:sz w:val="16"/>
                <w:szCs w:val="16"/>
                <w:color w:val="auto"/>
                <w:w w:val="93"/>
              </w:rPr>
              <w:t>(Address of principal executive offices) (Zip Code)</w:t>
            </w:r>
          </w:p>
        </w:tc>
      </w:tr>
      <w:tr>
        <w:trPr>
          <w:trHeight w:val="307"/>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340" w:type="dxa"/>
            <w:vAlign w:val="bottom"/>
            <w:gridSpan w:val="2"/>
          </w:tcPr>
          <w:p>
            <w:pPr>
              <w:jc w:val="center"/>
              <w:ind w:left="1054"/>
              <w:spacing w:after="0"/>
              <w:rPr>
                <w:sz w:val="20"/>
                <w:szCs w:val="20"/>
                <w:color w:val="auto"/>
              </w:rPr>
            </w:pPr>
            <w:r>
              <w:rPr>
                <w:rFonts w:ascii="Arial" w:cs="Arial" w:eastAsia="Arial" w:hAnsi="Arial"/>
                <w:sz w:val="18"/>
                <w:szCs w:val="18"/>
                <w:b w:val="1"/>
                <w:bCs w:val="1"/>
                <w:color w:val="auto"/>
                <w:w w:val="90"/>
              </w:rPr>
              <w:t>(314) 644-7600</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06"/>
        </w:trPr>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680" w:type="dxa"/>
            <w:vAlign w:val="bottom"/>
            <w:gridSpan w:val="5"/>
          </w:tcPr>
          <w:p>
            <w:pPr>
              <w:jc w:val="center"/>
              <w:ind w:right="3119"/>
              <w:spacing w:after="0"/>
              <w:rPr>
                <w:sz w:val="20"/>
                <w:szCs w:val="20"/>
                <w:color w:val="auto"/>
              </w:rPr>
            </w:pPr>
            <w:r>
              <w:rPr>
                <w:rFonts w:ascii="Arial" w:cs="Arial" w:eastAsia="Arial" w:hAnsi="Arial"/>
                <w:sz w:val="16"/>
                <w:szCs w:val="16"/>
                <w:color w:val="auto"/>
                <w:w w:val="91"/>
              </w:rPr>
              <w:t>(Registrant’s telephone number, including area code)</w:t>
            </w:r>
          </w:p>
        </w:tc>
      </w:tr>
      <w:tr>
        <w:trPr>
          <w:trHeight w:val="297"/>
        </w:trPr>
        <w:tc>
          <w:tcPr>
            <w:tcW w:w="3880" w:type="dxa"/>
            <w:vAlign w:val="bottom"/>
            <w:gridSpan w:val="3"/>
          </w:tcPr>
          <w:p>
            <w:pPr>
              <w:spacing w:after="0"/>
              <w:rPr>
                <w:sz w:val="20"/>
                <w:szCs w:val="20"/>
                <w:color w:val="auto"/>
              </w:rPr>
            </w:pPr>
            <w:r>
              <w:rPr>
                <w:rFonts w:ascii="Arial" w:cs="Arial" w:eastAsia="Arial" w:hAnsi="Arial"/>
                <w:sz w:val="16"/>
                <w:szCs w:val="16"/>
                <w:color w:val="auto"/>
                <w:w w:val="94"/>
              </w:rPr>
              <w:t>Securities registered pursuant to Section 12(b) of the Act:</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195"/>
        </w:trPr>
        <w:tc>
          <w:tcPr>
            <w:tcW w:w="1540" w:type="dxa"/>
            <w:vAlign w:val="bottom"/>
          </w:tcPr>
          <w:p>
            <w:pPr>
              <w:spacing w:after="0"/>
              <w:rPr>
                <w:sz w:val="16"/>
                <w:szCs w:val="16"/>
                <w:color w:val="auto"/>
              </w:rPr>
            </w:pPr>
          </w:p>
        </w:tc>
        <w:tc>
          <w:tcPr>
            <w:tcW w:w="2340" w:type="dxa"/>
            <w:vAlign w:val="bottom"/>
            <w:gridSpan w:val="2"/>
          </w:tcPr>
          <w:p>
            <w:pPr>
              <w:jc w:val="center"/>
              <w:ind w:right="1180"/>
              <w:spacing w:after="0"/>
              <w:rPr>
                <w:sz w:val="20"/>
                <w:szCs w:val="20"/>
                <w:color w:val="auto"/>
              </w:rPr>
            </w:pPr>
            <w:r>
              <w:rPr>
                <w:rFonts w:ascii="Arial" w:cs="Arial" w:eastAsia="Arial" w:hAnsi="Arial"/>
                <w:sz w:val="16"/>
                <w:szCs w:val="16"/>
                <w:color w:val="auto"/>
                <w:w w:val="90"/>
              </w:rPr>
              <w:t>Title of each class</w:t>
            </w:r>
          </w:p>
        </w:tc>
        <w:tc>
          <w:tcPr>
            <w:tcW w:w="1120" w:type="dxa"/>
            <w:vAlign w:val="bottom"/>
          </w:tcPr>
          <w:p>
            <w:pPr>
              <w:spacing w:after="0"/>
              <w:rPr>
                <w:sz w:val="16"/>
                <w:szCs w:val="16"/>
                <w:color w:val="auto"/>
              </w:rPr>
            </w:pPr>
          </w:p>
        </w:tc>
        <w:tc>
          <w:tcPr>
            <w:tcW w:w="1900" w:type="dxa"/>
            <w:vAlign w:val="bottom"/>
            <w:gridSpan w:val="2"/>
          </w:tcPr>
          <w:p>
            <w:pPr>
              <w:jc w:val="center"/>
              <w:ind w:right="680"/>
              <w:spacing w:after="0"/>
              <w:rPr>
                <w:sz w:val="20"/>
                <w:szCs w:val="20"/>
                <w:color w:val="auto"/>
              </w:rPr>
            </w:pPr>
            <w:r>
              <w:rPr>
                <w:rFonts w:ascii="Arial" w:cs="Arial" w:eastAsia="Arial" w:hAnsi="Arial"/>
                <w:sz w:val="16"/>
                <w:szCs w:val="16"/>
                <w:color w:val="auto"/>
                <w:w w:val="93"/>
              </w:rPr>
              <w:t>Trading Symbol(s)</w:t>
            </w:r>
          </w:p>
        </w:tc>
        <w:tc>
          <w:tcPr>
            <w:tcW w:w="780" w:type="dxa"/>
            <w:vAlign w:val="bottom"/>
          </w:tcPr>
          <w:p>
            <w:pPr>
              <w:spacing w:after="0"/>
              <w:rPr>
                <w:sz w:val="16"/>
                <w:szCs w:val="16"/>
                <w:color w:val="auto"/>
              </w:rPr>
            </w:pP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30"/>
        </w:trPr>
        <w:tc>
          <w:tcPr>
            <w:tcW w:w="3880" w:type="dxa"/>
            <w:vAlign w:val="bottom"/>
            <w:gridSpan w:val="3"/>
          </w:tcPr>
          <w:p>
            <w:pPr>
              <w:jc w:val="center"/>
              <w:ind w:left="279"/>
              <w:spacing w:after="0"/>
              <w:rPr>
                <w:sz w:val="20"/>
                <w:szCs w:val="20"/>
                <w:color w:val="auto"/>
              </w:rPr>
            </w:pPr>
            <w:r>
              <w:rPr>
                <w:rFonts w:ascii="Arial" w:cs="Arial" w:eastAsia="Arial" w:hAnsi="Arial"/>
                <w:sz w:val="16"/>
                <w:szCs w:val="16"/>
                <w:b w:val="1"/>
                <w:bCs w:val="1"/>
                <w:color w:val="auto"/>
                <w:w w:val="91"/>
              </w:rPr>
              <w:t>Class A Common Stock, $0.01 par value per share</w:t>
            </w:r>
          </w:p>
        </w:tc>
        <w:tc>
          <w:tcPr>
            <w:tcW w:w="1120" w:type="dxa"/>
            <w:vAlign w:val="bottom"/>
          </w:tcPr>
          <w:p>
            <w:pPr>
              <w:spacing w:after="0"/>
              <w:rPr>
                <w:sz w:val="20"/>
                <w:szCs w:val="20"/>
                <w:color w:val="auto"/>
              </w:rPr>
            </w:pPr>
          </w:p>
        </w:tc>
        <w:tc>
          <w:tcPr>
            <w:tcW w:w="190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5"/>
              </w:rPr>
              <w:t>BRBR</w:t>
            </w:r>
          </w:p>
        </w:tc>
        <w:tc>
          <w:tcPr>
            <w:tcW w:w="780" w:type="dxa"/>
            <w:vAlign w:val="bottom"/>
          </w:tcPr>
          <w:p>
            <w:pPr>
              <w:spacing w:after="0"/>
              <w:rPr>
                <w:sz w:val="20"/>
                <w:szCs w:val="20"/>
                <w:color w:val="auto"/>
              </w:rPr>
            </w:pPr>
          </w:p>
        </w:tc>
        <w:tc>
          <w:tcPr>
            <w:tcW w:w="2880" w:type="dxa"/>
            <w:vAlign w:val="bottom"/>
          </w:tcPr>
          <w:p>
            <w:pPr>
              <w:jc w:val="center"/>
              <w:spacing w:after="0"/>
              <w:rPr>
                <w:sz w:val="20"/>
                <w:szCs w:val="20"/>
                <w:color w:val="auto"/>
              </w:rPr>
            </w:pPr>
            <w:r>
              <w:rPr>
                <w:rFonts w:ascii="Arial" w:cs="Arial" w:eastAsia="Arial" w:hAnsi="Arial"/>
                <w:sz w:val="16"/>
                <w:szCs w:val="16"/>
                <w:b w:val="1"/>
                <w:bCs w:val="1"/>
                <w:color w:val="auto"/>
                <w:w w:val="91"/>
              </w:rPr>
              <w:t>New York Stock Exchange</w:t>
            </w:r>
          </w:p>
        </w:tc>
      </w:tr>
    </w:tbl>
    <w:p>
      <w:pPr>
        <w:spacing w:after="0" w:line="19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120"/>
        <w:spacing w:after="0" w:line="3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w:t>
      </w:r>
    </w:p>
    <w:p>
      <w:pPr>
        <w:spacing w:after="0" w:line="28" w:lineRule="exact"/>
        <w:rPr>
          <w:sz w:val="24"/>
          <w:szCs w:val="24"/>
          <w:color w:val="auto"/>
        </w:rPr>
      </w:pPr>
    </w:p>
    <w:tbl>
      <w:tblPr>
        <w:tblLayout w:type="fixed"/>
        <w:tblInd w:w="300" w:type="dxa"/>
        <w:tblCellMar>
          <w:top w:w="0" w:type="dxa"/>
          <w:left w:w="0" w:type="dxa"/>
          <w:bottom w:w="0" w:type="dxa"/>
          <w:right w:w="0" w:type="dxa"/>
        </w:tblCellMar>
      </w:tblPr>
      <w:tr>
        <w:trPr>
          <w:trHeight w:val="254"/>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00" w:type="dxa"/>
            <w:vAlign w:val="bottom"/>
          </w:tcPr>
          <w:p>
            <w:pPr>
              <w:ind w:left="980"/>
              <w:spacing w:after="0" w:line="161" w:lineRule="exact"/>
              <w:rPr>
                <w:sz w:val="20"/>
                <w:szCs w:val="20"/>
                <w:color w:val="auto"/>
              </w:rPr>
            </w:pPr>
            <w:r>
              <w:rPr>
                <w:rFonts w:ascii="MS PGothic" w:cs="MS PGothic" w:eastAsia="MS PGothic" w:hAnsi="MS PGothic"/>
                <w:sz w:val="16"/>
                <w:szCs w:val="16"/>
                <w:color w:val="auto"/>
              </w:rPr>
              <w:t>☐</w:t>
            </w:r>
          </w:p>
        </w:tc>
        <w:tc>
          <w:tcPr>
            <w:tcW w:w="3180" w:type="dxa"/>
            <w:vAlign w:val="bottom"/>
          </w:tcPr>
          <w:p>
            <w:pPr>
              <w:ind w:left="58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24"/>
        </w:trPr>
        <w:tc>
          <w:tcPr>
            <w:tcW w:w="2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180" w:type="dxa"/>
            <w:vAlign w:val="bottom"/>
          </w:tcPr>
          <w:p>
            <w:pPr>
              <w:ind w:left="58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rPr>
          <w:sz w:val="20"/>
          <w:szCs w:val="20"/>
          <w:color w:val="auto"/>
        </w:rPr>
      </w:pPr>
      <w:r>
        <w:rPr>
          <w:rFonts w:ascii="Arial" w:cs="Arial" w:eastAsia="Arial" w:hAnsi="Arial"/>
          <w:sz w:val="16"/>
          <w:szCs w:val="16"/>
          <w:color w:val="auto"/>
        </w:rPr>
        <w:t>Act.</w:t>
      </w:r>
    </w:p>
    <w:p>
      <w:pPr>
        <w:spacing w:after="0" w:line="5"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A Common Stock, $0.01 par value per share – 38,887,851 shares as of January 31, 2022</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Class B Common Stock, $0.01 par value per share - 1 share as of January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656590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920"/>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9"/>
              </w:rPr>
              <w:t>BELLRING BRANDS, INC.</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9"/>
              </w:rPr>
              <w:t>QUARTERLY REPORT ON FORM 10-Q</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8"/>
              </w:rPr>
              <w:t>TABLE OF CONTENTS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Page</w:t>
            </w:r>
          </w:p>
        </w:tc>
      </w:tr>
      <w:tr>
        <w:trPr>
          <w:trHeight w:val="189"/>
        </w:trPr>
        <w:tc>
          <w:tcPr>
            <w:tcW w:w="20" w:type="dxa"/>
            <w:vAlign w:val="bottom"/>
          </w:tcPr>
          <w:p>
            <w:pPr>
              <w:spacing w:after="0"/>
              <w:rPr>
                <w:sz w:val="16"/>
                <w:szCs w:val="16"/>
                <w:color w:val="auto"/>
              </w:rPr>
            </w:pPr>
          </w:p>
        </w:tc>
        <w:tc>
          <w:tcPr>
            <w:tcW w:w="1500" w:type="dxa"/>
            <w:vAlign w:val="bottom"/>
            <w:tcBorders>
              <w:top w:val="single" w:sz="8" w:color="CCEEFF"/>
            </w:tcBorders>
            <w:gridSpan w:val="2"/>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220" w:type="dxa"/>
            <w:vAlign w:val="bottom"/>
            <w:tcBorders>
              <w:top w:val="single" w:sz="8" w:color="CCEEFF"/>
            </w:tcBorders>
            <w:gridSpan w:val="17"/>
          </w:tcPr>
          <w:p>
            <w:pPr>
              <w:spacing w:after="0" w:line="189"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FINANCIAL INFORMATION</w:t>
              </w:r>
            </w:hyperlink>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w:t>
            </w:r>
          </w:p>
        </w:tc>
        <w:tc>
          <w:tcPr>
            <w:tcW w:w="9220" w:type="dxa"/>
            <w:vAlign w:val="bottom"/>
            <w:gridSpan w:val="17"/>
          </w:tcPr>
          <w:p>
            <w:pPr>
              <w:spacing w:after="0" w:line="189" w:lineRule="exact"/>
              <w:rPr>
                <w:rFonts w:ascii="Arial" w:cs="Arial" w:eastAsia="Arial" w:hAnsi="Arial"/>
                <w:sz w:val="18"/>
                <w:szCs w:val="18"/>
                <w:color w:val="0000FF"/>
              </w:rPr>
            </w:pPr>
            <w:hyperlink w:anchor="page2">
              <w:r>
                <w:rPr>
                  <w:rFonts w:ascii="Arial" w:cs="Arial" w:eastAsia="Arial" w:hAnsi="Arial"/>
                  <w:sz w:val="18"/>
                  <w:szCs w:val="18"/>
                  <w:color w:val="0000FF"/>
                </w:rPr>
                <w:t>Financial Statements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Operations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Condensed Consolidated Balance Sheets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Stockholders’ Deficit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Notes to Condensed Consolidated Financial Statements (Unaudited)</w:t>
              </w:r>
            </w:hyperlink>
          </w:p>
        </w:tc>
        <w:tc>
          <w:tcPr>
            <w:tcW w:w="280" w:type="dxa"/>
            <w:vAlign w:val="bottom"/>
            <w:gridSpan w:val="2"/>
          </w:tcPr>
          <w:p>
            <w:pPr>
              <w:jc w:val="center"/>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2.</w:t>
            </w:r>
          </w:p>
        </w:tc>
        <w:tc>
          <w:tcPr>
            <w:tcW w:w="9220" w:type="dxa"/>
            <w:vAlign w:val="bottom"/>
            <w:gridSpan w:val="17"/>
          </w:tcPr>
          <w:p>
            <w:pPr>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17">
              <w:r>
                <w:rPr>
                  <w:rFonts w:ascii="Arial" w:cs="Arial" w:eastAsia="Arial" w:hAnsi="Arial"/>
                  <w:sz w:val="18"/>
                  <w:szCs w:val="18"/>
                  <w:color w:val="0000FF"/>
                  <w:w w:val="89"/>
                </w:rPr>
                <w:t>16</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960" w:type="dxa"/>
            <w:vAlign w:val="bottom"/>
            <w:tcBorders>
              <w:top w:val="single" w:sz="8" w:color="0000FF"/>
            </w:tcBorders>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3.</w:t>
            </w:r>
          </w:p>
        </w:tc>
        <w:tc>
          <w:tcPr>
            <w:tcW w:w="9220" w:type="dxa"/>
            <w:vAlign w:val="bottom"/>
            <w:gridSpan w:val="17"/>
          </w:tcPr>
          <w:p>
            <w:pPr>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Quantitative and Qualitative Disclosures About Market Risk</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4.</w:t>
            </w:r>
          </w:p>
        </w:tc>
        <w:tc>
          <w:tcPr>
            <w:tcW w:w="9220" w:type="dxa"/>
            <w:vAlign w:val="bottom"/>
            <w:gridSpan w:val="17"/>
          </w:tcPr>
          <w:p>
            <w:pPr>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Controls and Procedures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21</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rPr>
              <w:t>PART II.</w:t>
            </w:r>
          </w:p>
        </w:tc>
        <w:tc>
          <w:tcPr>
            <w:tcW w:w="9220" w:type="dxa"/>
            <w:vAlign w:val="bottom"/>
            <w:gridSpan w:val="17"/>
          </w:tcPr>
          <w:p>
            <w:pPr>
              <w:spacing w:after="0" w:line="189" w:lineRule="exact"/>
              <w:rPr>
                <w:rFonts w:ascii="Arial" w:cs="Arial" w:eastAsia="Arial" w:hAnsi="Arial"/>
                <w:sz w:val="18"/>
                <w:szCs w:val="18"/>
                <w:b w:val="1"/>
                <w:bCs w:val="1"/>
                <w:color w:val="0000FF"/>
              </w:rPr>
            </w:pPr>
            <w:hyperlink w:anchor="page23">
              <w:r>
                <w:rPr>
                  <w:rFonts w:ascii="Arial" w:cs="Arial" w:eastAsia="Arial" w:hAnsi="Arial"/>
                  <w:sz w:val="18"/>
                  <w:szCs w:val="18"/>
                  <w:b w:val="1"/>
                  <w:bCs w:val="1"/>
                  <w:color w:val="0000FF"/>
                </w:rPr>
                <w:t>OTHER INFORMATION</w:t>
              </w:r>
            </w:hyperlink>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w:t>
            </w:r>
          </w:p>
        </w:tc>
        <w:tc>
          <w:tcPr>
            <w:tcW w:w="9220" w:type="dxa"/>
            <w:vAlign w:val="bottom"/>
            <w:gridSpan w:val="17"/>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Legal Proceedings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1A.</w:t>
            </w:r>
          </w:p>
        </w:tc>
        <w:tc>
          <w:tcPr>
            <w:tcW w:w="9220" w:type="dxa"/>
            <w:vAlign w:val="bottom"/>
            <w:gridSpan w:val="17"/>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Risk Factors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2.</w:t>
            </w:r>
          </w:p>
        </w:tc>
        <w:tc>
          <w:tcPr>
            <w:tcW w:w="9220" w:type="dxa"/>
            <w:vAlign w:val="bottom"/>
            <w:gridSpan w:val="17"/>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Unregistered Sales of Equity Securities and Use of Proceeds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Item 6.</w:t>
            </w:r>
          </w:p>
        </w:tc>
        <w:tc>
          <w:tcPr>
            <w:tcW w:w="9220" w:type="dxa"/>
            <w:vAlign w:val="bottom"/>
            <w:gridSpan w:val="17"/>
          </w:tcPr>
          <w:p>
            <w:pPr>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4">
              <w:r>
                <w:rPr>
                  <w:rFonts w:ascii="Arial" w:cs="Arial" w:eastAsia="Arial" w:hAnsi="Arial"/>
                  <w:sz w:val="18"/>
                  <w:szCs w:val="18"/>
                  <w:color w:val="0000FF"/>
                  <w:w w:val="89"/>
                </w:rPr>
                <w:t>23</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6"/>
        </w:trPr>
        <w:tc>
          <w:tcPr>
            <w:tcW w:w="20" w:type="dxa"/>
            <w:vAlign w:val="bottom"/>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20" w:type="dxa"/>
            <w:vAlign w:val="bottom"/>
            <w:gridSpan w:val="17"/>
          </w:tcPr>
          <w:p>
            <w:pPr>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280" w:type="dxa"/>
            <w:vAlign w:val="bottom"/>
            <w:gridSpan w:val="2"/>
          </w:tcPr>
          <w:p>
            <w:pPr>
              <w:jc w:val="center"/>
              <w:ind w:left="10"/>
              <w:spacing w:after="0" w:line="189" w:lineRule="exact"/>
              <w:rPr>
                <w:rFonts w:ascii="Arial" w:cs="Arial" w:eastAsia="Arial" w:hAnsi="Arial"/>
                <w:sz w:val="18"/>
                <w:szCs w:val="18"/>
                <w:color w:val="0000FF"/>
                <w:w w:val="89"/>
              </w:rPr>
            </w:pPr>
            <w:hyperlink w:anchor="page25">
              <w:r>
                <w:rPr>
                  <w:rFonts w:ascii="Arial" w:cs="Arial" w:eastAsia="Arial" w:hAnsi="Arial"/>
                  <w:sz w:val="18"/>
                  <w:szCs w:val="18"/>
                  <w:color w:val="0000FF"/>
                  <w:w w:val="89"/>
                </w:rPr>
                <w:t>24</w:t>
              </w:r>
            </w:hyperlink>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PART I.</w:t>
        <w:tab/>
        <w:t>FINANCIAL INFORMATION.</w:t>
      </w:r>
    </w:p>
    <w:p>
      <w:pPr>
        <w:spacing w:after="0" w:line="11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tab/>
        <w:t>FINANCIAL STATEMENTS (UNAUDITED).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75" w:lineRule="exact"/>
        <w:rPr>
          <w:sz w:val="20"/>
          <w:szCs w:val="20"/>
          <w:color w:val="auto"/>
        </w:rPr>
      </w:pPr>
    </w:p>
    <w:p>
      <w:pPr>
        <w:jc w:val="center"/>
        <w:ind w:left="8920"/>
        <w:spacing w:after="0"/>
        <w:rPr>
          <w:sz w:val="20"/>
          <w:szCs w:val="20"/>
          <w:color w:val="auto"/>
        </w:rPr>
      </w:pPr>
      <w:r>
        <w:rPr>
          <w:rFonts w:ascii="Arial" w:cs="Arial" w:eastAsia="Arial" w:hAnsi="Arial"/>
          <w:sz w:val="16"/>
          <w:szCs w:val="16"/>
          <w:b w:val="1"/>
          <w:bCs w:val="1"/>
          <w:color w:val="auto"/>
        </w:rPr>
        <w:t>Three Months Ended</w:t>
      </w:r>
    </w:p>
    <w:p>
      <w:pPr>
        <w:jc w:val="center"/>
        <w:ind w:left="892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2020</w:t>
            </w:r>
          </w:p>
        </w:tc>
      </w:tr>
      <w:tr>
        <w:trPr>
          <w:trHeight w:val="226"/>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190.5</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Other operating income, net</w:t>
            </w: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before 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30"/>
        </w:trPr>
        <w:tc>
          <w:tcPr>
            <w:tcW w:w="8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earnings attributable to redeemable noncontrolling interest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48"/>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8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of Class A Common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94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70"/>
        </w:trPr>
        <w:tc>
          <w:tcPr>
            <w:tcW w:w="8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of Class A Common Stock Outstanding:</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940" w:type="dxa"/>
            <w:vAlign w:val="bottom"/>
          </w:tcPr>
          <w:p>
            <w:pPr>
              <w:ind w:left="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8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r>
    </w:tbl>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5"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Including Redeemable Noncontrolling Interest</w:t>
            </w:r>
          </w:p>
        </w:tc>
        <w:tc>
          <w:tcPr>
            <w:tcW w:w="70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Hedging adjustments: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Reclassifications to net earnings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foreign currency translation adjustments</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(0.4)</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Income Including Redeemable Noncontrolling Interest</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31.2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r>
      <w:tr>
        <w:trPr>
          <w:trHeight w:val="223"/>
        </w:trPr>
        <w:tc>
          <w:tcPr>
            <w:tcW w:w="89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Available to Class A Common Stockholders</w:t>
            </w:r>
          </w:p>
        </w:tc>
        <w:tc>
          <w:tcPr>
            <w:tcW w:w="700" w:type="dxa"/>
            <w:vAlign w:val="bottom"/>
            <w:tcBorders>
              <w:bottom w:val="single" w:sz="8" w:color="auto"/>
            </w:tcBorders>
          </w:tcPr>
          <w:p>
            <w:pPr>
              <w:jc w:val="right"/>
              <w:ind w:right="51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8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1"/>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12"/>
        </w:trPr>
        <w:tc>
          <w:tcPr>
            <w:tcW w:w="8240" w:type="dxa"/>
            <w:vAlign w:val="bottom"/>
            <w:shd w:val="clear" w:color="auto" w:fill="CCEEFF"/>
          </w:tcPr>
          <w:p>
            <w:pPr>
              <w:ind w:left="52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Property,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8240" w:type="dxa"/>
            <w:vAlign w:val="bottom"/>
          </w:tcPr>
          <w:p>
            <w:pPr>
              <w:ind w:left="3640"/>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481.2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2,997.3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(2,806.6)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(3,059.7)</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Treasury stock, at cost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(3,062.8)</w:t>
            </w:r>
          </w:p>
        </w:tc>
      </w:tr>
      <w:tr>
        <w:trPr>
          <w:trHeight w:val="223"/>
        </w:trPr>
        <w:tc>
          <w:tcPr>
            <w:tcW w:w="8240" w:type="dxa"/>
            <w:vAlign w:val="bottom"/>
          </w:tcPr>
          <w:p>
            <w:pPr>
              <w:ind w:left="520"/>
              <w:spacing w:after="0"/>
              <w:rPr>
                <w:sz w:val="20"/>
                <w:szCs w:val="20"/>
                <w:color w:val="auto"/>
              </w:rPr>
            </w:pPr>
            <w:r>
              <w:rPr>
                <w:rFonts w:ascii="Arial" w:cs="Arial" w:eastAsia="Arial" w:hAnsi="Arial"/>
                <w:sz w:val="18"/>
                <w:szCs w:val="18"/>
                <w:b w:val="1"/>
                <w:bCs w:val="1"/>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75" w:lineRule="exact"/>
        <w:rPr>
          <w:sz w:val="20"/>
          <w:szCs w:val="20"/>
          <w:color w:val="auto"/>
        </w:rPr>
      </w:pPr>
    </w:p>
    <w:p>
      <w:pPr>
        <w:jc w:val="center"/>
        <w:ind w:left="8220"/>
        <w:spacing w:after="0"/>
        <w:rPr>
          <w:sz w:val="20"/>
          <w:szCs w:val="20"/>
          <w:color w:val="auto"/>
        </w:rPr>
      </w:pPr>
      <w:r>
        <w:rPr>
          <w:rFonts w:ascii="Arial" w:cs="Arial" w:eastAsia="Arial" w:hAnsi="Arial"/>
          <w:sz w:val="16"/>
          <w:szCs w:val="16"/>
          <w:b w:val="1"/>
          <w:bCs w:val="1"/>
          <w:color w:val="auto"/>
        </w:rPr>
        <w:t>Three Months Ended</w:t>
      </w:r>
    </w:p>
    <w:p>
      <w:pPr>
        <w:jc w:val="center"/>
        <w:ind w:left="822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6"/>
                <w:szCs w:val="16"/>
                <w:b w:val="1"/>
                <w:bCs w:val="1"/>
                <w:color w:val="auto"/>
              </w:rPr>
              <w:t>2020</w:t>
            </w: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including redeemable noncontrolling interest</w:t>
            </w:r>
          </w:p>
        </w:tc>
        <w:tc>
          <w:tcPr>
            <w:tcW w:w="880" w:type="dxa"/>
            <w:vAlign w:val="bottom"/>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176"/>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Adjustments to reconcile net earnings including redeemable noncontrolling interest to net cash (used in) provided</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operating activities: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interest rate swaps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Non-cash stock-based compensation expense</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changes in operating assets and liabilities: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Increase in receivables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inventories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Increase in prepaid expenses and other current assets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Decrease in other assets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(Decrease) increase in accounts payable and other current liabilities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non-current liabilities</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2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Provided by Operating Activities</w:t>
            </w:r>
          </w:p>
        </w:tc>
        <w:tc>
          <w:tcPr>
            <w:tcW w:w="8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long-term debt</w:t>
            </w:r>
          </w:p>
        </w:tc>
        <w:tc>
          <w:tcPr>
            <w:tcW w:w="8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Repayments of long-term debt</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treasury stock</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Distributions to Post Holdings, Inc.</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Cash Used in Financing Activities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(122.2)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880" w:type="dxa"/>
            <w:vAlign w:val="bottom"/>
            <w:tcBorders>
              <w:bottom w:val="single" w:sz="8" w:color="auto"/>
            </w:tcBorders>
          </w:tcPr>
          <w:p>
            <w:pPr>
              <w:jc w:val="right"/>
              <w:ind w:right="67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0"/>
        </w:trPr>
        <w:tc>
          <w:tcPr>
            <w:tcW w:w="8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CONDENSED CONSOLIDATED STATEMENTS OF STOCKHOLDERS’ DEFICIT (Unaudited)</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 millions</w:t>
      </w:r>
      <w:r>
        <w:rPr>
          <w:rFonts w:ascii="Arial" w:cs="Arial" w:eastAsia="Arial" w:hAnsi="Arial"/>
          <w:sz w:val="18"/>
          <w:szCs w:val="18"/>
          <w:color w:val="auto"/>
        </w:rPr>
        <w:t>)</w:t>
      </w:r>
    </w:p>
    <w:p>
      <w:pPr>
        <w:spacing w:after="0" w:line="200" w:lineRule="exact"/>
        <w:rPr>
          <w:sz w:val="20"/>
          <w:szCs w:val="20"/>
          <w:color w:val="auto"/>
        </w:rPr>
      </w:pPr>
    </w:p>
    <w:p>
      <w:pPr>
        <w:spacing w:after="0" w:line="318"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As Of and For The</w:t>
      </w:r>
    </w:p>
    <w:p>
      <w:pPr>
        <w:jc w:val="center"/>
        <w:ind w:left="7840"/>
        <w:spacing w:after="0" w:line="211" w:lineRule="auto"/>
        <w:rPr>
          <w:sz w:val="20"/>
          <w:szCs w:val="20"/>
          <w:color w:val="auto"/>
        </w:rPr>
      </w:pPr>
      <w:r>
        <w:rPr>
          <w:rFonts w:ascii="Arial" w:cs="Arial" w:eastAsia="Arial" w:hAnsi="Arial"/>
          <w:sz w:val="16"/>
          <w:szCs w:val="16"/>
          <w:b w:val="1"/>
          <w:bCs w:val="1"/>
          <w:color w:val="auto"/>
        </w:rPr>
        <w:t>Three Months Ended</w:t>
      </w:r>
    </w:p>
    <w:p>
      <w:pPr>
        <w:jc w:val="center"/>
        <w:ind w:left="784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300" w:type="dxa"/>
        <w:tblCellMar>
          <w:top w:w="0" w:type="dxa"/>
          <w:left w:w="0" w:type="dxa"/>
          <w:bottom w:w="0" w:type="dxa"/>
          <w:right w:w="0" w:type="dxa"/>
        </w:tblCellMar>
      </w:tblPr>
      <w:tr>
        <w:trPr>
          <w:trHeight w:val="213"/>
        </w:trPr>
        <w:tc>
          <w:tcPr>
            <w:tcW w:w="78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6"/>
                <w:szCs w:val="16"/>
                <w:b w:val="1"/>
                <w:bCs w:val="1"/>
                <w:color w:val="auto"/>
              </w:rPr>
              <w:t>2020</w:t>
            </w:r>
          </w:p>
        </w:tc>
      </w:tr>
      <w:tr>
        <w:trPr>
          <w:trHeight w:val="212"/>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Preferred Stock</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Beginning and end of period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Beginning and end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Activity under stock and deferred compensation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Non-cash 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Deficit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(3,059.7)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(2,179.0)</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earnings available to Class A Common Stockholders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Distribution to Post Holdings, Inc.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redeemable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(2,806.6)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(2,496.5)</w:t>
            </w: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Hedging Adjustments, net of tax</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Net change in hedges, net of tax</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86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Foreign Currency Translation Adjustments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End of period</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Purchases of treasury stock</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tcPr>
          <w:p>
            <w:pPr>
              <w:ind w:left="340"/>
              <w:spacing w:after="0"/>
              <w:rPr>
                <w:sz w:val="20"/>
                <w:szCs w:val="20"/>
                <w:color w:val="auto"/>
              </w:rPr>
            </w:pPr>
            <w:r>
              <w:rPr>
                <w:rFonts w:ascii="Arial" w:cs="Arial" w:eastAsia="Arial" w:hAnsi="Arial"/>
                <w:sz w:val="18"/>
                <w:szCs w:val="18"/>
                <w:b w:val="1"/>
                <w:bCs w:val="1"/>
                <w:color w:val="auto"/>
              </w:rPr>
              <w:t>Total Stockholders’ Deficit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(2,499.7)</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5" w:right="6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information and where indicated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BellRing Brands, Inc. (along with its consolidated subsidiaries, “BellRing” or the “Company”) is a consumer products holding company operating in the global convenient nutrition category and is a provider of ready-to-drink (“RTD”) protein shakes, other RTD beverages, powders and nutrition bars. The Company has a single operating and reportable segment, with its principal products being protein-based consumer goods. The Company’s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shares of its Class A common stock, $0.01 par value per share (the “Class A Common Stock”), and contributed the net proceeds from the IPO to BellRing Brands, LLC, a Delaware limited liability company and subsidiary of BellRing Inc. (“BellRing LLC”), in exchange for 39.4 BellRing LLC non-voting membership units (the “BellRing LLC units”).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The members of BellRing LLC are Post and BellRing Inc.</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2021, Post held 97.5 BellRing LLC units, equal to 71.5% of the economic interest in BellRing LLC, and one share of Class B common stock of BellRing Inc., $0.01 par value per share (the “Class B Common Stock”), which represented 67% of the combined voting power of the common stock of BellRing Inc. The Class B Common Stock has no dividend or other economic rights.</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2021, the public stockholders of BellRing Inc. (i) owned 38.9 shares of Class A Common Stock, which represented 33% of the combined voting power of BellRing Inc. common stock and 100% of the economic interest in BellRing Inc., and (ii) through BellRing Inc.’s ownership of BellRing LLC units, indirectly held 28.5% of the economic interest in BellRing LLC.</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BellRing Inc. and BellRing LLC will at all times maintain, subject to certain exceptions, a one-to-one ratio between the number of shares of Class A Common Stock issued by BellRing Inc. and the number of BellRing LLC units owned by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 Post controls BellRing Inc. through its ownership of the share of Class B Common Stock.</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August 2021, Post announced its plan to distribute a significant portion of its ownership interest in BellRing Inc. to its shareholders and in October 2021, BellRing Inc. and Post announced the signing of a Transaction Agreement and Plan of Merger (the “Transaction Agreement”) between them, BellRing Distribution, LLC, a newly-formed wholly-owned subsidiary of Post (“New BellRing”), and BellRing Merger Sub Corporation, a wholly-owned subsidiary of New BellRing (“Merger Sub”) related to Post’s distribution plan. Pursuant to the Transaction Agreement, Post will contribute its one share of Class B Common Stock, all of its BellRing LLC units and cash to New BellRing in exchange for all of the then-outstanding equity of New BellRing and New BellRing indebtedness (the “Separation”). New BellRing will convert into a Delaware corporation, and Post will then distribute at least 80.1% of its shares of New BellRing common stock to Post shareholders in a pro-rata distribution. Upon completion of the distribution of New BellRing common stock to Post shareholders (the “Distribution”), Merger Sub will merge with and into BellRing Inc. (the “Merger”), with BellRing Inc. as the surviving corporation and a wholly-owned subsidiary of New BellRing. Pursuant to the Merger, each outstanding share of Class A Common Stock will be converted into one share of New BellRing common stock plus a to-be-determined amount of cash per share. The exact amount of cash consideration will be determined in accordance with the Transaction Agreement based upon several factors, including the amount of New BellRing indebtedness to be issued. Immediately following the Distribution and Merger, it is expected that Post will own no more than 14.2% of the New BellRing common stock and Post shareholders will own at least 57.3% of the New BellRing common stock. Legacy holders of Class A Common Stock will own approximately 28.5% of the New BellRing common stock, maintaining their current effective ownership interest in the Company’s business. The Transaction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also contemplates that Post and New BellRing will enter into certain customary ancillary agreements in connection with the consummation of the Merger. Completion of the transactions is anticipated to occur in the second quarter of fiscal 2022, subject to certain customary closing conditions, although there can be no assurance that the transactions will occur within the expected timeframe or at all. The Company incurred separation-related expenses of $2.0 during the three months ended December 31, 2021. These expenses generally included third party costs for due diligence, advisory services and government filing fees and were recorded as “Selling, general and administrative expenses” in the Condensed Consolidated Statement of Operations. As of December 31, 2021 the Separation, the Distribution and the Merger had not yet been completed.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These unaudited condensed consolidated financial statements have been prepared in accordance with accounting principles generally accepted in the United States of America (“GAAP”), under the rules and regulations of the United States (“U.S.”) Securities and Exchange Commission (the “SEC”), and on a basis substantially consistent with the audited consolidated financial statements of the Company as of and for the year ended September 30, 2021. These unaudited condensed consolidated financial statements should be read in conjunction with such audited consolidated financial statements, which are included in the Company’s Annual Report on Form 10-K for the fiscal year ended September 30, 2021, filed with the SEC on November 19, 2021.</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unaudited condensed consolidated financial statements include all adjustments (consisting of normal recurring adjustments and accruals) that management considers necessary for a fair statement of the Company’s results of operations, comprehensive income, financial position, cash flows and stockholders’ equity for the interim periods presented. Interim results are not necessarily indicative of the results for any other interim period or for the entire fiscal year.</w:t>
      </w:r>
    </w:p>
    <w:p>
      <w:pPr>
        <w:spacing w:after="0" w:line="7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financial results of BellRing LLC and its subsidiaries are consolidated with BellRing Inc., and a portion of the consolidated net earnings of BellRing LLC is allocated to the redeemable noncontrolling interest (the “NCI”). The calculation of the NCI is based on Post’s ownership percentage of BellRing LLC units during each period, and reflects the entitlement of Post to a portion of the consolidated net earnings of BellRing LLC. All intercompany balances and transactions have been eliminated. Transactions between the Company and Post are included in these financial statements as well as allocations of certain Post corporate expenses. See Note 4 for further information on transactions with Post.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RECENTLY ISSUED AND ADOPTED ACCOUNTING STANDARDS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has considered all new accounting pronouncements and has concluded there are no new pronouncements (other than those described below) that had or will have a material impact on the Company’s results of operations, comprehensive income, financial condition, cash flows, stockholders’ equity or related disclosures based on current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October 2021, the Financial Accounting Standards Board (the “FASB”) issued Accounting Standards Update (“ASU”) No. 2021-08, “Business Combinations (Topic 805): Accounting for Contract Assets and Contract Liabilities from Contracts with Customers.” This ASU requires a company to recognize and measure contract assets and contract liabilities acquired in a business combination in accordance with ASU No. 2014-19, “Revenue from Contracts with Customers (Topic 606)” as if it had originated the contracts. The Company early adopted this ASU on October 1, 2021 on a prospective basis, as permitted by the ASU. The adoption of this ASU had no impact on the Company’s consolidated financial statements and related disclosures.</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August 2020, the FASB issued ASU No. 2020-06, “Debt—Debt with Conversion and Other Options (Subtopic 470-20) and Derivatives and Hedging—Contracts in Entity’s Own Equity (Subtopic 815-40): Accounting for Convertible Instruments and Contracts in an Entity’s Own Equity,” which simplifies the accounting for convertible instruments by removing major separation models required under current GAAP. This ASU also removes certain settlement conditions that are required for equity-linked contracts to qualify for the derivative scope exception, and it simplifies the diluted earnings per share calculation in certain areas. The Company early adopted this ASU on October 1, 2021, using the modified retrospective approach. The adoption of this ASU did not have a material impact on the Company’s consolidated financial statements and related disclosures.</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adopted Topic 848 on October 1, 2021. The adoption of Topic 848 did not have and is not expected to have a material impact on the Company’s consolidated financial statements and related disclosures</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net sales by product.</w:t>
      </w:r>
    </w:p>
    <w:p>
      <w:pPr>
        <w:spacing w:after="0" w:line="154"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Shakes and other beverages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w:t>
            </w:r>
          </w:p>
        </w:tc>
      </w:tr>
      <w:tr>
        <w:trPr>
          <w:trHeight w:val="230"/>
        </w:trPr>
        <w:tc>
          <w:tcPr>
            <w:tcW w:w="8900" w:type="dxa"/>
            <w:vAlign w:val="bottom"/>
          </w:tcPr>
          <w:p>
            <w:pPr>
              <w:ind w:left="20"/>
              <w:spacing w:after="0"/>
              <w:rPr>
                <w:sz w:val="20"/>
                <w:szCs w:val="20"/>
                <w:color w:val="auto"/>
              </w:rPr>
            </w:pPr>
            <w:r>
              <w:rPr>
                <w:rFonts w:ascii="Arial" w:cs="Arial" w:eastAsia="Arial" w:hAnsi="Arial"/>
                <w:sz w:val="18"/>
                <w:szCs w:val="18"/>
                <w:color w:val="auto"/>
              </w:rPr>
              <w:t>Powders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Nutrition bars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8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uses certain functions and services performed by Post. These functions and services include legal, finance, internal audit, treasury, information technology support, insurance and tax matters, the use of office and/or data center space, payroll processing services and tax compliance services. These functions and services are provided by Post under a master services agreement (the “MSA”). In addition to charges for these services, the Company also incurs certain pass-through charges from Post, primarily relating to stock-based compensation for employees participating in Post’s stock-based compensation plans. For the three months ended December 31, 2021, MSA fees were $0.6 and stock-based compensation expense related to Post’s stock-based compensation plans was $0.5. For the three months ended December 31, 2020, MSA fees were $0.6 and stock-based compensation expense related to Post’s stock-based compensation plans was $0.8. MSA fees and stock-based compensation expense were reported in “Selling, general and administrative expenses” in the Condensed Consolidated Statements of Operations.</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sells certain products to, purchases certain products from and licenses certain intellectual property to and from Post and its subsidiaries based upon pricing governed by agreements between the Company and Post and its subsidiaries, consistent with pricing of similar arm's-length transactions. During each of the three months ended December 31, 2021 and 2020, net sales to, purchases from and royalties paid to and received from Post and its subsidiaries were immaterial.</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first quarter of fiscal 2022, Premier Nutrition Company, LLC (“Premier Nutrition”), a subsidiary of the Company, and Michael Foods, Inc. (“MFI”), a subsidiary of Post, entered into a reimbursement agreement relating to a proposed contract manufacturing relationship (the “Co-Man Arrangement”) between Premier Nutrition and MFI. Pursuant to the reimbursement agreement, prior to the execution of a definitive agreement governing the Co-Man Arrangement, Premier Nutrition will indemnify MFI for certain costs and expenses incurred in the evaluation and acquisition of property for the Co-Man Arrangement. For the three months ended December 31, 2021, Premier Nutrition did not reimburse MFI for any amounts under the reimbursement agreement.</w:t>
      </w:r>
    </w:p>
    <w:p>
      <w:pPr>
        <w:spacing w:after="0" w:line="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a series of agreements with Post which are intended to govern the ongoing relationship between the Company and Post. These agreements include the amended and restated limited liability company agreement of BellRing LLC (the “BellRing LLC Agreement”), an employee matters agreement, an investor rights agreement, a tax matters agreement, a tax receivable agreement and the MSA, among others. Under certain of these agreements, the Company incurs expenses payable to Post in connection with certain administrative services provided for varying lengths of time. The Company had immaterial receivables with Post at both December 31, 2021 and September 30, 2021 related to sales with Post and its subsidiaries. The Company had $0.9 and $2.2 of payables with Post at December 31, 2021 and September 30, 2021, respectively, related to MSA fees and pass-through charges owed by the Company to Post, as well as related party purchases. The receivables and payables were included in “Receivables, net” and “Accounts payable,” respectively, on the Condensed Consolidated Balance Sheets. During the three months ended December 31, 2021, BellRing LLC paid $3.2 to Post related to quarterly tax distributions from BellRing LLC to Post made pursuant to the terms of the BellRing LLC Agreement and had immaterial payments for state corporate tax withholdings on behalf of Post. During the three months ended December 31, 2020, BellRing LLC paid $3.2 to Post related to quarterly tax distributions from BellRing LLC to Post made pursuant to the terms of the BellRing LLC Agreement and $0.4 for state corporate tax withholdings on behalf of Post.</w:t>
      </w:r>
    </w:p>
    <w:p>
      <w:pPr>
        <w:spacing w:after="0" w:line="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Based on the provisions of the tax receivable agreement, BellRing Inc. must pay to Post (or certain of its transferees or other assignees) 85% of the amount of cash savings, if any, in U.S. federal income tax, as well as state and local income tax and franchise tax (using an assumed tax rate) and foreign tax that BellRing Inc. realizes (or, in some circumstances, is deemed to realize) as a result of (a) the increase in the tax basis of assets of BellRing LLC attributable to (i) the redemption of Post’s (or certain transferees’ or assignees’) BellRing LLC units for shares of Class A Common Stock or cash, (ii) deemed sales by Post (or certain of its transferees or assignees) of BellRing LLC units or assets to BellRing Inc., (iii) certain actual or deemed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distributions from BellRing LLC to Post (or certain transferees or assignees) and (iv) certain formation transactions, (b) disproportionate allocations of tax benefits to BellRing Inc. as a result of Section 704(c) of the Internal Revenue Code and (c) certain tax benefits (e.g., imputed interest, basis adjustments, etc.) attributable to payments under the tax receivable agreement.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Amounts payable to Post related to the tax receivable agreement of $0.3 and $10.2 were recorded in “Accounts Payable” and “Other liabilities,” respectively, on the Condensed Consolidated Balance Sheets at both December 31, 2021 and September 30, 2021.</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completion of the Separation, Distribution and Merger transactions, the Company, New BellRing and Post will amend and restate the MSA and the employee matters agreement and will enter into a tax matters agreement. Further, the current investor rights agreement between the Company and Post will be terminated, and New BellRing and Post will enter into a registration rights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REDEEMABLE NONCONTROLLING INTEREST</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At December 31, 2021, Post held 97.5 BellRing LLC units, equal to 71.5% of the economic interest in BellRing LLC. At September 30, 2021, Post held 97.5 BellRing LLC units, equal to 71.2% of the economic interest in BellRing LLC. Post may redeem BellRing LLC units for, at BellRing LLC’s option (as determined by its Board of Managers), (i) shares of Class A Common Stock or (ii) cash (based on the market price of the shares of Class A Common Stock). The redemption of BellRing LLC units for shares of Class A Common Stock will be at an initial redemption rate of one share of Class A Common Stock for one BellRing LLC unit, subject to customary redemption rate adjustments for stock splits, stock dividends and reclassifications.</w:t>
      </w:r>
    </w:p>
    <w:p>
      <w:pPr>
        <w:spacing w:after="0" w:line="5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Post’s ownership of BellRing LLC units represents a NCI to the Company, which is classified outside of permanent stockholders’ equity as the BellRing LLC units are redeemable at the option of Post, through Post’s ownership of BellRing’s Inc.’s share of Class B Common Stock (see Note 1). The carrying amount of the NCI is the greater of (i) the initial carrying amount, increased or decreased for the NCI’s share of net income or loss, other comprehensive income or loss (“OCI”) and distributions or dividends or (ii) the redemption value. As of December 31, 2021 and September 30, 2021, the carrying amounts of the NCI were recorded at their redemption values of $2,780.9 and $2,997.3, respectively. Changes in the redemption value of the NCI are recorded to additional paid-in capital, to the extent available, and “Accumulated deficit” on the Condensed Consolidated Balance Sheets.</w:t>
      </w:r>
    </w:p>
    <w:p>
      <w:pPr>
        <w:spacing w:after="0" w:line="5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BellRing Inc. owned 28.5% and 28.8% of the outstanding BellRing LLC units at December 31, 2021 and September 30, 2021, respectively. The financial results of BellRing LLC and its subsidiaries were consolidated with BellRing Inc., and the portion of the consolidated net earnings of BellRing LLC to which Post was entitled was allocated to the NCI during each period.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to the Company’s NCI.</w:t>
      </w:r>
    </w:p>
    <w:p>
      <w:pPr>
        <w:spacing w:after="0" w:line="154" w:lineRule="exact"/>
        <w:rPr>
          <w:sz w:val="20"/>
          <w:szCs w:val="20"/>
          <w:color w:val="auto"/>
        </w:rPr>
      </w:pPr>
    </w:p>
    <w:p>
      <w:pPr>
        <w:jc w:val="center"/>
        <w:ind w:left="8640"/>
        <w:spacing w:after="0"/>
        <w:rPr>
          <w:sz w:val="20"/>
          <w:szCs w:val="20"/>
          <w:color w:val="auto"/>
        </w:rPr>
      </w:pPr>
      <w:r>
        <w:rPr>
          <w:rFonts w:ascii="Arial" w:cs="Arial" w:eastAsia="Arial" w:hAnsi="Arial"/>
          <w:sz w:val="16"/>
          <w:szCs w:val="16"/>
          <w:b w:val="1"/>
          <w:bCs w:val="1"/>
          <w:color w:val="auto"/>
        </w:rPr>
        <w:t>As Of and For The</w:t>
      </w:r>
    </w:p>
    <w:p>
      <w:pPr>
        <w:jc w:val="center"/>
        <w:ind w:left="8620"/>
        <w:spacing w:after="0" w:line="211" w:lineRule="auto"/>
        <w:rPr>
          <w:sz w:val="20"/>
          <w:szCs w:val="20"/>
          <w:color w:val="auto"/>
        </w:rPr>
      </w:pPr>
      <w:r>
        <w:rPr>
          <w:rFonts w:ascii="Arial" w:cs="Arial" w:eastAsia="Arial" w:hAnsi="Arial"/>
          <w:sz w:val="16"/>
          <w:szCs w:val="16"/>
          <w:b w:val="1"/>
          <w:bCs w:val="1"/>
          <w:color w:val="auto"/>
        </w:rPr>
        <w:t>Three Months Ended</w:t>
      </w:r>
    </w:p>
    <w:p>
      <w:pPr>
        <w:jc w:val="center"/>
        <w:ind w:left="864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2,021.6</w:t>
            </w:r>
          </w:p>
        </w:tc>
        <w:tc>
          <w:tcPr>
            <w:tcW w:w="0" w:type="dxa"/>
            <w:vAlign w:val="bottom"/>
          </w:tcPr>
          <w:p>
            <w:pPr>
              <w:spacing w:after="0"/>
              <w:rPr>
                <w:sz w:val="1"/>
                <w:szCs w:val="1"/>
                <w:color w:val="auto"/>
              </w:rPr>
            </w:pPr>
          </w:p>
        </w:tc>
      </w:tr>
      <w:tr>
        <w:trPr>
          <w:trHeight w:val="229"/>
        </w:trPr>
        <w:tc>
          <w:tcPr>
            <w:tcW w:w="8760" w:type="dxa"/>
            <w:vAlign w:val="bottom"/>
          </w:tcPr>
          <w:p>
            <w:pPr>
              <w:ind w:left="140"/>
              <w:spacing w:after="0"/>
              <w:rPr>
                <w:sz w:val="20"/>
                <w:szCs w:val="20"/>
                <w:color w:val="auto"/>
              </w:rPr>
            </w:pPr>
            <w:r>
              <w:rPr>
                <w:rFonts w:ascii="Arial" w:cs="Arial" w:eastAsia="Arial" w:hAnsi="Arial"/>
                <w:sz w:val="18"/>
                <w:szCs w:val="18"/>
                <w:color w:val="auto"/>
              </w:rPr>
              <w:t>Net earnings attributable to NCI</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hedges, net of tax</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876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NCI</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23"/>
        </w:trPr>
        <w:tc>
          <w:tcPr>
            <w:tcW w:w="876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2,780.9</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2,369.6</w:t>
            </w:r>
          </w:p>
        </w:tc>
        <w:tc>
          <w:tcPr>
            <w:tcW w:w="0" w:type="dxa"/>
            <w:vAlign w:val="bottom"/>
          </w:tcPr>
          <w:p>
            <w:pPr>
              <w:spacing w:after="0"/>
              <w:rPr>
                <w:sz w:val="1"/>
                <w:szCs w:val="1"/>
                <w:color w:val="auto"/>
              </w:rPr>
            </w:pPr>
          </w:p>
        </w:tc>
      </w:tr>
      <w:tr>
        <w:trPr>
          <w:trHeight w:val="20"/>
        </w:trPr>
        <w:tc>
          <w:tcPr>
            <w:tcW w:w="8760" w:type="dxa"/>
            <w:vAlign w:val="bottom"/>
            <w:vMerge w:val="restart"/>
          </w:tcPr>
          <w:p>
            <w:pPr>
              <w:ind w:left="340"/>
              <w:spacing w:after="0"/>
              <w:rPr>
                <w:sz w:val="20"/>
                <w:szCs w:val="20"/>
                <w:color w:val="auto"/>
              </w:rPr>
            </w:pPr>
            <w:r>
              <w:rPr>
                <w:rFonts w:ascii="Arial" w:cs="Arial" w:eastAsia="Arial" w:hAnsi="Arial"/>
                <w:sz w:val="18"/>
                <w:szCs w:val="18"/>
                <w:color w:val="auto"/>
                <w:w w:val="96"/>
              </w:rPr>
              <w:t>The following table summarizes the effects of changes in ownership in BellRing LLC on BellRing Inc.’s equity.</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4"/>
          </w:tcPr>
          <w:p>
            <w:pPr>
              <w:jc w:val="right"/>
              <w:ind w:right="35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9"/>
        </w:trPr>
        <w:tc>
          <w:tcPr>
            <w:tcW w:w="87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9"/>
        </w:trPr>
        <w:tc>
          <w:tcPr>
            <w:tcW w:w="8760" w:type="dxa"/>
            <w:vAlign w:val="bottom"/>
          </w:tcPr>
          <w:p>
            <w:pPr>
              <w:ind w:left="40"/>
              <w:spacing w:after="0"/>
              <w:rPr>
                <w:sz w:val="20"/>
                <w:szCs w:val="20"/>
                <w:color w:val="auto"/>
              </w:rPr>
            </w:pPr>
            <w:r>
              <w:rPr>
                <w:rFonts w:ascii="Arial" w:cs="Arial" w:eastAsia="Arial" w:hAnsi="Arial"/>
                <w:sz w:val="18"/>
                <w:szCs w:val="18"/>
                <w:color w:val="auto"/>
              </w:rPr>
              <w:t>Transfers to NCI:</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Redemption value adjustment to NCI</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23"/>
        </w:trPr>
        <w:tc>
          <w:tcPr>
            <w:tcW w:w="8760" w:type="dxa"/>
            <w:vAlign w:val="bottom"/>
          </w:tcPr>
          <w:p>
            <w:pPr>
              <w:ind w:left="40"/>
              <w:spacing w:after="0"/>
              <w:rPr>
                <w:sz w:val="20"/>
                <w:szCs w:val="20"/>
                <w:color w:val="auto"/>
              </w:rPr>
            </w:pPr>
            <w:r>
              <w:rPr>
                <w:rFonts w:ascii="Arial" w:cs="Arial" w:eastAsia="Arial" w:hAnsi="Arial"/>
                <w:sz w:val="18"/>
                <w:szCs w:val="18"/>
                <w:color w:val="auto"/>
              </w:rPr>
              <w:t>Changes from net earnings available to Class A Common Stockholders and transfers to NCI</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1"/>
        </w:trPr>
        <w:tc>
          <w:tcPr>
            <w:tcW w:w="8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 holds an economic interest in BellRing LLC (see Note 1) which, as a result of the IPO and formation transactions, is treated as a partnership for U.S. federal income tax purposes. As a partnership, BellRing LLC itself is generally not subject to U.S. federal income tax under current U.S. tax laws.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effective income tax rate was 6.9% for the three months ended December 31, 2021, and 6.0% for the three months ended December 31, 2020.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EARNINGS PER SHARE</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Basic earnings per share is based on the average number of shares of Class A Common Stock outstanding during each period. Diluted earnings per share is based on the average number of shares of Class A Common Stock used for the basic earnings per share calculation, adjusted for the dilutive effect of stock options and restricted stock units using the “treasury stock” method. In addition, “Net earnings available to Class A Common Stockholders for diluted earnings per share” in the table below has been adjusted for diluted net earnings per share attributable to NCI, to the extent it is dilutive.</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BellRing Inc.’s Class B Common Stock does not have economic rights, including rights to dividends or distributions upon liquidation, and is therefore not a participating security. As such, separate presentation of basic and diluted earnings per share of Class B Common Stock under the two-class method has not been presented.</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4" w:lineRule="exact"/>
        <w:rPr>
          <w:sz w:val="20"/>
          <w:szCs w:val="20"/>
          <w:color w:val="auto"/>
        </w:rPr>
      </w:pPr>
    </w:p>
    <w:p>
      <w:pPr>
        <w:jc w:val="center"/>
        <w:ind w:left="8800"/>
        <w:spacing w:after="0"/>
        <w:rPr>
          <w:sz w:val="20"/>
          <w:szCs w:val="20"/>
          <w:color w:val="auto"/>
        </w:rPr>
      </w:pPr>
      <w:r>
        <w:rPr>
          <w:rFonts w:ascii="Arial" w:cs="Arial" w:eastAsia="Arial" w:hAnsi="Arial"/>
          <w:sz w:val="16"/>
          <w:szCs w:val="16"/>
          <w:b w:val="1"/>
          <w:bCs w:val="1"/>
          <w:color w:val="auto"/>
        </w:rPr>
        <w:t>Three Months Ended</w:t>
      </w:r>
    </w:p>
    <w:p>
      <w:pPr>
        <w:jc w:val="center"/>
        <w:ind w:left="880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2020</w:t>
            </w:r>
          </w:p>
        </w:tc>
      </w:tr>
      <w:tr>
        <w:trPr>
          <w:trHeight w:val="226"/>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basic earnings per share</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impact of net earnings attributable to NCI</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available to Class A Common Stockholders for diluted earnings per share</w:t>
            </w:r>
          </w:p>
        </w:tc>
        <w:tc>
          <w:tcPr>
            <w:tcW w:w="70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88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for basic earnings per share</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dilutive restricted stock units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shares for diluted earnings per share</w:t>
            </w:r>
          </w:p>
        </w:tc>
        <w:tc>
          <w:tcPr>
            <w:tcW w:w="7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39.6</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54"/>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of Class A Common Stock</w:t>
            </w:r>
          </w:p>
        </w:tc>
        <w:tc>
          <w:tcPr>
            <w:tcW w:w="70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0.21</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860" w:type="dxa"/>
            <w:vAlign w:val="bottom"/>
          </w:tcPr>
          <w:p>
            <w:pPr>
              <w:ind w:left="20"/>
              <w:spacing w:after="0" w:line="203" w:lineRule="exact"/>
              <w:rPr>
                <w:sz w:val="20"/>
                <w:szCs w:val="20"/>
                <w:color w:val="auto"/>
              </w:rPr>
            </w:pPr>
            <w:r>
              <w:rPr>
                <w:rFonts w:ascii="Arial" w:cs="Arial" w:eastAsia="Arial" w:hAnsi="Arial"/>
                <w:sz w:val="18"/>
                <w:szCs w:val="18"/>
                <w:color w:val="auto"/>
              </w:rPr>
              <w:t>Diluted earnings per share of Class A Common Stock</w:t>
            </w:r>
          </w:p>
        </w:tc>
        <w:tc>
          <w:tcPr>
            <w:tcW w:w="700" w:type="dxa"/>
            <w:vAlign w:val="bottom"/>
            <w:tcBorders>
              <w:bottom w:val="single" w:sz="8" w:color="auto"/>
            </w:tcBorders>
          </w:tcPr>
          <w:p>
            <w:pPr>
              <w:jc w:val="right"/>
              <w:ind w:right="512"/>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5"/>
              </w:rPr>
              <w:t>0.21</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0.20</w:t>
            </w:r>
          </w:p>
        </w:tc>
      </w:tr>
      <w:tr>
        <w:trPr>
          <w:trHeight w:val="20"/>
        </w:trPr>
        <w:tc>
          <w:tcPr>
            <w:tcW w:w="8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Weighted-average shares for diluted earnings per share excluded equity awards of zero and 0.3 for the three months ended December 31, 2021 and 2020, respectively, as they were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INVENTORIES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8240" w:type="dxa"/>
            <w:vAlign w:val="bottom"/>
          </w:tcPr>
          <w:p>
            <w:pPr>
              <w:ind w:left="160"/>
              <w:spacing w:after="0"/>
              <w:rPr>
                <w:sz w:val="20"/>
                <w:szCs w:val="20"/>
                <w:color w:val="auto"/>
              </w:rPr>
            </w:pPr>
            <w:r>
              <w:rPr>
                <w:rFonts w:ascii="Arial" w:cs="Arial" w:eastAsia="Arial" w:hAnsi="Arial"/>
                <w:sz w:val="18"/>
                <w:szCs w:val="18"/>
                <w:b w:val="1"/>
                <w:bCs w:val="1"/>
                <w:color w:val="auto"/>
              </w:rPr>
              <w:t>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NOTE 9 — PROPERTY, NET</w:t>
            </w: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82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December 31,</w:t>
            </w:r>
          </w:p>
        </w:tc>
        <w:tc>
          <w:tcPr>
            <w:tcW w:w="180" w:type="dxa"/>
            <w:vAlign w:val="bottom"/>
          </w:tcPr>
          <w:p>
            <w:pPr>
              <w:spacing w:after="0"/>
              <w:rPr>
                <w:sz w:val="16"/>
                <w:szCs w:val="16"/>
                <w:color w:val="auto"/>
              </w:rPr>
            </w:pPr>
          </w:p>
        </w:tc>
        <w:tc>
          <w:tcPr>
            <w:tcW w:w="1260" w:type="dxa"/>
            <w:vAlign w:val="bottom"/>
          </w:tcPr>
          <w:p>
            <w:pPr>
              <w:jc w:val="center"/>
              <w:ind w:right="93"/>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at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Property,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components of “Goodwill” on the Condensed Consolidated Balance Sheets at both December 31, 2021 and September 30, 2021 are presented in the following table.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losses</w:t>
            </w:r>
          </w:p>
        </w:tc>
        <w:tc>
          <w:tcPr>
            <w:tcW w:w="2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48"/>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b w:val="1"/>
                <w:bCs w:val="1"/>
                <w:color w:val="auto"/>
              </w:rPr>
              <w:t>NOTE 11 — INTANGIBLE ASSETS, NET</w:t>
            </w: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404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40" w:type="dxa"/>
            <w:vAlign w:val="bottom"/>
            <w:gridSpan w:val="4"/>
          </w:tcPr>
          <w:p>
            <w:pPr>
              <w:ind w:left="340"/>
              <w:spacing w:after="0"/>
              <w:rPr>
                <w:sz w:val="20"/>
                <w:szCs w:val="20"/>
                <w:color w:val="auto"/>
              </w:rPr>
            </w:pPr>
            <w:r>
              <w:rPr>
                <w:rFonts w:ascii="Arial" w:cs="Arial" w:eastAsia="Arial" w:hAnsi="Arial"/>
                <w:sz w:val="18"/>
                <w:szCs w:val="18"/>
                <w:color w:val="auto"/>
              </w:rPr>
              <w:t>Total intangible assets are as follows: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6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8"/>
              </w:rPr>
              <w:t>December 31, 2021</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w w:val="90"/>
              </w:rPr>
              <w:t>September 30, 2021</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7"/>
              </w:rPr>
              <w:t>Carrying</w:t>
            </w:r>
          </w:p>
        </w:tc>
        <w:tc>
          <w:tcPr>
            <w:tcW w:w="16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3"/>
                <w:szCs w:val="13"/>
                <w:color w:val="auto"/>
              </w:rPr>
            </w:pPr>
          </w:p>
        </w:tc>
        <w:tc>
          <w:tcPr>
            <w:tcW w:w="1060" w:type="dxa"/>
            <w:vAlign w:val="bottom"/>
          </w:tcPr>
          <w:p>
            <w:pPr>
              <w:jc w:val="center"/>
              <w:ind w:right="133"/>
              <w:spacing w:after="0" w:line="158" w:lineRule="exact"/>
              <w:rPr>
                <w:sz w:val="20"/>
                <w:szCs w:val="20"/>
                <w:color w:val="auto"/>
              </w:rPr>
            </w:pPr>
            <w:r>
              <w:rPr>
                <w:rFonts w:ascii="Arial" w:cs="Arial" w:eastAsia="Arial" w:hAnsi="Arial"/>
                <w:sz w:val="16"/>
                <w:szCs w:val="16"/>
                <w:b w:val="1"/>
                <w:bCs w:val="1"/>
                <w:color w:val="auto"/>
                <w:w w:val="92"/>
              </w:rPr>
              <w:t>Net</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right"/>
              <w:ind w:right="253"/>
              <w:spacing w:after="0" w:line="158"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452"/>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2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100" w:type="dxa"/>
            <w:vAlign w:val="bottom"/>
          </w:tcPr>
          <w:p>
            <w:pPr>
              <w:jc w:val="right"/>
              <w:ind w:right="293"/>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Amortization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Trademarks and brands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2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DERIVATIVE FINANCIAL INSTRUMENTS</w:t>
      </w:r>
    </w:p>
    <w:p>
      <w:pPr>
        <w:spacing w:after="0" w:line="1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ordinary course of business, the Company is exposed to commodity price risks relating to the acquisition of raw materials and supplies, interest rate risks relating to floating rate debt and foreign currency exchange rate risks. The Company utilizes swaps to manage certain of these exposures by hedging when it is practical to do so. The Company does not hold or issue financial instruments for speculative or trading purposes.</w:t>
      </w:r>
    </w:p>
    <w:p>
      <w:pPr>
        <w:spacing w:after="0" w:line="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both December 31, 2021 and September 30, 2021, the Company had pay-fixed, receive-variable interest rate swaps with a notional amount of $350.0. The interest rate swaps mature in December 2022 and require monthly settlements, which began on January 31, 2020, and are used to hedge forecasted interest payments on the Company’s variable rate debt (see Note 14). On April 1, 2020, the Company changed the designation of the interest rate swaps from cash flow hedges to non-designated hedging instruments as the swaps were no longer effective (as defined by GAAP). In connection with the new designation, the Company started reclassifying losses previously recorded in accumulated OCI to “Interest expense, net” in the Condensed Consolidated Statements of Operations on a straight-line basis over the term of the related debt.</w:t>
      </w:r>
    </w:p>
    <w:p>
      <w:pPr>
        <w:spacing w:after="0" w:line="7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At December 31, 2021, accumulated OCI, including amounts reported as NCI, included a $6.6 net hedging loss before taxes ($6.2 after taxes). At September 30, 2021, accumulated OCI, including amounts reported as NCI, included a $7.1 net hedging loss before taxes ($6.7 after taxes). Approximately $2.3 of the net hedging loss reported in accumulated OCI at December 31, 2021 is expected to be reclassified into earnings within the next 12 months.</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balance sheet location and fair value of the Company’s derivative instruments on a gross basis. The Company does not offset derivative assets and liabilities within the Condensed Consolidated Balance Sheets.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4"/>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2021</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82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components of the Company’s net hedging loss on interest rate swaps which were included in “Interest expense, net” in the Condensed Consolidated Statements of Operations and the net cash settlements paid on interest rate swaps.</w:t>
      </w:r>
    </w:p>
    <w:p>
      <w:pPr>
        <w:spacing w:after="0" w:line="99" w:lineRule="exact"/>
        <w:rPr>
          <w:sz w:val="20"/>
          <w:szCs w:val="20"/>
          <w:color w:val="auto"/>
        </w:rPr>
      </w:pPr>
    </w:p>
    <w:p>
      <w:pPr>
        <w:jc w:val="center"/>
        <w:ind w:left="8880"/>
        <w:spacing w:after="0"/>
        <w:rPr>
          <w:sz w:val="20"/>
          <w:szCs w:val="20"/>
          <w:color w:val="auto"/>
        </w:rPr>
      </w:pPr>
      <w:r>
        <w:rPr>
          <w:rFonts w:ascii="Arial" w:cs="Arial" w:eastAsia="Arial" w:hAnsi="Arial"/>
          <w:sz w:val="16"/>
          <w:szCs w:val="16"/>
          <w:b w:val="1"/>
          <w:bCs w:val="1"/>
          <w:color w:val="auto"/>
        </w:rPr>
        <w:t>Three Months Ended</w:t>
      </w:r>
    </w:p>
    <w:p>
      <w:pPr>
        <w:jc w:val="center"/>
        <w:ind w:left="8880"/>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9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adjustments</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amortized from accumulated OCI</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8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net hedging (gain) loss</w:t>
            </w:r>
          </w:p>
        </w:tc>
        <w:tc>
          <w:tcPr>
            <w:tcW w:w="72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settlements paid</w:t>
            </w:r>
          </w:p>
        </w:tc>
        <w:tc>
          <w:tcPr>
            <w:tcW w:w="7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FAIR VALUE MEASUREMENTS</w:t>
      </w:r>
    </w:p>
    <w:p>
      <w:pPr>
        <w:spacing w:after="0" w:line="12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following table represents the Company’s liabilities and NCI measured at fair value on a recurring basis and the basis for that measurement according to the levels in the fair value hierarchy in Accounting Standards Codification (“ASC”) Topic 820, “Fair Value Measurement.”</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December 31, 2021</w:t>
            </w:r>
          </w:p>
        </w:tc>
        <w:tc>
          <w:tcPr>
            <w:tcW w:w="10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5"/>
              </w:rPr>
              <w:t>September 30, 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33"/>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spacing w:after="0"/>
              <w:rPr>
                <w:sz w:val="18"/>
                <w:szCs w:val="18"/>
                <w:color w:val="auto"/>
              </w:rPr>
            </w:pPr>
          </w:p>
        </w:tc>
        <w:tc>
          <w:tcPr>
            <w:tcW w:w="1120" w:type="dxa"/>
            <w:vAlign w:val="bottom"/>
          </w:tcPr>
          <w:p>
            <w:pPr>
              <w:jc w:val="right"/>
              <w:ind w:right="393"/>
              <w:spacing w:after="0"/>
              <w:rPr>
                <w:sz w:val="20"/>
                <w:szCs w:val="20"/>
                <w:color w:val="auto"/>
              </w:rPr>
            </w:pPr>
            <w:r>
              <w:rPr>
                <w:rFonts w:ascii="Arial" w:cs="Arial" w:eastAsia="Arial" w:hAnsi="Arial"/>
                <w:sz w:val="16"/>
                <w:szCs w:val="16"/>
                <w:b w:val="1"/>
                <w:bCs w:val="1"/>
                <w:color w:val="auto"/>
              </w:rPr>
              <w:t>Level 1</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3"/>
              <w:spacing w:after="0"/>
              <w:rPr>
                <w:sz w:val="20"/>
                <w:szCs w:val="20"/>
                <w:color w:val="auto"/>
              </w:rPr>
            </w:pPr>
            <w:r>
              <w:rPr>
                <w:rFonts w:ascii="Arial" w:cs="Arial" w:eastAsia="Arial" w:hAnsi="Arial"/>
                <w:sz w:val="16"/>
                <w:szCs w:val="16"/>
                <w:b w:val="1"/>
                <w:bCs w:val="1"/>
                <w:color w:val="auto"/>
              </w:rPr>
              <w:t>Total</w:t>
            </w:r>
          </w:p>
        </w:tc>
        <w:tc>
          <w:tcPr>
            <w:tcW w:w="360" w:type="dxa"/>
            <w:vAlign w:val="bottom"/>
          </w:tcPr>
          <w:p>
            <w:pPr>
              <w:spacing w:after="0"/>
              <w:rPr>
                <w:sz w:val="18"/>
                <w:szCs w:val="18"/>
                <w:color w:val="auto"/>
              </w:rPr>
            </w:pPr>
          </w:p>
        </w:tc>
        <w:tc>
          <w:tcPr>
            <w:tcW w:w="1140" w:type="dxa"/>
            <w:vAlign w:val="bottom"/>
          </w:tcPr>
          <w:p>
            <w:pPr>
              <w:jc w:val="right"/>
              <w:ind w:right="393"/>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060" w:type="dxa"/>
            <w:vAlign w:val="bottom"/>
          </w:tcPr>
          <w:p>
            <w:pPr>
              <w:jc w:val="right"/>
              <w:ind w:right="313"/>
              <w:spacing w:after="0"/>
              <w:rPr>
                <w:sz w:val="20"/>
                <w:szCs w:val="20"/>
                <w:color w:val="auto"/>
              </w:rPr>
            </w:pPr>
            <w:r>
              <w:rPr>
                <w:rFonts w:ascii="Arial" w:cs="Arial" w:eastAsia="Arial" w:hAnsi="Arial"/>
                <w:sz w:val="16"/>
                <w:szCs w:val="16"/>
                <w:b w:val="1"/>
                <w:bCs w:val="1"/>
                <w:color w:val="auto"/>
              </w:rPr>
              <w:t>Level 2</w:t>
            </w:r>
          </w:p>
        </w:tc>
      </w:tr>
      <w:tr>
        <w:trPr>
          <w:trHeight w:val="232"/>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2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NCI</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2,780.9</w:t>
            </w:r>
          </w:p>
        </w:tc>
        <w:tc>
          <w:tcPr>
            <w:tcW w:w="3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2,780.9</w:t>
            </w:r>
          </w:p>
        </w:tc>
        <w:tc>
          <w:tcPr>
            <w:tcW w:w="1020" w:type="dxa"/>
            <w:vAlign w:val="bottom"/>
            <w:shd w:val="clear" w:color="auto" w:fill="CCEEFF"/>
          </w:tcPr>
          <w:p>
            <w:pPr>
              <w:jc w:val="right"/>
              <w:ind w:right="75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2,997.3</w:t>
            </w:r>
          </w:p>
        </w:tc>
        <w:tc>
          <w:tcPr>
            <w:tcW w:w="3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2,997.3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calculation of the fair value of interest rate swaps is derived from a discounted cash flow analysis based on the terms of the contract and the interest rate curve on a recurring basis. The fair value of the NCI is calculated as its redemption value based on the Class A Common Stock price and number of BellRing LLC units owned by Post as of the end of each period (see Note 5).</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financial assets and liabilities include cash and cash equivalents, receivables and accounts payable for which the carrying value approximates fair value due to their short maturities (less than 12 months). The Company does not record its short-term and long-term debt at fair value on the Condensed Consolidated Balance Sheets. Based on current market rates, the fair value (Level 2) of the Term B Facility (as defined in Note 14) was $522.4 and $613.8 as of December 31, 2021 and September 30, 2021, respectively.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assets and liabilities, including property, plant and equipment, goodwill and other intangible assets, are measured at fair value on a non-recurring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“Long-term debt” on the Condensed 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260" w:type="dxa"/>
            <w:vAlign w:val="bottom"/>
          </w:tcPr>
          <w:p>
            <w:pPr>
              <w:jc w:val="right"/>
              <w:ind w:right="132"/>
              <w:spacing w:after="0"/>
              <w:rPr>
                <w:sz w:val="20"/>
                <w:szCs w:val="20"/>
                <w:color w:val="auto"/>
              </w:rPr>
            </w:pPr>
            <w:r>
              <w:rPr>
                <w:rFonts w:ascii="Arial" w:cs="Arial" w:eastAsia="Arial" w:hAnsi="Arial"/>
                <w:sz w:val="16"/>
                <w:szCs w:val="16"/>
                <w:b w:val="1"/>
                <w:bCs w:val="1"/>
                <w:color w:val="auto"/>
                <w:w w:val="93"/>
              </w:rPr>
              <w:t>September 30,</w:t>
            </w:r>
          </w:p>
        </w:tc>
      </w:tr>
      <w:tr>
        <w:trPr>
          <w:trHeight w:val="213"/>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2021</w:t>
            </w:r>
          </w:p>
        </w:tc>
      </w:tr>
      <w:tr>
        <w:trPr>
          <w:trHeight w:val="22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B 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principal amount of debt</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116.3</w:t>
            </w:r>
          </w:p>
        </w:tc>
      </w:tr>
      <w:tr>
        <w:trPr>
          <w:trHeight w:val="230"/>
        </w:trPr>
        <w:tc>
          <w:tcPr>
            <w:tcW w:w="82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Debt issuance costs, net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82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Unamortized discount</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r>
      <w:tr>
        <w:trPr>
          <w:trHeight w:val="248"/>
        </w:trPr>
        <w:tc>
          <w:tcPr>
            <w:tcW w:w="8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481.2</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BellRing LLC entered into a credit agreement (as subsequently amended, the “Credit Agreement”) which provides for a term B loan facility in an aggregate original principal amount of $700.0 (the “Term B Facility”) and a revolving credit facility in an aggregate principal amount of up to $200.0 (the “Revolving Credit Facility”), with the commitments under the Revolving Credit Facility to be made available to BellRing LLC in U.S. Dollars, Euros and Pounds Sterling. Letters of credit are available under the Credit Agreement in an aggregate amount of up to $20.0. Any outstanding amounts under the Revolving Credit Facility and Term B Facility must be repaid on or before October 21, 2024.</w:t>
      </w:r>
    </w:p>
    <w:p>
      <w:pPr>
        <w:spacing w:after="0" w:line="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February 26, 2021, BellRing LLC entered into a second amendment to the Credit Agreement.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LIBOR as a reference interest rate and (iv) provided that if on or before August 26, 2021 BellRing LLC repaid the Term B Facility in whole or in part with the proceeds of new or replacement debt at a lower effective interest rate, or further amended the Credit Agreement to reduce the effective interest rate applicable to the Term B Facility, BellRing LLC would have paid a 1.00% premium on the amount repaid or subject to the interest rate reduction. BellRing LLC did not repay the Term B Facility or further amend the Credit Agreement on or before August 26, 2021.</w:t>
      </w:r>
    </w:p>
    <w:p>
      <w:pPr>
        <w:spacing w:after="0" w:line="5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Prior to the Amendment, borrowings under the Term B Facility bore interest, at the option of BellRing LLC, at an annual rate equal to either (a) the Eurodollar rate (with a floor of 1.00%) or (b) the base rate determined by reference to the greatest of (i) the prime rate, (ii) the federal funds effective rate plus 0.50% per annum and (iii) the one-month Eurodollar rate plus 1.00% per annum, in each case plus an applicable margin of 5.00% for Eurodollar rate-based loans and 4.00% for base rate-based loans. Subsequent to the Amendment, borrowings under the Term B Facility bear interest, at the option of BellRing LLC, at an annual rate equal to either (a) the Eurodollar rate or (b) the base rate determined by reference to the greatest of (i) the prime rate,</w:t>
      </w:r>
    </w:p>
    <w:p>
      <w:pPr>
        <w:spacing w:after="0" w:line="2" w:lineRule="exact"/>
        <w:rPr>
          <w:sz w:val="20"/>
          <w:szCs w:val="20"/>
          <w:color w:val="auto"/>
        </w:rPr>
      </w:pPr>
    </w:p>
    <w:p>
      <w:pPr>
        <w:ind w:firstLine="8"/>
        <w:spacing w:after="0" w:line="260" w:lineRule="auto"/>
        <w:tabs>
          <w:tab w:leader="none" w:pos="27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federal funds effective rate plus 0.50% per annum and (iii) the one-month Eurodollar rate plus 1.00% per annum, in each case plus an applicable margin of 4.00% for Eurodollar rate-based loans and 3.00% for base rate-based loans.</w:t>
      </w:r>
    </w:p>
    <w:p>
      <w:pPr>
        <w:spacing w:after="0" w:line="7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Term B Facility requires quarterly scheduled amortization payments of $8.75 which began on March 31, 2020, with the balance to be paid at maturity on October 21, 2024. Interest was paid on each Interest Payment Date (as defined in the Credit Agreement) during each of the three months ended December 31, 2021 and 2020. The Term B Facility contains customary mandatory prepayment provisions, including provisions for mandatory prepayment</w:t>
      </w:r>
    </w:p>
    <w:p>
      <w:pPr>
        <w:spacing w:after="0" w:line="2" w:lineRule="exact"/>
        <w:rPr>
          <w:sz w:val="20"/>
          <w:szCs w:val="20"/>
          <w:color w:val="auto"/>
        </w:rPr>
      </w:pPr>
    </w:p>
    <w:p>
      <w:pPr>
        <w:jc w:val="both"/>
        <w:ind w:firstLine="8"/>
        <w:spacing w:after="0" w:line="271" w:lineRule="auto"/>
        <w:tabs>
          <w:tab w:leader="none" w:pos="275" w:val="left"/>
        </w:tabs>
        <w:numPr>
          <w:ilvl w:val="0"/>
          <w:numId w:val="4"/>
        </w:numPr>
        <w:rPr>
          <w:rFonts w:ascii="Arial" w:cs="Arial" w:eastAsia="Arial" w:hAnsi="Arial"/>
          <w:sz w:val="17"/>
          <w:szCs w:val="17"/>
          <w:color w:val="auto"/>
        </w:rPr>
      </w:pPr>
      <w:r>
        <w:rPr>
          <w:rFonts w:ascii="Arial" w:cs="Arial" w:eastAsia="Arial" w:hAnsi="Arial"/>
          <w:sz w:val="17"/>
          <w:szCs w:val="17"/>
          <w:color w:val="auto"/>
        </w:rPr>
        <w:t>from the net cash proceeds of certain asset sales and (b) of 75% of consolidated excess cash flow (as defined in the Credit Agreement) (which percentage will be reduced to 50% if the secured net leverage ratio (as defined in the Credit Agreement) is less than or equal to 3.35:1.00 as of a fiscal year end). During the three months ended December 31, 2021, the Company repaid $81.4 on its Term B Facility as a mandatory prepayment from fiscal 2021 excess cash flow, which was in addition to the scheduled amortization payments. The Company may prepay the Term B Facility at its option without penalty or premium. The interest rate on the Term B Facility was 4.75% as of both December 31, 2021 and September 30, 2021.</w:t>
      </w:r>
    </w:p>
    <w:p>
      <w:pPr>
        <w:spacing w:after="0" w:line="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Borrowings under the Revolving Credit Facility bear interest, at the option of BellRing LLC, at an annual rate equal to either the Eurodollar rate or the base rate (determined as described above) plus a margin, which is determined by reference to the secured net leverage ratio, with the applicable margin for Eurodollar rate-based loans and base rate-based loans being (i) 4.25% and 3.25%, respectively, if the secured net leverage ratio is greater than or equal to 3.50:1.00, (ii) 4.00% and 3.00%, respectively, if the secured net leverage ratio is less than 3.50:1.00 and greater than or equal to 2.50:1.00 or (iii) 3.75% and 2.75%, respectively, if the secured net leverage ratio is less than 2.50:1.00. Facility fees on the daily unused amount of commitments under the Revolving Credit Facility accrue at rates ranging from 0.25% to 0.50% per annum depending on BellRing LLC’s secured net leverage ratio. There were no amounts drawn under the Revolving Credit Facility as of December 31, 2021 and September 30, 2021.</w:t>
      </w:r>
    </w:p>
    <w:p>
      <w:pPr>
        <w:spacing w:after="0" w:line="6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three months ended December 31, 2021 and 2020, BellRing LLC borrowed zero and $20.0 under the Revolving Credit Facility, respectively. There were no amounts repaid on the Revolving Credit Facility during each of the three months ended December 31, 2021 and 2020. The available borrowing capacity under the Revolving Credit Facility was $200.0 as of both December 31, 2021 and September 30, 2021. There were no outstanding letters of credit as of December 31, 2021 or September 30, 2021.</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of the Credit Agreement, BellRing LLC is required to comply with a financial covenant requiring it to maintain a total net leverage ratio (as defined in the Credit Agreement) not to exceed 6.00 to 1.00, measured as of the last day of each fiscal quarter. The total net leverage ratio of BellRing LLC did not exceed this threshold as of December 31, 2021.</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provides for potential incremental revolving and term facilities at BellRing LLC’s request and at the discretion of the lenders or other persons providing such incremental facilities, in each case on terms to be determined, and also permits BellRing LLC to incur other secured or unsecured debt, in all cases subject to conditions and limitations on the amount as specified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Credit Agreement provides for customary events of default, including material breach of representations and warranties, failure to make required payments, failure to comply with certain agreements or covenants, failure to pay or default under certain other material indebtedness, certain events of bankruptcy and insolvency, inability to pay debts, the occurrence of one or more unstayed or undischarged judgments in excess of $65.0, certain events under the Employee Retirement Income Security Act of 1974, the invalidity of any loan document, a change in control, and the failure of the collateral documents to create a valid and perfected first priority lien. Upon the occurrence and during the continuance of an event of default, the maturity of the loans under the Credit Agreement may accelerate and the agent and lenders under the Credit Agreement may exercise other rights and remedies available at law or under the loan documents, including with respect to the collateral and guarantees of BellRing LLC’s obligations under the Credit Agreement.</w:t>
      </w:r>
    </w:p>
    <w:p>
      <w:pPr>
        <w:spacing w:after="0" w:line="5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BellRing LLC’s obligations under the Credit Agreement are unconditionally guaranteed by its existing and subsequently acquired or organized direct and indirect domestic subsidiaries (other than immaterial domestic subsidiaries, certain excluded subsidiaries and subsidiaries BellRing LLC designates as unrestricted subsidiaries) and are secured by security interests in substantially all of BellRing LLC’s assets and the assets of its subsidiary guarantors, but excluding, in each case, real property (subject to limited exceptions).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Juice Litigation</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March 2013, a complaint was filed on behalf of a putative, nationwide class of consumers against Premier Nutrition in the U.S. District Court for the Northern District of California seeking monetary damages and injunctive relief. The case asserted that some of Premier Nutrition’s advertising claims regarding its </w:t>
      </w:r>
      <w:r>
        <w:rPr>
          <w:rFonts w:ascii="Arial" w:cs="Arial" w:eastAsia="Arial" w:hAnsi="Arial"/>
          <w:sz w:val="17"/>
          <w:szCs w:val="17"/>
          <w:i w:val="1"/>
          <w:iCs w:val="1"/>
          <w:color w:val="auto"/>
        </w:rPr>
        <w:t>Joint Juice</w:t>
      </w:r>
      <w:r>
        <w:rPr>
          <w:rFonts w:ascii="Arial" w:cs="Arial" w:eastAsia="Arial" w:hAnsi="Arial"/>
          <w:sz w:val="17"/>
          <w:szCs w:val="17"/>
          <w:color w:val="auto"/>
        </w:rPr>
        <w:t xml:space="preserve"> line of glucosamine and chondroitin dietary supplements were false and misleading. In April 2016, the district court certified a California-only class of consumers in this lawsuit (this lawsuit is hereinafter referred to as the “California Federal Class Lawsuit”).</w:t>
      </w:r>
    </w:p>
    <w:p>
      <w:pPr>
        <w:spacing w:after="0" w:line="6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2016 and 2017, the lead plaintiff’s counsel in the California Federal Class Lawsuit filed ten additional class action complaints in the U.S. District Court for the Northern District of California on behalf of putative classes of consumers under the laws of Connecticut, Florida, Illinois, New Jersey, New Mexico, New York, Maryland, Massachusetts, Michigan and Pennsylvania. These additional complaints contain factual allegations similar to the California Federal Class Lawsuit, also seeking monetary damages and injunctive relief. The New Jersey case was voluntarily dismissed. Trial is scheduled to commence in the New York case on May 23, 2022.</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April 2018, the district court dismissed the California Federal Class Lawsuit with prejudice. This dismissal was upheld on appeal by the U.S. Court of Appeals for the Ninth Circuit and Plaintiff’s petition for an en banc rehearing by the Ninth Circuit was denied. The other complaints remain pending in the U.S. District Court for the Northern District of California, and the court has certified individual state classes in each of those cases.</w:t>
      </w:r>
    </w:p>
    <w:p>
      <w:pPr>
        <w:spacing w:after="0" w:line="5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January 2019, the same lead counsel filed an additional class action complaint against Premier Nutrition in California Superior Court for the County of Alameda, alleging claims similar to the above actions and seeking monetary damages and injunctive relief on behalf of a putative class of California consumers, beginning after the California Federal Class Lawsuit class period.</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September 2020, the same lead counsel filed another class action complaint against Premier Nutrition in California Superior Court for the County of Alameda, alleging identical claims and seeking restitution and injunctive relief on behalf of the same putative class of California consumers as the California Federal Class Lawsuit.</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continues to vigorously defend these cases. The Company does not believe that the resolution of these cases will have a material adverse effect on its financial condition, results of operations or cash flows.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Other than legal fees, no expense related to this litigation was incurred during the three months ended December 31, 2021 or 2020. At both December 31, 2021 and September 30, 2021, the Company had accrued $8.5 related to this matter that was included in “Other current liabilities” on the Condensed Consolidated Balance Sheets.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is subject to various other legal proceedings and actions arising in the normal course of business. In the opinion of management, based upon the information presently known, the ultimate liability, if any, arising from such pending legal proceedings, as well as from asserted legal claims and known potential legal claims which are likely to be asserted, taking into account established accruals for estimated liabilities (if any), are not expected to be material individually or in the aggregate to the consolidated financial condition, results of operations or cash flows of the Company. In addition, although it is difficult to estimate the potential financial impact of actions regarding expenditures for compliance with regulatory matters, in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opinion of management, based upon the information currently available, the ultimate liability arising from such compliance matters is not expected to be material to the consolidated financial condition, results of operations or cash flows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STOCKHOLDERS’ DEFICIT</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summarizes BellRing Inc.’s repurchases of its Class A Common Stock during the three months ended December 31, 2021. There were no repurchases of BellRing Inc.’s Class A Common Stock during the three months ended December 31, 2020.</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38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Average price per share</w:t>
            </w:r>
          </w:p>
        </w:tc>
        <w:tc>
          <w:tcPr>
            <w:tcW w:w="38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23.36</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cost including broker’s commissions</w:t>
            </w:r>
          </w:p>
        </w:tc>
        <w:tc>
          <w:tcPr>
            <w:tcW w:w="38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r>
        <w:rPr>
          <w:rFonts w:ascii="Arial" w:cs="Arial" w:eastAsia="Arial" w:hAnsi="Arial"/>
          <w:sz w:val="21"/>
          <w:szCs w:val="21"/>
          <w:color w:val="auto"/>
        </w:rPr>
        <w:t>.</w:t>
      </w:r>
    </w:p>
    <w:p>
      <w:pPr>
        <w:spacing w:after="0" w:line="11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following discussion summarizes the significant factors affecting the consolidated operating results, financial condition, liquidity and capital resources of BellRing Brands, Inc. and its consolidated subsidiaries. This discussion should be read in conjunction with our unaudited condensed consolidated financial statements and notes thereto included herein, our audited consolidated financial statements and notes thereto in our Annual Report on Form 10-K for the fiscal year ended September 30, 2021, and the “Cautionary Statement on Forward-Looking Statements” section included below. The terms “our,” “we,” “us,” “Company” and “BellRing” as used herein refer to BellRing Brands, Inc. and its consolidated subsidiaries.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We are a consumer products holding company operating in the global convenient nutrition category and a provider of ready-to-drink (“RTD”) protein shakes, other RTD beverages, powders and nutrition bars. We have a single operating and reportable segment, with our principal products being protein-based consumer goods. Our primary brands are </w:t>
      </w:r>
      <w:r>
        <w:rPr>
          <w:rFonts w:ascii="Arial" w:cs="Arial" w:eastAsia="Arial" w:hAnsi="Arial"/>
          <w:sz w:val="18"/>
          <w:szCs w:val="18"/>
          <w:i w:val="1"/>
          <w:iCs w:val="1"/>
          <w:color w:val="auto"/>
        </w:rPr>
        <w:t>Premier Protein</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p>
    <w:p>
      <w:pPr>
        <w:spacing w:after="0" w:line="7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21, 2019, BellRing Brands, Inc. (“BellRing Inc.”) closed its initial public offering (the “IPO”) of 39.4 million shares of its Class A common stock, $0.01 par value per share (the “Class A Common Stock”) and contributed the net proceeds from the IPO to BellRing Brands, LLC, a Delaware limited liability company and BellRing Inc.’s subsidiary (“BellRing LLC”), in exchange for 39.4 million BellRing LLC non-voting membership units (the “BellRing LLC units”).</w:t>
      </w:r>
    </w:p>
    <w:p>
      <w:pPr>
        <w:spacing w:after="0" w:line="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result of the IPO and certain other transactions completed in connection with the IPO (the “formation transactions”), BellRing LLC became the holder of the active nutrition business of Post Holdings, Inc. (“Post”). BellRing Inc., as a holding company, has no material assets other than its ownership of BellRing LLC units and its indirect interests in the subsidiaries of BellRing LLC and has no independent means of generating revenue or cash flow. For additional information on the IPO, see Note 1 within “Notes to Condensed Consolidated Financial Statements.”</w:t>
      </w:r>
    </w:p>
    <w:p>
      <w:pPr>
        <w:spacing w:after="0" w:line="6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members of BellRing LLC are Post and BellRing Inc. BellRing Inc. holds the voting membership unit of BellRing LLC (which represents the power to appoint and remove the members of the Board of Managers of, and no economic interest in, BellRing LLC). BellRing Inc. has the right to appoint the members of the BellRing LLC Board of Managers, and therefore, controls BellRing LLC. The Board of Managers is responsible for the oversight of BellRing LLC’s operations and overall performance and strategy, while the management of the day-to-day operations of the business of BellRing LLC and the execution of business strategy are the responsibility of the officers and employees of BellRing LLC and its subsidiaries. Post, in its capacity as a member of BellRing LLC, does not have the power to appoint any members of the Board of Managers or voting rights with respect to BellRing LLC.</w:t>
      </w:r>
    </w:p>
    <w:p>
      <w:pPr>
        <w:spacing w:after="0" w:line="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October 2021, we, along with Post, announced the signing of a transaction agreement related to Post’s previously announced plan to distribute a significant portion of its interest in the Company to Post’s shareholders. We expect the distribution to be completed in the second quarter of fiscal 2022, subject to certain customary conditions. See Note 1 within “Notes to Condensed Consolidated Financial Statements” for additional information on the transaction agreement and the transactions contemplated thereby.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COVID-19 pandemic has caused and continues to cause global economic disruption and uncertainty, including in our business. We continue to closely monitor the impact of the COVID-19 pandemic and developments related thereto on our business and to remain focused on ensuring the health and safety of our employees, maintaining the continuity of our supply chain to serve customers and consumers and preserving financial liquidity to navigate the uncertainty caused by the COVID-19 pandemic. Our primary categories returned to growth rates in line with their pre-pandemic levels during the fourth quarter of fiscal 2020 and have remained strong in subsequent periods.</w:t>
      </w:r>
    </w:p>
    <w:p>
      <w:pPr>
        <w:spacing w:after="0" w:line="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the overall economy continues to recover from the impact of the COVID-19 pandemic, input and freight inflation and labor and input availability are pressuring our supply chain. Lower than anticipated production and delays in capacity expansion across the broader third party shake contract manufacturer network have resulted in low inventories and missed sales. Service levels and fill rates remain below normal levels, and certain products have been placed on allocation. These factors are expected to improve but persist throughout fiscal year 2022 and are dependent upon our contract manufacturer partners’ ability to deliver committed volumes, add capacity on expected timelines, retain manufacturing staff and rebuild inventory levels. Raw material, packaging and freight inflation has been widespread, rapid and significant, and has put downward pressure on profit margins. As a result, we have taken pricing actions on nearly all products. For additional discussion, refer to “Liquidity and Capital Resources” and “Cautionary Statement on Forward-Looking Statements” within this section, as well as “Risk Factors” in Item 1A of Part II of this report.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54" w:lineRule="exact"/>
        <w:rPr>
          <w:sz w:val="20"/>
          <w:szCs w:val="20"/>
          <w:color w:val="auto"/>
        </w:rPr>
      </w:pPr>
    </w:p>
    <w:p>
      <w:pPr>
        <w:ind w:left="7660"/>
        <w:spacing w:after="0"/>
        <w:rPr>
          <w:sz w:val="20"/>
          <w:szCs w:val="20"/>
          <w:color w:val="auto"/>
        </w:rPr>
      </w:pPr>
      <w:r>
        <w:rPr>
          <w:rFonts w:ascii="Arial" w:cs="Arial" w:eastAsia="Arial" w:hAnsi="Arial"/>
          <w:sz w:val="16"/>
          <w:szCs w:val="16"/>
          <w:b w:val="1"/>
          <w:bCs w:val="1"/>
          <w:color w:val="auto"/>
        </w:rPr>
        <w:t>Three Months Ended December 31,</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3"/>
          </w:tcPr>
          <w:p>
            <w:pPr>
              <w:jc w:val="right"/>
              <w:ind w:right="375"/>
              <w:spacing w:after="0"/>
              <w:rPr>
                <w:sz w:val="20"/>
                <w:szCs w:val="20"/>
                <w:color w:val="auto"/>
              </w:rPr>
            </w:pPr>
            <w:r>
              <w:rPr>
                <w:rFonts w:ascii="Arial" w:cs="Arial" w:eastAsia="Arial" w:hAnsi="Arial"/>
                <w:sz w:val="14"/>
                <w:szCs w:val="14"/>
                <w:b w:val="1"/>
                <w:bCs w:val="1"/>
                <w:color w:val="auto"/>
              </w:rPr>
              <w:t>favorable/(unfavorable)</w:t>
            </w:r>
          </w:p>
        </w:tc>
      </w:tr>
      <w:tr>
        <w:trPr>
          <w:trHeight w:val="215"/>
        </w:trPr>
        <w:tc>
          <w:tcPr>
            <w:tcW w:w="6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w w:val="94"/>
              </w:rPr>
              <w:t>$ Change</w:t>
            </w: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57"/>
        </w:trPr>
        <w:tc>
          <w:tcPr>
            <w:tcW w:w="6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65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6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Net earnings attributable to NCI</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Earnings Available to Class A Common Stockholders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Net sales increased $24.1 million, or 9%, during the three months ended December 31, 2021, compared to the prior year period. Sales of </w:t>
      </w:r>
      <w:r>
        <w:rPr>
          <w:rFonts w:ascii="Arial" w:cs="Arial" w:eastAsia="Arial" w:hAnsi="Arial"/>
          <w:sz w:val="17"/>
          <w:szCs w:val="17"/>
          <w:i w:val="1"/>
          <w:iCs w:val="1"/>
          <w:color w:val="auto"/>
        </w:rPr>
        <w:t>Premier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Protein </w:t>
      </w:r>
      <w:r>
        <w:rPr>
          <w:rFonts w:ascii="Arial" w:cs="Arial" w:eastAsia="Arial" w:hAnsi="Arial"/>
          <w:sz w:val="17"/>
          <w:szCs w:val="17"/>
          <w:color w:val="auto"/>
        </w:rPr>
        <w:t>products were up $10.8 million, or 5%, driven by higher average net selling prices. Average net selling prices increased in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December 31, 2021 due to decreased promotional spending and targeted price increases. These positive impacts were partially offset by volume decreases of 6%, which were primarily the result of supply constraints and reduced demand-driving activity. Sales of </w:t>
      </w:r>
      <w:r>
        <w:rPr>
          <w:rFonts w:ascii="Arial" w:cs="Arial" w:eastAsia="Arial" w:hAnsi="Arial"/>
          <w:sz w:val="17"/>
          <w:szCs w:val="17"/>
          <w:i w:val="1"/>
          <w:iCs w:val="1"/>
          <w:color w:val="auto"/>
        </w:rPr>
        <w:t>Dymatize</w:t>
      </w:r>
      <w:r>
        <w:rPr>
          <w:rFonts w:ascii="Arial" w:cs="Arial" w:eastAsia="Arial" w:hAnsi="Arial"/>
          <w:sz w:val="17"/>
          <w:szCs w:val="17"/>
          <w:color w:val="auto"/>
        </w:rPr>
        <w:t xml:space="preserve"> products were up $12.9 million, or 41%, with volume up 8%. Average net selling prices increased in the three months ended December 31, 2021 due to decreased promotional spending, favorable mix and targeted price increases. Sales of all other products were up $0.4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profit increased $2.8 million, or 6%, during the three months ended December 31, 2021, when compared to the prior year period. This increase was primarily driven by higher net sales, as previously discussed, and reduced advertising and promotional spend of $1.1 million. These positive impacts were partially offset by higher net product costs of $29.8 million due to unfavorable raw material and freight costs, higher employee-related costs, and costs related to the separation from Post of $2.0 million. Additionally, prior year operating profit was negatively impacted by restructuring and facility closure costs of $4.7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Interest expense, net decreased $4.4 million during the three months ended December 31, 2021 compared to the prior year period. This decrease was primarily due to lower aggregate principal amounts outstanding under BellRing LLC’s term loan B facility (the “Term B Facility”) and under BellRing LLC’s revolving credit facility (the “Revolving Credit Facility”) and net hedging gains (compared to losses in the prior year period) of $0.9 million recognized on interest rate swaps. In addition, the weighted-average interest rate on the aggregate principal amounts outstanding under the Term B Facility and under the Revolving Credit Facility decreased to 4.8% for the three months ended December 31, 2021 from 6.0% for the three months ended December 31, 2020, driven by lower aggregate principal amounts, as previously discussed, and the refinancing of the Term B Facility during the second quarter of fiscal 2021. See Note 14 and Note 12 within “Notes to Condensed Consolidated Financial Statements” for additional information on our debt and interest rate swaps,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effective income tax rate was 6.9% for the three months ended December 31, 2021, and 6.0% for the three months ended December 31, 2020. In accordance with Accounting Standards Codification (“ASC”) Topic 740, “Income Taxes,” we recorded income tax expense for interim periods using the estimated annual effective income tax rate for the full fiscal year adjusted for the impact of discrete items occurring during the interim periods.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expect to generate positive cash flows from operations and believe our cash on hand, cash flows from operations and possible future credit facilities will be sufficient to satisfy our future working capital requirements, research and development activities, debt repayments, including both scheduled amortization payments and any mandatory prepayments required from excess cash flow, and other financing requirements for the foreseeable future. Our asset-light business model requires modest capital expenditures, with annual capital expenditures over the last three fiscal years averaging less than 1% of net sales. No significant capital expenditures are planned for the remainder of fiscal 2022. Our ability to generate positive cash flows from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is dependent on general economic conditions, competitive pressures and other business risk factors. If we are unable to generate sufficient cash flows from operations, or otherwise to comply with the terms of BellRing LLC’s credit facilities, we may be required to seek additional financing alternatives. Additionally, we may continue to repurchase shares of our Class A Common Stock. Such repurchases, if any, will depend on prevailing market conditions, our liquidity requirements, contractual restrictions and other factors. The amounts involved may be material.</w:t>
      </w:r>
    </w:p>
    <w:p>
      <w:pPr>
        <w:spacing w:after="0" w:line="6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second quarter of fiscal 2021, BellRing LLC entered into a second amendment to its credit agreement (as amended, the “Credit Agreement,” and such amendment, the “Amendment”). The Amendment provided for the refinancing of the Term B Facility on substantially the same terms as in effect prior to the Amendment, except that it (i) reduced the interest rate margin by 100 basis points resulting in (A) for Eurodollar rate loans, an interest rate of the Eurodollar rate plus a margin of 4.00% and (B) for base rate loans, an interest rate of the base rate plus a margin of 3.00%, (ii) reduced the floor for the Eurodollar rate to 0.75%, (iii) modified the Credit Agreement to address the anticipated unavailability of the London Interbank Offered Rate as a reference interest rate and (iv) provided that if on or before August 26, 2021 BellRing LLC repaid the Term B Facility in whole or in part with the proceeds of new or replacement debt at a lower effective interest rate, or further amended the Credit Agreement to reduce the effective interest rate applicable to the Term B Facility, BellRing LLC would have paid a 1.00% premium on the amount repaid or subject to the interest rate reduction. BellRing LLC did not repay the Term B Facility or further amend the Credit Agreement on or before August 26, 2021.</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December 31, 2021, we repurchased 0.8 million shares of our Class A Common Stock at an average share price of $23.36 per share for a total cost of $18.1 million, including broker’s commissions.</w:t>
      </w:r>
    </w:p>
    <w:p>
      <w:pPr>
        <w:sectPr>
          <w:pgSz w:w="11900" w:h="16838" w:orient="portrait"/>
          <w:cols w:equalWidth="0" w:num="1">
            <w:col w:w="11240"/>
          </w:cols>
          <w:pgMar w:left="320" w:top="125" w:right="339" w:bottom="1440" w:gutter="0" w:footer="0" w:header="0"/>
        </w:sectPr>
      </w:pP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select cash flow data, which is discussed below.</w:t>
      </w: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7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Investing activities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6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(decrease) increase in cash and cash equivalents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Months Ended</w:t>
      </w:r>
    </w:p>
    <w:p>
      <w:pPr>
        <w:jc w:val="center"/>
        <w:spacing w:after="0"/>
        <w:rPr>
          <w:sz w:val="20"/>
          <w:szCs w:val="20"/>
          <w:color w:val="auto"/>
        </w:rPr>
      </w:pPr>
      <w:r>
        <w:rPr>
          <w:rFonts w:ascii="Arial" w:cs="Arial" w:eastAsia="Arial" w:hAnsi="Arial"/>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2020</w:t>
            </w:r>
          </w:p>
        </w:tc>
      </w:tr>
      <w:tr>
        <w:trPr>
          <w:trHeight w:val="44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240" w:type="dxa"/>
            <w:vAlign w:val="bottom"/>
          </w:tcPr>
          <w:p>
            <w:pPr>
              <w:spacing w:after="0"/>
              <w:rPr>
                <w:sz w:val="20"/>
                <w:szCs w:val="20"/>
                <w:color w:val="auto"/>
              </w:rPr>
            </w:pP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3"/>
        </w:trPr>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512" w:lineRule="exact"/>
        <w:rPr>
          <w:sz w:val="20"/>
          <w:szCs w:val="20"/>
          <w:color w:val="auto"/>
        </w:rPr>
      </w:pPr>
    </w:p>
    <w:p>
      <w:pPr>
        <w:sectPr>
          <w:pgSz w:w="11900" w:h="16838" w:orient="portrait"/>
          <w:cols w:equalWidth="0" w:num="2">
            <w:col w:w="8180" w:space="720"/>
            <w:col w:w="2340"/>
          </w:cols>
          <w:pgMar w:left="320" w:top="125" w:right="339" w:bottom="1440" w:gutter="0" w:footer="0" w:header="0"/>
          <w:type w:val="continuous"/>
        </w:sectPr>
      </w:pPr>
    </w:p>
    <w:p>
      <w:pPr>
        <w:jc w:val="both"/>
        <w:ind w:firstLine="324"/>
        <w:spacing w:after="0" w:line="257" w:lineRule="auto"/>
        <w:rPr>
          <w:sz w:val="20"/>
          <w:szCs w:val="20"/>
          <w:color w:val="auto"/>
        </w:rPr>
      </w:pPr>
      <w:r>
        <w:rPr>
          <w:rFonts w:ascii="Arial" w:cs="Arial" w:eastAsia="Arial" w:hAnsi="Arial"/>
          <w:sz w:val="18"/>
          <w:szCs w:val="18"/>
          <w:color w:val="auto"/>
        </w:rPr>
        <w:t>Cash used in operating activities for the three months ended December 31, 2021 was $9.1 million compared to cash provided by operating activities of $23.3 million for the three months ended December 31, 2020. The decrease was primarily driven by unfavorable working capital changes of $36.9 million, which were primarily due to fluctuations in the timing of purchases and payments of trade payables, the build up of powder inventory levels in the current period from supply-constrained levels at prior year end and fluctuations in the timing of sales and collections of trade receivables. These negative impacts were partially offset by increased net earnings of $6.4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used in investing activities for the three months ended December 31, 2021 increased $0.6 million compared to the corresponding period in the prior year resulting from an increase in capital expenditures.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2021</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used in financing activities for the three months ended December 31, 2021 was $112.5 million. BellRing LLC repaid $90.1 million on the principal balance of the Term B Facility and did not have any draws or repayments of the Revolving Credit Facility during the period. BellRing Inc. paid $18.1 million, including broker’s commissions, for the repurchase of shares of Class A Common Stock during the quarter. In addition, BellRing LLC had net cash transfers of $3.2 million to Post which included tax distributions to Post pursuant to BellRing LLC’s amended and restated limited liability company agreement and state tax withholdings payments on behalf of Post.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December 31, 2020</w:t>
      </w:r>
    </w:p>
    <w:p>
      <w:pPr>
        <w:spacing w:after="0" w:line="117"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Cash used in financing activities for the three months ended December 31, 2020 was $22.0 million. BellRing LLC drew an aggregate of $20.0 million under the Revolving Credit Facility and repaid $37.5 million on the principal balance of the Term B Facility during the period. In addition, BellRing LLC had net cash transfers of $3.6 million to Post, which included tax</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distributions to Post pursuant to BellRing LLC’s amended and restated limited liability company agreement and state tax withholdings payments on behalf of Post.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the terms of the Credit Agreement, BellRing LLC is required to comply with a financial covenant requiring BellRing LLC to maintain a total net leverage ratio (as defined in the Credit Agreement) not to exceed 6.00 to 1.00, measured as of the last day of each fiscal quarter. BellRing LLC was in compliance with its financial covenant as of December 31, 2021, and we do not believe non-compliance is reasonably likely in the foreseeable future.</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Credit Agreement provides for potential incremental revolving and term facilities, and also permits BellRing LLC to incur other secured or unsecured debt, in all cases subject to conditions and limitations on the amount as specified in the Credit Agreement.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critical accounting policies and estimates are more fully described in our Annual Report on Form 10-K for the year ended September 30, 2021, as filed with the Securities and Exchange Commission (the “SEC”) on November 19, 2021. There have been no significant changes to our critical accounting policies and estimates since September 30,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RECENTLY ISSUED AND ADOPTED ACCOUNTING STANDARDS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 within “Notes to Condensed Consolidated Financial Statements” for a discussion regarding recently issued and adopted accounting standards.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ON FORWARD-LOOKING STATEMENTS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Forward-looking statements, within the meaning of Section 27A of the Securities Act of 1933, as amended, and Section 21E of the Securities Exchange Act of 1934, as amended (the “Exchange Act”), are made throughout this report, including statements regarding the effect of the COVID-19 pandemic on our business and our continuing response to the COVID-19 pandemic and the proposed transaction between Post and us for the distribution of a significant portion of Post’s interest in us to Post’s shareholders, including the amount of our equity Post intends to distribute, the form of the distribution and the expected timing of the completion of the proposed transaction.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elsewhere in this report. Our financial condition, results of operations and cash flows may differ materially from those in the forward-looking statements. Such statements are based on management’s current views and assumptions and involve risks and uncertainties that could affect expected results. Those risks and uncertainties include, but are not limited to, the following:</w:t>
      </w:r>
    </w:p>
    <w:p>
      <w:pPr>
        <w:spacing w:after="0" w:line="77" w:lineRule="exact"/>
        <w:rPr>
          <w:sz w:val="20"/>
          <w:szCs w:val="20"/>
          <w:color w:val="auto"/>
        </w:rPr>
      </w:pPr>
    </w:p>
    <w:p>
      <w:pPr>
        <w:jc w:val="both"/>
        <w:ind w:left="660" w:hanging="328"/>
        <w:spacing w:after="0" w:line="263"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COVID-19 pandemic, including negative impacts on the global economy and capital markets, the health of our employees, our ability and the ability of our third party contract manufacturers to manufacture and deliver our products, operating costs, demand for our on-the-go products and our operations generally;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sales from our RTD protein shakes;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continue to compete in our product categories and our ability to retain our market position and favorable perceptions of our brands;</w:t>
      </w:r>
    </w:p>
    <w:p>
      <w:pPr>
        <w:spacing w:after="0" w:line="140"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or inefficiencies in our supply chain, including as a result of our reliance on third party suppliers or manufacturers for the manufacturing of many of our products, pandemics (including the COVID-19 pandemic) and other outbreaks of contagious diseases, labor shortages, fires and evacuations related thereto, changes in weather conditions, natural disasters, agricultural diseases and pests and other events beyond our control;</w:t>
      </w:r>
    </w:p>
    <w:p>
      <w:pPr>
        <w:spacing w:after="0" w:line="7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third party contract manufacturers for the manufacturing of most of our products, including one manufacturer for the substantial majority of our RTD protein shakes;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third party contract manufacturers to produce an amount of our products that enables us to meet customer and consumer demand for the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a limited number of third party suppliers to provide certain ingredients and packaging;</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significant volatility in the cost or availability of inputs to our business (including freight, raw materials, packaging, energy, labor and other supplies);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anticipate and respond to changes in consumer and customer preferences and behaviors and introduce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consolidation in our distribution channels;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expand existing market penetration and enter into new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a significant reduction of purchases by or the bankruptcy of a major customer;</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and regulatory factors, such as compliance with existing laws and regulations, as well as new laws and regulations and changes to existing laws and regulations and interpretations thereof, affecting our business, including current and future laws and regulations regarding food safety, advertising, labeling, tax matters and environmental matters;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fluctuations in our business due to changes in our promotional activities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the net selling prices of our products and manage promotional activities with respect to our products;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high leverage, our ability to obtain additional financing (including both secured and unsecured debt) and our ability to service our outstanding debt (including covenants that restrict the operation of our business);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accuracy of our market data and attributes and related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estimates in critical accounting judgments;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economic downturns that limit customer and consumer demand for our products;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economic conditions, disruptions in the United States (“U.S.”) and global capital and credit markets, changes in interest rates, volatility in the market value of derivatives and fluctuations in foreign currency exchange rates;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ongoing relationship with Post, including Post’s control over us and ability to control the direction of our business, conflicts of interest or disputes that may arise between Post and us, and our obligations under various agreements with Post, including under the tax receivable agreement;</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conflicting interests or the appearance of conflicting interests resulting from certain of our directors also serving as officers or directors of Post;</w:t>
      </w:r>
    </w:p>
    <w:p>
      <w:pPr>
        <w:spacing w:after="0" w:line="140" w:lineRule="exact"/>
        <w:rPr>
          <w:rFonts w:ascii="Arial" w:cs="Arial" w:eastAsia="Arial" w:hAnsi="Arial"/>
          <w:sz w:val="16"/>
          <w:szCs w:val="16"/>
          <w:color w:val="auto"/>
        </w:rPr>
      </w:pPr>
    </w:p>
    <w:p>
      <w:pPr>
        <w:jc w:val="both"/>
        <w:ind w:left="66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risks related to the proposed distribution by Post of a significant portion of its ownership interest in our Company, including that it is subject to various conditions and may not occur, our inability to take certain actions because such actions could jeopardize the tax-free status of the proposed distribution and our possible responsibility for U.S. federal tax liabilities related to the proposed distribution;</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ultimate impact litigation or other regulatory matters may have on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our international business;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other assets and to continue to use third party intellectual property subject to intellectual property licenses;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business disruptions and reputational damage associated with information technology failures, cybersecurity incidents and/or information security breaches;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impairment in the carrying value of goodwill or other intangibles;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identify, complete and integrate or otherwise effectively execute acquisitions or other strategic transactions and effectively manage our growth;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requirements of Section 404 of the Sarbanes-Oxley Act of 2002;</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differences in our actual operating results from any guidance we may give regarding our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hire and retain talented personnel, employee absenteeism, labor strikes, work stoppages or unionization efforts;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included under “Risk Factors” in this report and in our Annual Report on Form 10-K for the fiscal year ended September 30, 2021, filed with the SEC on November 19, 2021.</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activity, performance or events and circumstances reflected in the forward-looking statements will be achieved or occur. Moreover, we undertake no obligation to update publicly any forward-looking statements for any reason after the date of this report to conform these statements to actual results or to changes in our expectations.</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COVID-19 pandemic has resulted in significant volatility and uncertainty in the markets in which the Company operates. At the time of this filing, the COVID-19 pandemic has not had, and the Company does not currently believe will have, a significant impact on its exposure to market risk from commodity prices, foreign currency exchange rates and interest rates, among others. For additional discussion, refer to “Liquidity and Capital Resources” and “Cautionary Statement on Forward-Looking Statements” in Item 2 of Part I of this report, as well as “Risk Factors” in Item 1A of Part II of this report.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ordinary course of business, the Company is exposed to commodity price risks relating to the purchases of raw materials. The Company manages the impact of cost increases, wherever possible, on commercially reasonable terms, by locking in prices on the quantities through purchase commitments required to meet production requirements. In addition, the Company may attempt to offset the effect of increased costs by raising prices to customers. However, for competitive reasons, the Company may not be able to pass along the full effect of increases in raw materials and other input costs as they are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Related to Active Nutrition International GmbH whose functional currency is the Euro, the Company is exposed to risks of fluctuations in future cash flows and earnings due to changes in exchange rates.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2021 and September 30, 2021, BellRing LLC had aggregate principal amounts of $519.8 million and $609.9 million outstanding on its Term B Facility, respectively. There were no amounts drawn under the Revolving Credit Facility as of December 31, 2021 and September 30, 2021. Borrowings under the Term B Facility and the Revolving Credit Facility bear interest at variable rates. Including the impact of interest rate swaps, a hypothetical 10% increase in interest rates would have an immaterial impact on both interest expense and interest paid during each of the three months ended December 31, 2021 and 2020. For additional information regarding BellRing LLC’s debt, see Note 14 within “Notes to Condensed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both December 31, 2021 and September 30, 2021, the Company had interest rate swaps with a notional value of $350.0 million. A hypothetical 10% adverse change in interest rates would have an immaterial impact on the fair value of the interest rate swaps as of both December 31, 2021 and September 30, 2021. For additional information regarding the Company’s interest rate swap contracts, see Note 12 within “Notes to Condensed Consolidated Financial Statements.”</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Management, with the Executive Chairman, Chief Executive Officer (“CEO”) and Chief Financial Officer (“CFO”) of the Company, has evaluated the effectiveness of its disclosure controls and procedures (as defined in Rules 13a-15(e) and 15d-15(e) under the Exchange Act) as of the end of the period covered by this report. Based on that evaluation, the Executive Chairman, CEO and CFO concluded that, as of the end of the period covered by this report, the Company’s disclosure controls and procedures were effective to provide reasonable assurance of achieving the desired control objectives.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in the Company’s internal control over financial reporting during the quarter ended December 31, 2021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information required under this Item 1 is set forth in Note 15 within “Notes to Condensed Consolidated Financial Statements” included in Part I, Item 1 of this report, which is incorporated herein by reference. For disclosure of environmental proceedings with a governmental entity as a party pursuant to Item 103(c)(3)(iii) of Regulation S-K, the Company has elected to disclose matters where the Company reasonably believes such proceeding would result in monetary sanctions, exclusive of interest and costs, of $1.0 million or more. Applying this threshold, there are no such environmental proceedings to disclose for the three months ended December 31, 2021.</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to the information set forth elsewhere in this Quarterly Report on Form 10-Q (the “Quarterly Report”), you should carefully consider the risk factors we previously disclosed in our Annual Report on Form 10-K, filed with the United States Securities and Exchange Commission on November 19, 2021, as of and for the year ended September 30, 2021, (the “Annual Report”). As of the date of this Quarterly Report, there have been no material changes to the risk factors previously disclosed in the Annual Report. These risks could materially and adversely affect our business, financial condition, results of operations and cash flows. The enumerated risks have been or may be heightened, or in some cases manifested, by the impacts of the COVID-19 pandemic and are not the only risks we face. Additional risks and uncertainties not presently known to us or that we currently deem immaterial also may impair our business, financial condition, results of operations and cash flows.</w:t>
      </w:r>
    </w:p>
    <w:p>
      <w:pPr>
        <w:spacing w:after="0" w:line="1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information with respect to repurchases of shares of our Class A common stock, $0.01 par value per share, during the three months ended December 31, 2021 and our Class A common stock repurchase authorization.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7"/>
                <w:szCs w:val="17"/>
                <w:color w:val="auto"/>
              </w:rPr>
            </w:pPr>
          </w:p>
        </w:tc>
        <w:tc>
          <w:tcPr>
            <w:tcW w:w="1640" w:type="dxa"/>
            <w:vAlign w:val="bottom"/>
            <w:vMerge w:val="restart"/>
          </w:tcPr>
          <w:p>
            <w:pPr>
              <w:jc w:val="center"/>
              <w:ind w:left="190"/>
              <w:spacing w:after="0"/>
              <w:rPr>
                <w:sz w:val="20"/>
                <w:szCs w:val="20"/>
                <w:color w:val="auto"/>
              </w:rPr>
            </w:pPr>
            <w:r>
              <w:rPr>
                <w:rFonts w:ascii="Arial" w:cs="Arial" w:eastAsia="Arial" w:hAnsi="Arial"/>
                <w:sz w:val="18"/>
                <w:szCs w:val="18"/>
                <w:b w:val="1"/>
                <w:bCs w:val="1"/>
                <w:color w:val="auto"/>
                <w:w w:val="93"/>
              </w:rPr>
              <w:t>Total Number</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Approximate Dollar Value of</w:t>
            </w:r>
          </w:p>
        </w:tc>
        <w:tc>
          <w:tcPr>
            <w:tcW w:w="0" w:type="dxa"/>
            <w:vAlign w:val="bottom"/>
          </w:tcPr>
          <w:p>
            <w:pPr>
              <w:spacing w:after="0"/>
              <w:rPr>
                <w:sz w:val="1"/>
                <w:szCs w:val="1"/>
                <w:color w:val="auto"/>
              </w:rPr>
            </w:pPr>
          </w:p>
        </w:tc>
      </w:tr>
      <w:tr>
        <w:trPr>
          <w:trHeight w:val="176"/>
        </w:trPr>
        <w:tc>
          <w:tcPr>
            <w:tcW w:w="338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Price Paid</w:t>
            </w: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 Publicly</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Shares that May Yet be Purchased</w:t>
            </w:r>
          </w:p>
        </w:tc>
        <w:tc>
          <w:tcPr>
            <w:tcW w:w="0" w:type="dxa"/>
            <w:vAlign w:val="bottom"/>
          </w:tcPr>
          <w:p>
            <w:pPr>
              <w:spacing w:after="0"/>
              <w:rPr>
                <w:sz w:val="1"/>
                <w:szCs w:val="1"/>
                <w:color w:val="auto"/>
              </w:rPr>
            </w:pPr>
          </w:p>
        </w:tc>
      </w:tr>
      <w:tr>
        <w:trPr>
          <w:trHeight w:val="175"/>
        </w:trPr>
        <w:tc>
          <w:tcPr>
            <w:tcW w:w="3380" w:type="dxa"/>
            <w:vAlign w:val="bottom"/>
            <w:vMerge w:val="restart"/>
          </w:tcPr>
          <w:p>
            <w:pPr>
              <w:ind w:left="1600"/>
              <w:spacing w:after="0"/>
              <w:rPr>
                <w:sz w:val="20"/>
                <w:szCs w:val="20"/>
                <w:color w:val="auto"/>
              </w:rPr>
            </w:pPr>
            <w:r>
              <w:rPr>
                <w:rFonts w:ascii="Arial" w:cs="Arial" w:eastAsia="Arial" w:hAnsi="Arial"/>
                <w:sz w:val="18"/>
                <w:szCs w:val="18"/>
                <w:b w:val="1"/>
                <w:bCs w:val="1"/>
                <w:color w:val="auto"/>
              </w:rPr>
              <w:t>Period</w:t>
            </w:r>
          </w:p>
        </w:tc>
        <w:tc>
          <w:tcPr>
            <w:tcW w:w="1640" w:type="dxa"/>
            <w:vAlign w:val="bottom"/>
          </w:tcPr>
          <w:p>
            <w:pPr>
              <w:jc w:val="center"/>
              <w:ind w:left="190"/>
              <w:spacing w:after="0" w:line="176" w:lineRule="exact"/>
              <w:rPr>
                <w:sz w:val="20"/>
                <w:szCs w:val="20"/>
                <w:color w:val="auto"/>
              </w:rPr>
            </w:pPr>
            <w:r>
              <w:rPr>
                <w:rFonts w:ascii="Arial" w:cs="Arial" w:eastAsia="Arial" w:hAnsi="Arial"/>
                <w:sz w:val="18"/>
                <w:szCs w:val="18"/>
                <w:b w:val="1"/>
                <w:bCs w:val="1"/>
                <w:color w:val="auto"/>
                <w:w w:val="87"/>
              </w:rPr>
              <w:t>of Shares</w:t>
            </w:r>
          </w:p>
        </w:tc>
        <w:tc>
          <w:tcPr>
            <w:tcW w:w="10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per Share</w:t>
            </w:r>
          </w:p>
        </w:tc>
        <w:tc>
          <w:tcPr>
            <w:tcW w:w="2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Announced Plans or Programs</w:t>
            </w:r>
          </w:p>
        </w:tc>
        <w:tc>
          <w:tcPr>
            <w:tcW w:w="27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Under the Plans or Programs (a)</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vMerge w:val="continue"/>
          </w:tcPr>
          <w:p>
            <w:pPr>
              <w:spacing w:after="0"/>
              <w:rPr>
                <w:sz w:val="19"/>
                <w:szCs w:val="19"/>
                <w:color w:val="auto"/>
              </w:rPr>
            </w:pPr>
          </w:p>
        </w:tc>
        <w:tc>
          <w:tcPr>
            <w:tcW w:w="164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6"/>
              </w:rPr>
              <w:t>Purchased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2021 - October 31, 2021</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November 1, 2021 - November 30, 2021</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59,896</w:t>
            </w:r>
          </w:p>
        </w:tc>
        <w:tc>
          <w:tcPr>
            <w:tcW w:w="1040" w:type="dxa"/>
            <w:vAlign w:val="bottom"/>
          </w:tcPr>
          <w:p>
            <w:pPr>
              <w:jc w:val="right"/>
              <w:spacing w:after="0"/>
              <w:rPr>
                <w:sz w:val="20"/>
                <w:szCs w:val="20"/>
                <w:color w:val="auto"/>
              </w:rPr>
            </w:pPr>
            <w:r>
              <w:rPr>
                <w:rFonts w:ascii="Arial" w:cs="Arial" w:eastAsia="Arial" w:hAnsi="Arial"/>
                <w:sz w:val="18"/>
                <w:szCs w:val="18"/>
                <w:color w:val="auto"/>
              </w:rPr>
              <w:t>$21.96</w:t>
            </w:r>
          </w:p>
        </w:tc>
        <w:tc>
          <w:tcPr>
            <w:tcW w:w="2460" w:type="dxa"/>
            <w:vAlign w:val="bottom"/>
          </w:tcPr>
          <w:p>
            <w:pPr>
              <w:jc w:val="right"/>
              <w:spacing w:after="0"/>
              <w:rPr>
                <w:sz w:val="20"/>
                <w:szCs w:val="20"/>
                <w:color w:val="auto"/>
              </w:rPr>
            </w:pPr>
            <w:r>
              <w:rPr>
                <w:rFonts w:ascii="Arial" w:cs="Arial" w:eastAsia="Arial" w:hAnsi="Arial"/>
                <w:sz w:val="18"/>
                <w:szCs w:val="18"/>
                <w:color w:val="auto"/>
              </w:rPr>
              <w:t>59,896</w:t>
            </w:r>
          </w:p>
        </w:tc>
        <w:tc>
          <w:tcPr>
            <w:tcW w:w="2720" w:type="dxa"/>
            <w:vAlign w:val="bottom"/>
          </w:tcPr>
          <w:p>
            <w:pPr>
              <w:jc w:val="right"/>
              <w:spacing w:after="0"/>
              <w:rPr>
                <w:sz w:val="20"/>
                <w:szCs w:val="20"/>
                <w:color w:val="auto"/>
              </w:rPr>
            </w:pPr>
            <w:r>
              <w:rPr>
                <w:rFonts w:ascii="Arial" w:cs="Arial" w:eastAsia="Arial" w:hAnsi="Arial"/>
                <w:sz w:val="18"/>
                <w:szCs w:val="18"/>
                <w:color w:val="auto"/>
              </w:rPr>
              <w:t>$58,684,546</w:t>
            </w:r>
          </w:p>
        </w:tc>
        <w:tc>
          <w:tcPr>
            <w:tcW w:w="0" w:type="dxa"/>
            <w:vAlign w:val="bottom"/>
          </w:tcPr>
          <w:p>
            <w:pPr>
              <w:spacing w:after="0"/>
              <w:rPr>
                <w:sz w:val="1"/>
                <w:szCs w:val="1"/>
                <w:color w:val="auto"/>
              </w:rPr>
            </w:pPr>
          </w:p>
        </w:tc>
      </w:tr>
      <w:tr>
        <w:trPr>
          <w:trHeight w:val="230"/>
        </w:trPr>
        <w:tc>
          <w:tcPr>
            <w:tcW w:w="3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1, 2021 - December 31, 2021</w:t>
            </w: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713,826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713,826</w:t>
            </w:r>
          </w:p>
        </w:tc>
        <w:tc>
          <w:tcPr>
            <w:tcW w:w="2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$41,942,284</w:t>
            </w:r>
          </w:p>
        </w:tc>
        <w:tc>
          <w:tcPr>
            <w:tcW w:w="0" w:type="dxa"/>
            <w:vAlign w:val="bottom"/>
          </w:tcPr>
          <w:p>
            <w:pPr>
              <w:spacing w:after="0"/>
              <w:rPr>
                <w:sz w:val="1"/>
                <w:szCs w:val="1"/>
                <w:color w:val="auto"/>
              </w:rPr>
            </w:pPr>
          </w:p>
        </w:tc>
      </w:tr>
      <w:tr>
        <w:trPr>
          <w:trHeight w:val="22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773,722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773,722</w:t>
            </w: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$41,942,284</w:t>
            </w:r>
          </w:p>
        </w:tc>
        <w:tc>
          <w:tcPr>
            <w:tcW w:w="0" w:type="dxa"/>
            <w:vAlign w:val="bottom"/>
          </w:tcPr>
          <w:p>
            <w:pPr>
              <w:spacing w:after="0"/>
              <w:rPr>
                <w:sz w:val="1"/>
                <w:szCs w:val="1"/>
                <w:color w:val="auto"/>
              </w:rPr>
            </w:pP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Does not include broker’s commissions.</w:t>
      </w:r>
    </w:p>
    <w:p>
      <w:pPr>
        <w:spacing w:after="0" w:line="117" w:lineRule="exact"/>
        <w:rPr>
          <w:rFonts w:ascii="Arial" w:cs="Arial" w:eastAsia="Arial" w:hAnsi="Arial"/>
          <w:sz w:val="18"/>
          <w:szCs w:val="18"/>
          <w:color w:val="auto"/>
        </w:rPr>
      </w:pPr>
    </w:p>
    <w:p>
      <w:pPr>
        <w:jc w:val="both"/>
        <w:ind w:left="340" w:hanging="332"/>
        <w:spacing w:after="0" w:line="286" w:lineRule="auto"/>
        <w:tabs>
          <w:tab w:leader="none" w:pos="334"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November 12, 2020, the Company’s Board of Directors approved a $60,000,000 share repurchase authorization (the “Authorization”). The Authorization was effective November 12, 2020 and expires on November 12, 2022. Repurchases may be made from time to time in the open market, private purchases, through forward, derivative, alternative, accelerated repurchase or automatic purchase transactions, or otherwise.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either provided with this Form 10-Q or are incorporated herein by reference.</w:t>
      </w:r>
    </w:p>
    <w:p>
      <w:pPr>
        <w:spacing w:after="0" w:line="50"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30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9080" w:type="dxa"/>
            <w:vAlign w:val="bottom"/>
            <w:gridSpan w:val="18"/>
          </w:tcPr>
          <w:p>
            <w:pPr>
              <w:spacing w:after="0"/>
              <w:rPr>
                <w:sz w:val="20"/>
                <w:szCs w:val="20"/>
                <w:color w:val="auto"/>
              </w:rPr>
            </w:pPr>
            <w:r>
              <w:rPr>
                <w:rFonts w:ascii="Arial" w:cs="Arial" w:eastAsia="Arial" w:hAnsi="Arial"/>
                <w:sz w:val="16"/>
                <w:szCs w:val="16"/>
                <w:b w:val="1"/>
                <w:bCs w:val="1"/>
                <w:color w:val="auto"/>
              </w:rPr>
              <w:t>Description</w:t>
            </w:r>
          </w:p>
        </w:tc>
      </w:tr>
      <w:tr>
        <w:trPr>
          <w:trHeight w:val="195"/>
        </w:trPr>
        <w:tc>
          <w:tcPr>
            <w:tcW w:w="1300" w:type="dxa"/>
            <w:vAlign w:val="bottom"/>
          </w:tcPr>
          <w:p>
            <w:pPr>
              <w:jc w:val="center"/>
              <w:ind w:right="131"/>
              <w:spacing w:after="0" w:line="195" w:lineRule="exact"/>
              <w:rPr>
                <w:sz w:val="20"/>
                <w:szCs w:val="20"/>
                <w:color w:val="auto"/>
              </w:rPr>
            </w:pPr>
            <w:r>
              <w:rPr>
                <w:rFonts w:ascii="Arial" w:cs="Arial" w:eastAsia="Arial" w:hAnsi="Arial"/>
                <w:sz w:val="18"/>
                <w:szCs w:val="18"/>
                <w:color w:val="auto"/>
                <w:w w:val="99"/>
              </w:rPr>
              <w:t>*2.1</w:t>
            </w:r>
          </w:p>
        </w:tc>
        <w:tc>
          <w:tcPr>
            <w:tcW w:w="9080" w:type="dxa"/>
            <w:vAlign w:val="bottom"/>
            <w:gridSpan w:val="18"/>
          </w:tcPr>
          <w:p>
            <w:pPr>
              <w:spacing w:after="0" w:line="195"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Transaction Agreement and Plan of Merger, dated as of October 26, 2021, by and among Post Holdings, Inc., BellRing</w:t>
              </w:r>
            </w:hyperlink>
          </w:p>
        </w:tc>
      </w:tr>
      <w:tr>
        <w:trPr>
          <w:trHeight w:val="156"/>
        </w:trPr>
        <w:tc>
          <w:tcPr>
            <w:tcW w:w="1300" w:type="dxa"/>
            <w:vAlign w:val="bottom"/>
          </w:tcPr>
          <w:p>
            <w:pPr>
              <w:spacing w:after="0"/>
              <w:rPr>
                <w:sz w:val="13"/>
                <w:szCs w:val="13"/>
                <w:color w:val="auto"/>
              </w:rPr>
            </w:pPr>
          </w:p>
        </w:tc>
        <w:tc>
          <w:tcPr>
            <w:tcW w:w="900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Brands, Inc., BellRing Distribution, LLC and BellRing Merger Sub Corporation (Incorporated by reference to Exhibit 2.1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9040" w:type="dxa"/>
            <w:vAlign w:val="bottom"/>
            <w:gridSpan w:val="16"/>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to the Company’s Form 8-K filed on October 27,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Arial" w:cs="Arial" w:eastAsia="Arial" w:hAnsi="Arial"/>
                <w:sz w:val="18"/>
                <w:szCs w:val="18"/>
                <w:color w:val="auto"/>
                <w:w w:val="87"/>
              </w:rPr>
              <w:t>3.1</w:t>
            </w:r>
          </w:p>
        </w:tc>
        <w:tc>
          <w:tcPr>
            <w:tcW w:w="9080" w:type="dxa"/>
            <w:vAlign w:val="bottom"/>
            <w:gridSpan w:val="18"/>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Amended and Restated Certificate of Incorporation of BellRing Brands, Inc. (Incorporated by reference to Exhibit 3.1 to</w:t>
              </w:r>
            </w:hyperlink>
          </w:p>
        </w:tc>
      </w:tr>
      <w:tr>
        <w:trPr>
          <w:trHeight w:val="155"/>
        </w:trPr>
        <w:tc>
          <w:tcPr>
            <w:tcW w:w="1300" w:type="dxa"/>
            <w:vAlign w:val="bottom"/>
          </w:tcPr>
          <w:p>
            <w:pPr>
              <w:spacing w:after="0"/>
              <w:rPr>
                <w:sz w:val="13"/>
                <w:szCs w:val="13"/>
                <w:color w:val="auto"/>
              </w:rPr>
            </w:pPr>
          </w:p>
        </w:tc>
        <w:tc>
          <w:tcPr>
            <w:tcW w:w="898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41">
              <w:r>
                <w:rPr>
                  <w:rFonts w:ascii="Arial" w:cs="Arial" w:eastAsia="Arial" w:hAnsi="Arial"/>
                  <w:sz w:val="18"/>
                  <w:szCs w:val="18"/>
                  <w:color w:val="0000FF"/>
                </w:rPr>
                <w:t>the Company’s Form 8-K filed on October 21, 2019)</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00" w:type="dxa"/>
            <w:vAlign w:val="bottom"/>
          </w:tcPr>
          <w:p>
            <w:pPr>
              <w:jc w:val="center"/>
              <w:ind w:right="151"/>
              <w:spacing w:after="0"/>
              <w:rPr>
                <w:sz w:val="20"/>
                <w:szCs w:val="20"/>
                <w:color w:val="auto"/>
              </w:rPr>
            </w:pPr>
            <w:r>
              <w:rPr>
                <w:rFonts w:ascii="Arial" w:cs="Arial" w:eastAsia="Arial" w:hAnsi="Arial"/>
                <w:sz w:val="18"/>
                <w:szCs w:val="18"/>
                <w:color w:val="auto"/>
                <w:w w:val="87"/>
              </w:rPr>
              <w:t>3.2</w:t>
            </w:r>
          </w:p>
        </w:tc>
        <w:tc>
          <w:tcPr>
            <w:tcW w:w="9080" w:type="dxa"/>
            <w:vAlign w:val="bottom"/>
            <w:gridSpan w:val="18"/>
          </w:tcPr>
          <w:p>
            <w:pPr>
              <w:spacing w:after="0"/>
              <w:rPr>
                <w:rFonts w:ascii="Arial" w:cs="Arial" w:eastAsia="Arial" w:hAnsi="Arial"/>
                <w:sz w:val="18"/>
                <w:szCs w:val="18"/>
                <w:color w:val="0000FF"/>
                <w:w w:val="94"/>
              </w:rPr>
            </w:pPr>
            <w:hyperlink r:id="rId42">
              <w:r>
                <w:rPr>
                  <w:rFonts w:ascii="Arial" w:cs="Arial" w:eastAsia="Arial" w:hAnsi="Arial"/>
                  <w:sz w:val="18"/>
                  <w:szCs w:val="18"/>
                  <w:color w:val="0000FF"/>
                  <w:w w:val="94"/>
                </w:rPr>
                <w:t>Amended and Restated Bylaws of BellRing Brands, Inc. (Incorporated by reference to Exhibit 3.1 to the Company’s Form</w:t>
              </w:r>
            </w:hyperlink>
          </w:p>
        </w:tc>
      </w:tr>
      <w:tr>
        <w:trPr>
          <w:trHeight w:val="155"/>
        </w:trPr>
        <w:tc>
          <w:tcPr>
            <w:tcW w:w="130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8-K filed on December 17, 2021)</w:t>
              </w:r>
            </w:hyperlink>
          </w:p>
        </w:tc>
        <w:tc>
          <w:tcPr>
            <w:tcW w:w="666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300" w:type="dxa"/>
            <w:vAlign w:val="bottom"/>
          </w:tcPr>
          <w:p>
            <w:pPr>
              <w:jc w:val="center"/>
              <w:ind w:right="151"/>
              <w:spacing w:after="0"/>
              <w:rPr>
                <w:sz w:val="20"/>
                <w:szCs w:val="20"/>
                <w:color w:val="auto"/>
              </w:rPr>
            </w:pPr>
            <w:r>
              <w:rPr>
                <w:rFonts w:ascii="Arial" w:cs="Arial" w:eastAsia="Arial" w:hAnsi="Arial"/>
                <w:sz w:val="18"/>
                <w:szCs w:val="18"/>
                <w:color w:val="auto"/>
                <w:w w:val="87"/>
              </w:rPr>
              <w:t>4.1</w:t>
            </w:r>
          </w:p>
        </w:tc>
        <w:tc>
          <w:tcPr>
            <w:tcW w:w="9080" w:type="dxa"/>
            <w:vAlign w:val="bottom"/>
            <w:gridSpan w:val="18"/>
          </w:tcPr>
          <w:p>
            <w:pPr>
              <w:spacing w:after="0"/>
              <w:rPr>
                <w:rFonts w:ascii="Arial" w:cs="Arial" w:eastAsia="Arial" w:hAnsi="Arial"/>
                <w:sz w:val="18"/>
                <w:szCs w:val="18"/>
                <w:color w:val="0000FF"/>
                <w:w w:val="99"/>
              </w:rPr>
            </w:pPr>
            <w:hyperlink r:id="rId43">
              <w:r>
                <w:rPr>
                  <w:rFonts w:ascii="Arial" w:cs="Arial" w:eastAsia="Arial" w:hAnsi="Arial"/>
                  <w:sz w:val="18"/>
                  <w:szCs w:val="18"/>
                  <w:color w:val="0000FF"/>
                  <w:w w:val="99"/>
                </w:rPr>
                <w:t>Form of Class A Common Stock Certificate of BellRing Brands, Inc. (Incorporated by reference to Exhibit 4.1 to the</w:t>
              </w:r>
            </w:hyperlink>
          </w:p>
        </w:tc>
      </w:tr>
      <w:tr>
        <w:trPr>
          <w:trHeight w:val="155"/>
        </w:trPr>
        <w:tc>
          <w:tcPr>
            <w:tcW w:w="1300" w:type="dxa"/>
            <w:vAlign w:val="bottom"/>
          </w:tcPr>
          <w:p>
            <w:pPr>
              <w:spacing w:after="0"/>
              <w:rPr>
                <w:sz w:val="13"/>
                <w:szCs w:val="13"/>
                <w:color w:val="auto"/>
              </w:rPr>
            </w:pPr>
          </w:p>
        </w:tc>
        <w:tc>
          <w:tcPr>
            <w:tcW w:w="89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43">
              <w:r>
                <w:rPr>
                  <w:rFonts w:ascii="Arial" w:cs="Arial" w:eastAsia="Arial" w:hAnsi="Arial"/>
                  <w:sz w:val="18"/>
                  <w:szCs w:val="18"/>
                  <w:color w:val="0000FF"/>
                </w:rPr>
                <w:t>Company’s Form S-1 filed on September 20, 2019)</w:t>
              </w:r>
            </w:hyperlink>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00" w:type="dxa"/>
            <w:vAlign w:val="bottom"/>
          </w:tcPr>
          <w:p>
            <w:pPr>
              <w:jc w:val="center"/>
              <w:ind w:right="131"/>
              <w:spacing w:after="0"/>
              <w:rPr>
                <w:sz w:val="20"/>
                <w:szCs w:val="20"/>
                <w:color w:val="auto"/>
              </w:rPr>
            </w:pPr>
            <w:r>
              <w:rPr>
                <w:rFonts w:ascii="Arial" w:cs="Arial" w:eastAsia="Arial" w:hAnsi="Arial"/>
                <w:sz w:val="18"/>
                <w:szCs w:val="18"/>
                <w:color w:val="auto"/>
                <w:w w:val="91"/>
              </w:rPr>
              <w:t>31.1</w:t>
            </w:r>
          </w:p>
        </w:tc>
        <w:tc>
          <w:tcPr>
            <w:tcW w:w="9080" w:type="dxa"/>
            <w:vAlign w:val="bottom"/>
            <w:gridSpan w:val="18"/>
          </w:tcPr>
          <w:p>
            <w:pPr>
              <w:spacing w:after="0"/>
              <w:rPr>
                <w:rFonts w:ascii="Arial" w:cs="Arial" w:eastAsia="Arial" w:hAnsi="Arial"/>
                <w:sz w:val="18"/>
                <w:szCs w:val="18"/>
                <w:color w:val="0000FF"/>
                <w:w w:val="92"/>
              </w:rPr>
            </w:pPr>
            <w:hyperlink w:anchor="page27">
              <w:r>
                <w:rPr>
                  <w:rFonts w:ascii="Arial" w:cs="Arial" w:eastAsia="Arial" w:hAnsi="Arial"/>
                  <w:sz w:val="18"/>
                  <w:szCs w:val="18"/>
                  <w:color w:val="0000FF"/>
                  <w:w w:val="92"/>
                </w:rPr>
                <w:t>Certification of Robert V. Vitale pursuant to Rule 13a-14(a), as adopted pursuant to Section 302 of the Sarbanes-Oxley Act</w:t>
              </w:r>
            </w:hyperlink>
          </w:p>
        </w:tc>
      </w:tr>
      <w:tr>
        <w:trPr>
          <w:trHeight w:val="155"/>
        </w:trPr>
        <w:tc>
          <w:tcPr>
            <w:tcW w:w="130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of 2002, dated February 4, 2022</w:t>
              </w:r>
            </w:hyperlink>
          </w:p>
        </w:tc>
        <w:tc>
          <w:tcPr>
            <w:tcW w:w="6560" w:type="dxa"/>
            <w:vAlign w:val="bottom"/>
            <w:tcBorders>
              <w:top w:val="single" w:sz="8" w:color="0000FF"/>
            </w:tcBorders>
            <w:gridSpan w:val="8"/>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0"/>
        </w:trPr>
        <w:tc>
          <w:tcPr>
            <w:tcW w:w="1300" w:type="dxa"/>
            <w:vAlign w:val="bottom"/>
          </w:tcPr>
          <w:p>
            <w:pPr>
              <w:jc w:val="center"/>
              <w:ind w:right="131"/>
              <w:spacing w:after="0"/>
              <w:rPr>
                <w:sz w:val="20"/>
                <w:szCs w:val="20"/>
                <w:color w:val="auto"/>
              </w:rPr>
            </w:pPr>
            <w:r>
              <w:rPr>
                <w:rFonts w:ascii="Arial" w:cs="Arial" w:eastAsia="Arial" w:hAnsi="Arial"/>
                <w:sz w:val="18"/>
                <w:szCs w:val="18"/>
                <w:color w:val="auto"/>
                <w:w w:val="91"/>
              </w:rPr>
              <w:t>31.2</w:t>
            </w:r>
          </w:p>
        </w:tc>
        <w:tc>
          <w:tcPr>
            <w:tcW w:w="9080" w:type="dxa"/>
            <w:vAlign w:val="bottom"/>
            <w:gridSpan w:val="18"/>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Certification of Darcy H. Davenport pursuant to Rule 13a-14(a), as adopted pursuant to Section 302 of the Sarbanes-Oxley</w:t>
              </w:r>
            </w:hyperlink>
          </w:p>
        </w:tc>
      </w:tr>
      <w:tr>
        <w:trPr>
          <w:trHeight w:val="155"/>
        </w:trPr>
        <w:tc>
          <w:tcPr>
            <w:tcW w:w="1300" w:type="dxa"/>
            <w:vAlign w:val="bottom"/>
          </w:tcPr>
          <w:p>
            <w:pPr>
              <w:spacing w:after="0"/>
              <w:rPr>
                <w:sz w:val="13"/>
                <w:szCs w:val="13"/>
                <w:color w:val="auto"/>
              </w:rPr>
            </w:pPr>
          </w:p>
        </w:tc>
        <w:tc>
          <w:tcPr>
            <w:tcW w:w="894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w:anchor="page28">
              <w:r>
                <w:rPr>
                  <w:rFonts w:ascii="Arial" w:cs="Arial" w:eastAsia="Arial" w:hAnsi="Arial"/>
                  <w:sz w:val="18"/>
                  <w:szCs w:val="18"/>
                  <w:color w:val="0000FF"/>
                </w:rPr>
                <w:t>Act of 2002, dated February 4, 2022</w:t>
              </w:r>
            </w:hyperlink>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00" w:type="dxa"/>
            <w:vAlign w:val="bottom"/>
          </w:tcPr>
          <w:p>
            <w:pPr>
              <w:jc w:val="center"/>
              <w:ind w:right="131"/>
              <w:spacing w:after="0"/>
              <w:rPr>
                <w:sz w:val="20"/>
                <w:szCs w:val="20"/>
                <w:color w:val="auto"/>
              </w:rPr>
            </w:pPr>
            <w:r>
              <w:rPr>
                <w:rFonts w:ascii="Arial" w:cs="Arial" w:eastAsia="Arial" w:hAnsi="Arial"/>
                <w:sz w:val="18"/>
                <w:szCs w:val="18"/>
                <w:color w:val="auto"/>
                <w:w w:val="91"/>
              </w:rPr>
              <w:t>31.3</w:t>
            </w:r>
          </w:p>
        </w:tc>
        <w:tc>
          <w:tcPr>
            <w:tcW w:w="9080" w:type="dxa"/>
            <w:vAlign w:val="bottom"/>
            <w:gridSpan w:val="18"/>
          </w:tcPr>
          <w:p>
            <w:pPr>
              <w:spacing w:after="0"/>
              <w:rPr>
                <w:rFonts w:ascii="Arial" w:cs="Arial" w:eastAsia="Arial" w:hAnsi="Arial"/>
                <w:sz w:val="18"/>
                <w:szCs w:val="18"/>
                <w:color w:val="0000FF"/>
                <w:w w:val="92"/>
              </w:rPr>
            </w:pPr>
            <w:hyperlink w:anchor="page29">
              <w:r>
                <w:rPr>
                  <w:rFonts w:ascii="Arial" w:cs="Arial" w:eastAsia="Arial" w:hAnsi="Arial"/>
                  <w:sz w:val="18"/>
                  <w:szCs w:val="18"/>
                  <w:color w:val="0000FF"/>
                  <w:w w:val="92"/>
                </w:rPr>
                <w:t>Certification of Paul A. Rode pursuant to Rule 13a-14(a), as adopted pursuant to Section 302 of the Sarbanes-Oxley Act of</w:t>
              </w:r>
            </w:hyperlink>
          </w:p>
        </w:tc>
      </w:tr>
      <w:tr>
        <w:trPr>
          <w:trHeight w:val="155"/>
        </w:trPr>
        <w:tc>
          <w:tcPr>
            <w:tcW w:w="1300" w:type="dxa"/>
            <w:vAlign w:val="bottom"/>
          </w:tcPr>
          <w:p>
            <w:pPr>
              <w:spacing w:after="0"/>
              <w:rPr>
                <w:sz w:val="13"/>
                <w:szCs w:val="13"/>
                <w:color w:val="auto"/>
              </w:rPr>
            </w:pPr>
          </w:p>
        </w:tc>
        <w:tc>
          <w:tcPr>
            <w:tcW w:w="886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w:anchor="page29">
              <w:r>
                <w:rPr>
                  <w:rFonts w:ascii="Arial" w:cs="Arial" w:eastAsia="Arial" w:hAnsi="Arial"/>
                  <w:sz w:val="18"/>
                  <w:szCs w:val="18"/>
                  <w:color w:val="0000FF"/>
                </w:rPr>
                <w:t>2002, dated February 4, 2022</w:t>
              </w:r>
            </w:hyperlink>
          </w:p>
        </w:tc>
        <w:tc>
          <w:tcPr>
            <w:tcW w:w="16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3900" w:type="dxa"/>
            <w:vAlign w:val="bottom"/>
            <w:gridSpan w:val="7"/>
          </w:tcPr>
          <w:p>
            <w:pPr>
              <w:spacing w:after="0" w:line="20" w:lineRule="exact"/>
              <w:rPr>
                <w:sz w:val="1"/>
                <w:szCs w:val="1"/>
                <w:color w:val="auto"/>
              </w:rPr>
            </w:pPr>
          </w:p>
        </w:tc>
        <w:tc>
          <w:tcPr>
            <w:tcW w:w="300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10"/>
        </w:trPr>
        <w:tc>
          <w:tcPr>
            <w:tcW w:w="1300" w:type="dxa"/>
            <w:vAlign w:val="bottom"/>
          </w:tcPr>
          <w:p>
            <w:pPr>
              <w:jc w:val="center"/>
              <w:ind w:right="131"/>
              <w:spacing w:after="0"/>
              <w:rPr>
                <w:sz w:val="20"/>
                <w:szCs w:val="20"/>
                <w:color w:val="auto"/>
              </w:rPr>
            </w:pPr>
            <w:r>
              <w:rPr>
                <w:rFonts w:ascii="Arial" w:cs="Arial" w:eastAsia="Arial" w:hAnsi="Arial"/>
                <w:sz w:val="18"/>
                <w:szCs w:val="18"/>
                <w:color w:val="auto"/>
                <w:w w:val="91"/>
              </w:rPr>
              <w:t>32.1</w:t>
            </w:r>
          </w:p>
        </w:tc>
        <w:tc>
          <w:tcPr>
            <w:tcW w:w="9080" w:type="dxa"/>
            <w:vAlign w:val="bottom"/>
            <w:gridSpan w:val="18"/>
          </w:tcPr>
          <w:p>
            <w:pPr>
              <w:spacing w:after="0"/>
              <w:rPr>
                <w:rFonts w:ascii="Arial" w:cs="Arial" w:eastAsia="Arial" w:hAnsi="Arial"/>
                <w:sz w:val="18"/>
                <w:szCs w:val="18"/>
                <w:color w:val="0000FF"/>
                <w:w w:val="95"/>
              </w:rPr>
            </w:pPr>
            <w:hyperlink w:anchor="page30">
              <w:r>
                <w:rPr>
                  <w:rFonts w:ascii="Arial" w:cs="Arial" w:eastAsia="Arial" w:hAnsi="Arial"/>
                  <w:sz w:val="18"/>
                  <w:szCs w:val="18"/>
                  <w:color w:val="0000FF"/>
                  <w:w w:val="95"/>
                </w:rPr>
                <w:t>Certification of Robert V. Vitale, Darcy H. Davenport and Paul A. Rode, pursuant to 18 U.S.C. Section 1350 as adopted</w:t>
              </w:r>
            </w:hyperlink>
          </w:p>
        </w:tc>
      </w:tr>
      <w:tr>
        <w:trPr>
          <w:trHeight w:val="155"/>
        </w:trPr>
        <w:tc>
          <w:tcPr>
            <w:tcW w:w="1300" w:type="dxa"/>
            <w:vAlign w:val="bottom"/>
          </w:tcPr>
          <w:p>
            <w:pPr>
              <w:spacing w:after="0"/>
              <w:rPr>
                <w:sz w:val="13"/>
                <w:szCs w:val="13"/>
                <w:color w:val="auto"/>
              </w:rPr>
            </w:pPr>
          </w:p>
        </w:tc>
        <w:tc>
          <w:tcPr>
            <w:tcW w:w="902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w:anchor="page30">
              <w:r>
                <w:rPr>
                  <w:rFonts w:ascii="Arial" w:cs="Arial" w:eastAsia="Arial" w:hAnsi="Arial"/>
                  <w:sz w:val="18"/>
                  <w:szCs w:val="18"/>
                  <w:color w:val="0000FF"/>
                </w:rPr>
                <w:t>pursuant to Section 906 of the Sarbanes-Oxley Act of 2002, dated February 4, 2022</w:t>
              </w:r>
            </w:hyperlink>
          </w:p>
        </w:tc>
        <w:tc>
          <w:tcPr>
            <w:tcW w:w="6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320" w:right="200" w:hanging="900"/>
        <w:spacing w:after="0" w:line="224" w:lineRule="auto"/>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 (Form 10-Q for the quarterly period ended December 31, 2021 filed in iXBRL (Inline eXtensible Business Reporting Language)). The financial information contained in the iXBRL-related documents is “unaudited” and “unreviewed.”</w:t>
      </w:r>
    </w:p>
    <w:p>
      <w:pPr>
        <w:spacing w:after="0" w:line="2" w:lineRule="exact"/>
        <w:rPr>
          <w:sz w:val="20"/>
          <w:szCs w:val="20"/>
          <w:color w:val="auto"/>
        </w:rPr>
      </w:pPr>
    </w:p>
    <w:p>
      <w:pPr>
        <w:ind w:left="1320" w:right="260" w:hanging="900"/>
        <w:spacing w:after="0" w:line="234" w:lineRule="auto"/>
        <w:tabs>
          <w:tab w:leader="none" w:pos="132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cover page from the Company’s Form 10-Q for the quarterly period ended December 31, 2021, formatted in iXBRL (Inline eXtensible Business Reporting Language) and contained in Exhibit 101</w:t>
      </w:r>
    </w:p>
    <w:p>
      <w:pPr>
        <w:spacing w:after="0" w:line="230" w:lineRule="exact"/>
        <w:rPr>
          <w:rFonts w:ascii="Arial" w:cs="Arial" w:eastAsia="Arial" w:hAnsi="Arial"/>
          <w:sz w:val="18"/>
          <w:szCs w:val="18"/>
          <w:color w:val="auto"/>
        </w:rPr>
      </w:pPr>
    </w:p>
    <w:p>
      <w:pPr>
        <w:ind w:left="1060" w:right="220" w:hanging="1039"/>
        <w:spacing w:after="0" w:line="224" w:lineRule="auto"/>
        <w:rPr>
          <w:rFonts w:ascii="Arial" w:cs="Arial" w:eastAsia="Arial" w:hAnsi="Arial"/>
          <w:sz w:val="18"/>
          <w:szCs w:val="18"/>
          <w:color w:val="auto"/>
        </w:rPr>
      </w:pPr>
      <w:r>
        <w:rPr>
          <w:rFonts w:ascii="Arial" w:cs="Arial" w:eastAsia="Arial" w:hAnsi="Arial"/>
          <w:sz w:val="18"/>
          <w:szCs w:val="18"/>
          <w:color w:val="auto"/>
        </w:rPr>
        <w:t>*Exhibits and schedules have been omitted pursuant to Item 601(b)(2) of Regulation S-K. The Company agrees to furnish supplementally to the Securities and Exchange Commission (the “SEC”) a copy of any omitted exhibit or schedule upon request by the SEC.</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60"/>
          </w:cols>
          <w:pgMar w:left="320" w:top="125" w:right="131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BellRing Brands, Inc. has duly caused this report to be signed on its behalf by the undersigned thereunto duly authorized.</w:t>
      </w:r>
    </w:p>
    <w:p>
      <w:pPr>
        <w:spacing w:after="0" w:line="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BELLRING BRANDS, INC.</w:t>
      </w:r>
    </w:p>
    <w:p>
      <w:pPr>
        <w:spacing w:after="0" w:line="23" w:lineRule="exact"/>
        <w:rPr>
          <w:sz w:val="20"/>
          <w:szCs w:val="20"/>
          <w:color w:val="auto"/>
        </w:rPr>
      </w:pPr>
    </w:p>
    <w:p>
      <w:pPr>
        <w:ind w:left="1100" w:right="1640" w:hanging="7505"/>
        <w:spacing w:after="0" w:line="273" w:lineRule="auto"/>
        <w:tabs>
          <w:tab w:leader="none" w:pos="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4, 2022 By: /s/ Darcy H. Davenport Darcy H. Davenport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-3175</wp:posOffset>
            </wp:positionV>
            <wp:extent cx="23660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17"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320" w:top="125" w:right="3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Robert V. Vitale, certify that:</w:t>
      </w:r>
    </w:p>
    <w:p>
      <w:pPr>
        <w:spacing w:after="0" w:line="2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180"/>
              <w:spacing w:after="0"/>
              <w:rPr>
                <w:sz w:val="20"/>
                <w:szCs w:val="20"/>
                <w:color w:val="auto"/>
              </w:rPr>
            </w:pPr>
            <w:r>
              <w:rPr>
                <w:rFonts w:ascii="Arial" w:cs="Arial" w:eastAsia="Arial" w:hAnsi="Arial"/>
                <w:sz w:val="18"/>
                <w:szCs w:val="18"/>
                <w:color w:val="auto"/>
              </w:rPr>
              <w:t>February 4, 2022</w:t>
            </w: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rPr>
              <w:t>By:  /s/ Robert V. Vitale</w:t>
            </w:r>
          </w:p>
        </w:tc>
      </w:tr>
      <w:tr>
        <w:trPr>
          <w:trHeight w:val="222"/>
        </w:trPr>
        <w:tc>
          <w:tcPr>
            <w:tcW w:w="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Chief Executive Chairman</w:t>
            </w:r>
          </w:p>
        </w:tc>
      </w:tr>
    </w:tbl>
    <w:p>
      <w:pPr>
        <w:sectPr>
          <w:pgSz w:w="11900" w:h="16838" w:orient="portrait"/>
          <w:cols w:equalWidth="0" w:num="1">
            <w:col w:w="11240"/>
          </w:cols>
          <w:pgMar w:left="320" w:top="891"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Darcy H. Davenport, certify that:</w:t>
      </w:r>
    </w:p>
    <w:p>
      <w:pPr>
        <w:spacing w:after="0" w:line="25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180"/>
              <w:spacing w:after="0"/>
              <w:rPr>
                <w:sz w:val="20"/>
                <w:szCs w:val="20"/>
                <w:color w:val="auto"/>
              </w:rPr>
            </w:pPr>
            <w:r>
              <w:rPr>
                <w:rFonts w:ascii="Arial" w:cs="Arial" w:eastAsia="Arial" w:hAnsi="Arial"/>
                <w:sz w:val="18"/>
                <w:szCs w:val="18"/>
                <w:color w:val="auto"/>
              </w:rPr>
              <w:t>February 4, 2022</w:t>
            </w: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rPr>
              <w:t>By:  /s/ Darcy H. Davenport</w:t>
            </w:r>
          </w:p>
        </w:tc>
      </w:tr>
      <w:tr>
        <w:trPr>
          <w:trHeight w:val="222"/>
        </w:trPr>
        <w:tc>
          <w:tcPr>
            <w:tcW w:w="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31.3</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Paul A. Rode, certify that:</w:t>
      </w:r>
    </w:p>
    <w:p>
      <w:pPr>
        <w:spacing w:after="0" w:line="252"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BellRing Brands, Inc.;</w:t>
      </w:r>
    </w:p>
    <w:p>
      <w:pPr>
        <w:spacing w:after="0" w:line="157" w:lineRule="exact"/>
        <w:rPr>
          <w:rFonts w:ascii="Arial" w:cs="Arial" w:eastAsia="Arial" w:hAnsi="Arial"/>
          <w:sz w:val="18"/>
          <w:szCs w:val="18"/>
          <w:color w:val="auto"/>
        </w:rPr>
      </w:pPr>
    </w:p>
    <w:p>
      <w:pPr>
        <w:ind w:left="340" w:right="90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340" w:right="1200" w:hanging="332"/>
        <w:spacing w:after="0" w:line="342"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6" w:lineRule="exact"/>
        <w:rPr>
          <w:rFonts w:ascii="Arial" w:cs="Arial" w:eastAsia="Arial" w:hAnsi="Arial"/>
          <w:sz w:val="16"/>
          <w:szCs w:val="16"/>
          <w:color w:val="auto"/>
        </w:rPr>
      </w:pPr>
    </w:p>
    <w:p>
      <w:pPr>
        <w:ind w:left="340" w:right="1080" w:hanging="332"/>
        <w:spacing w:after="0" w:line="291"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43" w:lineRule="exact"/>
        <w:rPr>
          <w:rFonts w:ascii="Arial" w:cs="Arial" w:eastAsia="Arial" w:hAnsi="Arial"/>
          <w:sz w:val="16"/>
          <w:szCs w:val="16"/>
          <w:color w:val="auto"/>
        </w:rPr>
      </w:pPr>
    </w:p>
    <w:p>
      <w:pPr>
        <w:ind w:left="980" w:right="880" w:hanging="324"/>
        <w:spacing w:after="0" w:line="286" w:lineRule="auto"/>
        <w:tabs>
          <w:tab w:leader="none" w:pos="9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ind w:left="980" w:right="118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7" w:lineRule="exact"/>
        <w:rPr>
          <w:rFonts w:ascii="Arial" w:cs="Arial" w:eastAsia="Arial" w:hAnsi="Arial"/>
          <w:sz w:val="17"/>
          <w:szCs w:val="17"/>
          <w:color w:val="auto"/>
        </w:rPr>
      </w:pPr>
    </w:p>
    <w:p>
      <w:pPr>
        <w:ind w:left="980" w:right="840" w:hanging="324"/>
        <w:spacing w:after="0" w:line="263" w:lineRule="auto"/>
        <w:tabs>
          <w:tab w:leader="none" w:pos="97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920" w:hanging="324"/>
        <w:spacing w:after="0" w:line="286" w:lineRule="auto"/>
        <w:tabs>
          <w:tab w:leader="none" w:pos="98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340" w:right="112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80" w:right="780" w:hanging="324"/>
        <w:spacing w:after="0" w:line="342" w:lineRule="auto"/>
        <w:tabs>
          <w:tab w:leader="none" w:pos="97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980" w:right="1060" w:hanging="32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2700" w:type="dxa"/>
            <w:vAlign w:val="bottom"/>
          </w:tcPr>
          <w:p>
            <w:pPr>
              <w:ind w:left="180"/>
              <w:spacing w:after="0"/>
              <w:rPr>
                <w:sz w:val="20"/>
                <w:szCs w:val="20"/>
                <w:color w:val="auto"/>
              </w:rPr>
            </w:pPr>
            <w:r>
              <w:rPr>
                <w:rFonts w:ascii="Arial" w:cs="Arial" w:eastAsia="Arial" w:hAnsi="Arial"/>
                <w:sz w:val="18"/>
                <w:szCs w:val="18"/>
                <w:color w:val="auto"/>
              </w:rPr>
              <w:t>February 4, 2022</w:t>
            </w:r>
          </w:p>
        </w:tc>
        <w:tc>
          <w:tcPr>
            <w:tcW w:w="4960" w:type="dxa"/>
            <w:vAlign w:val="bottom"/>
            <w:gridSpan w:val="2"/>
          </w:tcPr>
          <w:p>
            <w:pPr>
              <w:ind w:left="1280"/>
              <w:spacing w:after="0"/>
              <w:rPr>
                <w:sz w:val="20"/>
                <w:szCs w:val="20"/>
                <w:color w:val="auto"/>
              </w:rPr>
            </w:pPr>
            <w:r>
              <w:rPr>
                <w:rFonts w:ascii="Arial" w:cs="Arial" w:eastAsia="Arial" w:hAnsi="Arial"/>
                <w:sz w:val="18"/>
                <w:szCs w:val="18"/>
                <w:color w:val="auto"/>
              </w:rPr>
              <w:t>By:  /s/ Paul A. Rode</w:t>
            </w:r>
          </w:p>
        </w:tc>
      </w:tr>
      <w:tr>
        <w:trPr>
          <w:trHeight w:val="222"/>
        </w:trPr>
        <w:tc>
          <w:tcPr>
            <w:tcW w:w="5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the Chief Executive of BellRing Brands, Inc. (the “Company”), hereby certifies that, to his knowledge on the date hereof:</w:t>
      </w:r>
    </w:p>
    <w:p>
      <w:pPr>
        <w:spacing w:after="0" w:line="252" w:lineRule="exact"/>
        <w:rPr>
          <w:sz w:val="20"/>
          <w:szCs w:val="20"/>
          <w:color w:val="auto"/>
        </w:rPr>
      </w:pPr>
    </w:p>
    <w:p>
      <w:pPr>
        <w:ind w:left="660" w:right="920" w:hanging="652"/>
        <w:spacing w:after="0" w:line="263" w:lineRule="auto"/>
        <w:tabs>
          <w:tab w:leader="none" w:pos="3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1500" w:hanging="652"/>
        <w:spacing w:after="0" w:line="277" w:lineRule="auto"/>
        <w:tabs>
          <w:tab w:leader="none" w:pos="4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180"/>
              <w:spacing w:after="0"/>
              <w:rPr>
                <w:sz w:val="20"/>
                <w:szCs w:val="20"/>
                <w:color w:val="auto"/>
              </w:rPr>
            </w:pPr>
            <w:r>
              <w:rPr>
                <w:rFonts w:ascii="Arial" w:cs="Arial" w:eastAsia="Arial" w:hAnsi="Arial"/>
                <w:sz w:val="18"/>
                <w:szCs w:val="18"/>
                <w:color w:val="auto"/>
              </w:rPr>
              <w:t>February 4, 2022</w:t>
            </w:r>
          </w:p>
        </w:tc>
        <w:tc>
          <w:tcPr>
            <w:tcW w:w="4980" w:type="dxa"/>
            <w:vAlign w:val="bottom"/>
            <w:gridSpan w:val="2"/>
          </w:tcPr>
          <w:p>
            <w:pPr>
              <w:ind w:left="1220"/>
              <w:spacing w:after="0"/>
              <w:rPr>
                <w:sz w:val="20"/>
                <w:szCs w:val="20"/>
                <w:color w:val="auto"/>
              </w:rPr>
            </w:pPr>
            <w:r>
              <w:rPr>
                <w:rFonts w:ascii="Arial" w:cs="Arial" w:eastAsia="Arial" w:hAnsi="Arial"/>
                <w:sz w:val="18"/>
                <w:szCs w:val="18"/>
                <w:color w:val="auto"/>
              </w:rPr>
              <w:t>By:  /s/ Robert V. Vitale</w:t>
            </w:r>
          </w:p>
        </w:tc>
      </w:tr>
      <w:tr>
        <w:trPr>
          <w:trHeight w:val="222"/>
        </w:trPr>
        <w:tc>
          <w:tcPr>
            <w:tcW w:w="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V. Vitale</w:t>
            </w:r>
          </w:p>
        </w:tc>
      </w:tr>
      <w:tr>
        <w:trPr>
          <w:trHeight w:val="230"/>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Chief Executive Chairman</w:t>
            </w:r>
          </w:p>
        </w:tc>
      </w:tr>
    </w:tbl>
    <w:p>
      <w:pPr>
        <w:spacing w:after="0" w:line="32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0" w:name="page31"/>
    <w:bookmarkEnd w:id="30"/>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undersigned, the President and Chief Executive Officer of BellRing Brands, Inc. (the “Company”), hereby certifies that, to her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180"/>
              <w:spacing w:after="0"/>
              <w:rPr>
                <w:sz w:val="20"/>
                <w:szCs w:val="20"/>
                <w:color w:val="auto"/>
              </w:rPr>
            </w:pPr>
            <w:r>
              <w:rPr>
                <w:rFonts w:ascii="Arial" w:cs="Arial" w:eastAsia="Arial" w:hAnsi="Arial"/>
                <w:sz w:val="18"/>
                <w:szCs w:val="18"/>
                <w:color w:val="auto"/>
              </w:rPr>
              <w:t>February 4, 2022</w:t>
            </w:r>
          </w:p>
        </w:tc>
        <w:tc>
          <w:tcPr>
            <w:tcW w:w="4980" w:type="dxa"/>
            <w:vAlign w:val="bottom"/>
            <w:gridSpan w:val="2"/>
          </w:tcPr>
          <w:p>
            <w:pPr>
              <w:ind w:left="1220"/>
              <w:spacing w:after="0"/>
              <w:rPr>
                <w:sz w:val="20"/>
                <w:szCs w:val="20"/>
                <w:color w:val="auto"/>
              </w:rPr>
            </w:pPr>
            <w:r>
              <w:rPr>
                <w:rFonts w:ascii="Arial" w:cs="Arial" w:eastAsia="Arial" w:hAnsi="Arial"/>
                <w:sz w:val="18"/>
                <w:szCs w:val="18"/>
                <w:color w:val="auto"/>
              </w:rPr>
              <w:t>By:  /s/ Darcy H. Davenport</w:t>
            </w:r>
          </w:p>
        </w:tc>
      </w:tr>
      <w:tr>
        <w:trPr>
          <w:trHeight w:val="222"/>
        </w:trPr>
        <w:tc>
          <w:tcPr>
            <w:tcW w:w="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Darcy H. Davenport</w:t>
            </w:r>
          </w:p>
        </w:tc>
      </w:tr>
      <w:tr>
        <w:trPr>
          <w:trHeight w:val="230"/>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p>
      <w:pPr>
        <w:sectPr>
          <w:pgSz w:w="11900" w:h="16838" w:orient="portrait"/>
          <w:cols w:equalWidth="0" w:num="1">
            <w:col w:w="10460"/>
          </w:cols>
          <w:pgMar w:left="320" w:top="1440" w:right="1119" w:bottom="1440" w:gutter="0" w:footer="0" w:header="0"/>
        </w:sectPr>
      </w:pPr>
    </w:p>
    <w:bookmarkStart w:id="31" w:name="page32"/>
    <w:bookmarkEnd w:id="31"/>
    <w:p>
      <w:pPr>
        <w:spacing w:after="0" w:line="184" w:lineRule="exact"/>
        <w:rPr>
          <w:sz w:val="20"/>
          <w:szCs w:val="20"/>
          <w:color w:val="auto"/>
        </w:rPr>
      </w:pPr>
    </w:p>
    <w:p>
      <w:pPr>
        <w:jc w:val="center"/>
        <w:ind w:right="-779"/>
        <w:spacing w:after="0"/>
        <w:rPr>
          <w:sz w:val="20"/>
          <w:szCs w:val="20"/>
          <w:color w:val="auto"/>
        </w:rPr>
      </w:pPr>
      <w:r>
        <w:rPr>
          <w:rFonts w:ascii="Arial" w:cs="Arial" w:eastAsia="Arial" w:hAnsi="Arial"/>
          <w:sz w:val="18"/>
          <w:szCs w:val="18"/>
          <w:u w:val="single" w:color="auto"/>
          <w:color w:val="auto"/>
        </w:rPr>
        <w:t>Certification Pursuant to</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18 U.S.C. Section 1350, as adopted pursuant to</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u w:val="single" w:color="auto"/>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undersigned, the Chief Financial Officer of BellRing Brands, Inc. (the “Company”), hereby certifies that, to his knowledge on the date hereof:</w:t>
      </w:r>
    </w:p>
    <w:p>
      <w:pPr>
        <w:spacing w:after="0" w:line="197" w:lineRule="exact"/>
        <w:rPr>
          <w:sz w:val="20"/>
          <w:szCs w:val="20"/>
          <w:color w:val="auto"/>
        </w:rPr>
      </w:pPr>
    </w:p>
    <w:p>
      <w:pPr>
        <w:ind w:left="660" w:right="140" w:hanging="652"/>
        <w:spacing w:after="0" w:line="263" w:lineRule="auto"/>
        <w:tabs>
          <w:tab w:leader="none" w:pos="39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report on Form 10-Q for the period ended December 31, 2021, filed on the date hereof with the Securities and Exchange Commission (the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660" w:right="720" w:hanging="652"/>
        <w:spacing w:after="0" w:line="277" w:lineRule="auto"/>
        <w:tabs>
          <w:tab w:leader="none" w:pos="40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contained in the Report fairly presents, in all material respects, the financial condition and results of operations of the Company.</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180"/>
              <w:spacing w:after="0"/>
              <w:rPr>
                <w:sz w:val="20"/>
                <w:szCs w:val="20"/>
                <w:color w:val="auto"/>
              </w:rPr>
            </w:pPr>
            <w:r>
              <w:rPr>
                <w:rFonts w:ascii="Arial" w:cs="Arial" w:eastAsia="Arial" w:hAnsi="Arial"/>
                <w:sz w:val="18"/>
                <w:szCs w:val="18"/>
                <w:color w:val="auto"/>
              </w:rPr>
              <w:t>February 4, 2022</w:t>
            </w:r>
          </w:p>
        </w:tc>
        <w:tc>
          <w:tcPr>
            <w:tcW w:w="4980" w:type="dxa"/>
            <w:vAlign w:val="bottom"/>
            <w:gridSpan w:val="2"/>
          </w:tcPr>
          <w:p>
            <w:pPr>
              <w:ind w:left="1220"/>
              <w:spacing w:after="0"/>
              <w:rPr>
                <w:sz w:val="20"/>
                <w:szCs w:val="20"/>
                <w:color w:val="auto"/>
              </w:rPr>
            </w:pPr>
            <w:r>
              <w:rPr>
                <w:rFonts w:ascii="Arial" w:cs="Arial" w:eastAsia="Arial" w:hAnsi="Arial"/>
                <w:sz w:val="18"/>
                <w:szCs w:val="18"/>
                <w:color w:val="auto"/>
              </w:rPr>
              <w:t>By:  /s/ Paul A. Rode</w:t>
            </w:r>
          </w:p>
        </w:tc>
      </w:tr>
      <w:tr>
        <w:trPr>
          <w:trHeight w:val="222"/>
        </w:trPr>
        <w:tc>
          <w:tcPr>
            <w:tcW w:w="5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Paul A. Rode</w:t>
            </w:r>
          </w:p>
        </w:tc>
      </w:tr>
      <w:tr>
        <w:trPr>
          <w:trHeight w:val="230"/>
        </w:trPr>
        <w:tc>
          <w:tcPr>
            <w:tcW w:w="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32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BellRing Brands, Inc. and will be retained by BellRing Brands, Inc. and furnished to the Securities and Exchange Commission or its staff upon request.</w:t>
      </w:r>
    </w:p>
    <w:sectPr>
      <w:pgSz w:w="11900" w:h="16838" w:orient="portrait"/>
      <w:cols w:equalWidth="0" w:num="1">
        <w:col w:w="10460"/>
      </w:cols>
      <w:pgMar w:left="320" w:top="1440"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2"/>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decimal"/>
      <w:start w:val="101"/>
    </w:lvl>
  </w:abstractNum>
  <w:abstractNum w:abstractNumId="8">
    <w:nsid w:val="66EF438D"/>
    <w:multiLevelType w:val="hybridMultilevel"/>
    <w:lvl w:ilvl="0">
      <w:lvlJc w:val="left"/>
      <w:lvlText w:val="*"/>
      <w:numFmt w:val="bullet"/>
      <w:start w:val="1"/>
    </w:lvl>
    <w:lvl w:ilvl="1">
      <w:lvlJc w:val="left"/>
      <w:lvlText w:val="%2"/>
      <w:numFmt w:val="decimal"/>
      <w:start w:val="104"/>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0" Type="http://schemas.openxmlformats.org/officeDocument/2006/relationships/hyperlink" Target="http://www.sec.gov/Archives/edgar/data/1772016/000119312521308736/d232418dex21.htm" TargetMode="External"/><Relationship Id="rId41" Type="http://schemas.openxmlformats.org/officeDocument/2006/relationships/hyperlink" Target="http://www.sec.gov/Archives/edgar/data/1772016/000119312519270862/d812149dex31.htm" TargetMode="External"/><Relationship Id="rId42" Type="http://schemas.openxmlformats.org/officeDocument/2006/relationships/hyperlink" Target="http://www.sec.gov/Archives/edgar/data/1772016/000119312521359836/d243174dex31.htm" TargetMode="External"/><Relationship Id="rId43" Type="http://schemas.openxmlformats.org/officeDocument/2006/relationships/hyperlink" Target="http://www.sec.gov/Archives/edgar/data/1772016/000119312519250692/d72752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2022-02-04T12:30:50Z</dcterms:created>
  <dcterms:modified xsi:type="dcterms:W3CDTF">2022-02-04T12:30:50Z</dcterms:modified>
</cp:coreProperties>
</file>