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7048500"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24319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ERICKSON THOMAS P</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BELLRING BRANDS,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BELLRING BRANDS,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BRBR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03/10/2022</w:t>
      </w:r>
    </w:p>
    <w:p>
      <w:pPr>
        <w:spacing w:after="0" w:line="20" w:lineRule="exact"/>
        <w:rPr>
          <w:sz w:val="24"/>
          <w:szCs w:val="24"/>
          <w:color w:val="auto"/>
        </w:rPr>
      </w:pPr>
      <w:r>
        <w:rPr>
          <w:sz w:val="24"/>
          <w:szCs w:val="24"/>
          <w:color w:val="auto"/>
        </w:rPr>
        <w:br w:type="column"/>
      </w:r>
    </w:p>
    <w:p>
      <w:pPr>
        <w:ind w:left="-3" w:right="720" w:firstLine="3"/>
        <w:spacing w:after="0" w:line="270"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7"/>
        <w:spacing w:after="0"/>
        <w:tabs>
          <w:tab w:leader="none" w:pos="496" w:val="left"/>
          <w:tab w:leader="none" w:pos="2076"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50"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300" w:type="dxa"/>
            <w:vAlign w:val="bottom"/>
            <w:gridSpan w:val="7"/>
          </w:tcPr>
          <w:p>
            <w:pPr>
              <w:jc w:val="center"/>
              <w:ind w:left="78"/>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3"/>
                <w:szCs w:val="13"/>
                <w:color w:val="auto"/>
              </w:rPr>
            </w:pP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720" w:type="dxa"/>
            <w:vAlign w:val="bottom"/>
            <w:gridSpan w:val="9"/>
            <w:vMerge w:val="restart"/>
          </w:tcPr>
          <w:p>
            <w:pPr>
              <w:ind w:left="5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ST. LOUIS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MO</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63144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jc w:val="center"/>
              <w:ind w:left="6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4"/>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0"/>
                <w:szCs w:val="10"/>
                <w:color w:val="auto"/>
              </w:rPr>
            </w:pPr>
          </w:p>
        </w:tc>
        <w:tc>
          <w:tcPr>
            <w:tcW w:w="3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88"/>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6"/>
                <w:szCs w:val="16"/>
                <w:color w:val="0000FF"/>
              </w:rPr>
              <w:t>03/10/2022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tcBorders>
              <w:bottom w:val="single" w:sz="8" w:color="2C2C2C"/>
            </w:tcBorders>
            <w:gridSpan w:val="2"/>
          </w:tcPr>
          <w:p>
            <w:pPr>
              <w:jc w:val="right"/>
              <w:ind w:right="82"/>
              <w:spacing w:after="0"/>
              <w:rPr>
                <w:sz w:val="20"/>
                <w:szCs w:val="20"/>
                <w:color w:val="auto"/>
              </w:rPr>
            </w:pPr>
            <w:r>
              <w:rPr>
                <w:rFonts w:ascii="Times New Roman" w:cs="Times New Roman" w:eastAsia="Times New Roman" w:hAnsi="Times New Roman"/>
                <w:sz w:val="16"/>
                <w:szCs w:val="16"/>
                <w:color w:val="0000FF"/>
              </w:rPr>
              <w:t>13,740</w:t>
            </w:r>
            <w:r>
              <w:rPr>
                <w:rFonts w:ascii="Times New Roman" w:cs="Times New Roman" w:eastAsia="Times New Roman" w:hAnsi="Times New Roman"/>
                <w:sz w:val="20"/>
                <w:szCs w:val="20"/>
                <w:color w:val="008000"/>
                <w:vertAlign w:val="superscript"/>
              </w:rPr>
              <w:t>(1)(2)</w:t>
            </w:r>
          </w:p>
        </w:tc>
        <w:tc>
          <w:tcPr>
            <w:tcW w:w="3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rPr>
              <w:t>13,740</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2"/>
              <w:spacing w:after="0" w:line="125"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BellRing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Brands,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Inc.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40" w:type="dxa"/>
            <w:vAlign w:val="bottom"/>
          </w:tcPr>
          <w:p>
            <w:pPr>
              <w:spacing w:after="0"/>
              <w:rPr>
                <w:sz w:val="11"/>
                <w:szCs w:val="11"/>
                <w:color w:val="auto"/>
              </w:rPr>
            </w:pP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03/10/2022</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2"/>
                <w:szCs w:val="12"/>
                <w:color w:val="0000FF"/>
              </w:rPr>
              <w:t>7,521.29</w:t>
            </w:r>
          </w:p>
        </w:tc>
        <w:tc>
          <w:tcPr>
            <w:tcW w:w="280" w:type="dxa"/>
            <w:vAlign w:val="bottom"/>
          </w:tcPr>
          <w:p>
            <w:pPr>
              <w:spacing w:after="0"/>
              <w:rPr>
                <w:sz w:val="11"/>
                <w:szCs w:val="11"/>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right"/>
              <w:ind w:right="36"/>
              <w:spacing w:after="0"/>
              <w:rPr>
                <w:sz w:val="20"/>
                <w:szCs w:val="20"/>
                <w:color w:val="auto"/>
              </w:rPr>
            </w:pPr>
            <w:r>
              <w:rPr>
                <w:rFonts w:ascii="Times New Roman" w:cs="Times New Roman" w:eastAsia="Times New Roman" w:hAnsi="Times New Roman"/>
                <w:sz w:val="16"/>
                <w:szCs w:val="16"/>
                <w:color w:val="0000FF"/>
              </w:rPr>
              <w:t>7,521.29</w:t>
            </w:r>
          </w:p>
        </w:tc>
        <w:tc>
          <w:tcPr>
            <w:tcW w:w="40" w:type="dxa"/>
            <w:vAlign w:val="bottom"/>
          </w:tcPr>
          <w:p>
            <w:pPr>
              <w:spacing w:after="0"/>
              <w:rPr>
                <w:sz w:val="11"/>
                <w:szCs w:val="11"/>
                <w:color w:val="auto"/>
              </w:rPr>
            </w:pPr>
          </w:p>
        </w:tc>
        <w:tc>
          <w:tcPr>
            <w:tcW w:w="68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right="64"/>
              <w:spacing w:after="0"/>
              <w:rPr>
                <w:sz w:val="20"/>
                <w:szCs w:val="20"/>
                <w:color w:val="auto"/>
              </w:rPr>
            </w:pPr>
            <w:r>
              <w:rPr>
                <w:rFonts w:ascii="Times New Roman" w:cs="Times New Roman" w:eastAsia="Times New Roman" w:hAnsi="Times New Roman"/>
                <w:sz w:val="12"/>
                <w:szCs w:val="12"/>
                <w:color w:val="0000FF"/>
              </w:rPr>
              <w:t>7,521.29</w:t>
            </w:r>
            <w:r>
              <w:rPr>
                <w:rFonts w:ascii="Times New Roman" w:cs="Times New Roman" w:eastAsia="Times New Roman" w:hAnsi="Times New Roman"/>
                <w:sz w:val="20"/>
                <w:szCs w:val="20"/>
                <w:color w:val="008000"/>
                <w:vertAlign w:val="superscript"/>
              </w:rPr>
              <w:t>(3)</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Equivalents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BellRing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Brands,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Inc.</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40" w:type="dxa"/>
            <w:vAlign w:val="bottom"/>
          </w:tcPr>
          <w:p>
            <w:pPr>
              <w:spacing w:after="0"/>
              <w:rPr>
                <w:sz w:val="17"/>
                <w:szCs w:val="17"/>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04/01/2022</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0000FF"/>
              </w:rPr>
              <w:t>1,227.614</w:t>
            </w:r>
          </w:p>
        </w:tc>
        <w:tc>
          <w:tcPr>
            <w:tcW w:w="28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1,227.614</w:t>
            </w:r>
          </w:p>
        </w:tc>
        <w:tc>
          <w:tcPr>
            <w:tcW w:w="40" w:type="dxa"/>
            <w:vAlign w:val="bottom"/>
          </w:tcPr>
          <w:p>
            <w:pPr>
              <w:spacing w:after="0"/>
              <w:rPr>
                <w:sz w:val="17"/>
                <w:szCs w:val="17"/>
                <w:color w:val="auto"/>
              </w:rPr>
            </w:pPr>
          </w:p>
        </w:tc>
        <w:tc>
          <w:tcPr>
            <w:tcW w:w="680" w:type="dxa"/>
            <w:vAlign w:val="bottom"/>
          </w:tcPr>
          <w:p>
            <w:pPr>
              <w:jc w:val="center"/>
              <w:ind w:right="14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23.08</w:t>
            </w:r>
          </w:p>
        </w:tc>
        <w:tc>
          <w:tcPr>
            <w:tcW w:w="820" w:type="dxa"/>
            <w:vAlign w:val="bottom"/>
            <w:gridSpan w:val="2"/>
          </w:tcPr>
          <w:p>
            <w:pPr>
              <w:jc w:val="right"/>
              <w:ind w:right="124"/>
              <w:spacing w:after="0"/>
              <w:rPr>
                <w:sz w:val="20"/>
                <w:szCs w:val="20"/>
                <w:color w:val="auto"/>
              </w:rPr>
            </w:pPr>
            <w:r>
              <w:rPr>
                <w:rFonts w:ascii="Times New Roman" w:cs="Times New Roman" w:eastAsia="Times New Roman" w:hAnsi="Times New Roman"/>
                <w:sz w:val="12"/>
                <w:szCs w:val="12"/>
                <w:color w:val="0000FF"/>
              </w:rPr>
              <w:t>8,748.904</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gridSpan w:val="2"/>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38" w:lineRule="auto"/>
        <w:rPr>
          <w:sz w:val="20"/>
          <w:szCs w:val="20"/>
          <w:color w:val="auto"/>
        </w:rPr>
      </w:pPr>
      <w:r>
        <w:rPr>
          <w:rFonts w:ascii="Times New Roman" w:cs="Times New Roman" w:eastAsia="Times New Roman" w:hAnsi="Times New Roman"/>
          <w:sz w:val="12"/>
          <w:szCs w:val="12"/>
          <w:color w:val="0000FF"/>
        </w:rPr>
        <w:t>Stock</w:t>
      </w:r>
    </w:p>
    <w:p>
      <w:pPr>
        <w:ind w:left="80"/>
        <w:spacing w:after="0"/>
        <w:rPr>
          <w:sz w:val="20"/>
          <w:szCs w:val="20"/>
          <w:color w:val="auto"/>
        </w:rPr>
      </w:pPr>
      <w:r>
        <w:rPr>
          <w:rFonts w:ascii="Times New Roman" w:cs="Times New Roman" w:eastAsia="Times New Roman" w:hAnsi="Times New Roman"/>
          <w:sz w:val="12"/>
          <w:szCs w:val="12"/>
          <w:color w:val="0000FF"/>
        </w:rPr>
        <w:t>Equivalents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240" w:hanging="3"/>
        <w:spacing w:after="0" w:line="254"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acquired 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Such securities were originally included on the Form 3 filed by the Reporting Person on March 10, 2022.</w:t>
      </w:r>
    </w:p>
    <w:p>
      <w:pPr>
        <w:spacing w:after="0" w:line="159" w:lineRule="exact"/>
        <w:rPr>
          <w:rFonts w:ascii="Times New Roman" w:cs="Times New Roman" w:eastAsia="Times New Roman" w:hAnsi="Times New Roman"/>
          <w:sz w:val="12"/>
          <w:szCs w:val="12"/>
          <w:color w:val="008000"/>
        </w:rPr>
      </w:pPr>
    </w:p>
    <w:p>
      <w:pPr>
        <w:ind w:left="40" w:right="5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unvested restricted stock units ("RSUs"), which awards continue to be subject to the same terms and conditions of the Old BellRing awards. In connection with the Transactions, unvested RSUs of Old BellRing were assumed by Issuer and continue to be subject to the same terms and conditions of the Old BellRing awards.</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Such equity awards may be adjusted to account for the Cash Consideration paid to holders of Old Bell Ring common stock in the Transactions.</w:t>
      </w:r>
    </w:p>
    <w:p>
      <w:pPr>
        <w:spacing w:after="0" w:line="48" w:lineRule="exact"/>
        <w:rPr>
          <w:rFonts w:ascii="Times New Roman" w:cs="Times New Roman" w:eastAsia="Times New Roman" w:hAnsi="Times New Roman"/>
          <w:sz w:val="12"/>
          <w:szCs w:val="12"/>
          <w:color w:val="008000"/>
        </w:rPr>
      </w:pPr>
    </w:p>
    <w:p>
      <w:pPr>
        <w:jc w:val="both"/>
        <w:ind w:left="40" w:right="46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Person's retainer earned as a Director of Issuer is deferred into Issuer Common Stock equivalents under the Issuer's Deferred Compensation Plan for Directors. Reporting Person is credited with stock equivalents on a quarterly basis as soon as administratively practical following the quarter in which such retainer is earned. The value of these stock equivalents is distributed (on a one-for-one basis) in the form of Issuer Common Stock upon Reporting Person's retirement from the Board of Directors.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equivalents have no fixed exercisable or expiration dates.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6"/>
          <w:szCs w:val="16"/>
          <w:color w:val="0000FF"/>
        </w:rPr>
        <w:t xml:space="preserve">/s/ Craig L. Rosenthal, Attorney- </w:t>
      </w:r>
      <w:r>
        <w:rPr>
          <w:rFonts w:ascii="Times New Roman" w:cs="Times New Roman" w:eastAsia="Times New Roman" w:hAnsi="Times New Roman"/>
          <w:sz w:val="32"/>
          <w:szCs w:val="32"/>
          <w:color w:val="0000FF"/>
          <w:vertAlign w:val="subscript"/>
        </w:rPr>
        <w:t>04/05/2022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25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2908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0535"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2022-04-05T16:32:52Z</dcterms:created>
  <dcterms:modified xsi:type="dcterms:W3CDTF">2022-04-05T16:32:52Z</dcterms:modified>
</cp:coreProperties>
</file>