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333-266656</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8, 2022)</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4,597,339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100965</wp:posOffset>
            </wp:positionV>
            <wp:extent cx="13804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1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8" w:lineRule="exact"/>
        <w:rPr>
          <w:sz w:val="24"/>
          <w:szCs w:val="24"/>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 identified in this prospectus supplement is offering 4,597,339 shares of our common stock. We registered such shares and are offering such shares pursuant to the terms of a registration rights agreement between us and Post Holdings, Inc. (“Post”).</w:t>
      </w:r>
    </w:p>
    <w:p>
      <w:pPr>
        <w:spacing w:after="0" w:line="54" w:lineRule="exact"/>
        <w:rPr>
          <w:sz w:val="24"/>
          <w:szCs w:val="24"/>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4,597,339 shares of our common stock that are being offered and sold in this offering are currently held by Post. In connection with this offering, Post expects to exchange 4,597,339 shares of our common stock for $99,854,203 in aggregate principal amount of outstanding indebtedness of Post held by the selling stockholder (or one of its affiliates) identified in this prospectus supplement pursuant to a debt-for-equity exchange agreement to be dated on or about the date of this prospectus supplement. We refer to this exchange between Post and the selling stockholder as the “debt-for-equity exchange.” The selling stockholder then expects to sell those shares of common stock to the underwriters for cash. The selling stockholder is also acting as an underwriter in this offering. The debt-for-equity exchange between Post and the selling stockholder is expected to occur on or before the settlement date of this offering, and the consummation of the debt-for-equity exchange is a condition to the settlement of the selling stockholder’s sale of the shares to the underwriters. As a result, the consummation of the debt-for-equity exchange is also ultimately a condition to the settlement of the underwriters’ sale of the shares to prospective investors. The selling stockholder will receive all of the net proceeds from the sale of the shares of our common stock offered pursuant to this prospectus supplement. Neither we nor Post will receive any proceeds from the sale of shares in this offering. As a result of the debt-for-equity exchange, Post may be deemed to be a selling stockholder in this offering solely for U.S. federal securities law purposes.</w:t>
      </w:r>
    </w:p>
    <w:p>
      <w:pPr>
        <w:spacing w:after="0" w:line="84" w:lineRule="exact"/>
        <w:rPr>
          <w:sz w:val="24"/>
          <w:szCs w:val="24"/>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 repurchase from the underwriters 925,000 shares out of the aggregate 4,597,339 shares of our common stock that are the subject of the offering (the “Concurrent Share Repurchase”). The price per share to be paid by us will equal the price at which the underwriters will purchase the shares from the selling stockholder in the offering. No underwriting discount or commissions will be paid to the underwriters with respect to the shares we intend to repurchase in the Concurrent Share Repurchase.</w:t>
      </w:r>
    </w:p>
    <w:p>
      <w:pPr>
        <w:spacing w:after="0" w:line="72" w:lineRule="exact"/>
        <w:rPr>
          <w:sz w:val="24"/>
          <w:szCs w:val="24"/>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ticker symbol “BRBR”. On November 21, 2022, the closing sales price of our common stock as reported on the NYSE was $23.24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Investing in shares of our common stock involves significant risks. See “</w:t>
      </w:r>
      <w:r>
        <w:rPr>
          <w:rFonts w:ascii="Times New Roman" w:cs="Times New Roman" w:eastAsia="Times New Roman" w:hAnsi="Times New Roman"/>
          <w:sz w:val="19"/>
          <w:szCs w:val="19"/>
          <w:b w:val="1"/>
          <w:bCs w:val="1"/>
          <w:i w:val="1"/>
          <w:iCs w:val="1"/>
          <w:u w:val="single" w:color="auto"/>
          <w:color w:val="0000EE"/>
        </w:rPr>
        <w:t>Risk Factors</w:t>
      </w:r>
      <w:r>
        <w:rPr>
          <w:rFonts w:ascii="Times New Roman" w:cs="Times New Roman" w:eastAsia="Times New Roman" w:hAnsi="Times New Roman"/>
          <w:sz w:val="19"/>
          <w:szCs w:val="19"/>
          <w:b w:val="1"/>
          <w:bCs w:val="1"/>
          <w:i w:val="1"/>
          <w:iCs w:val="1"/>
          <w:color w:val="auto"/>
        </w:rPr>
        <w:t>” beginning on page S-9 of this prospectus supplement and in the reports we file with the United States (the “U.S.”) Securities and Exchange Commission (the “SEC”), pursuant to the Securities Exchange Act of 1934, as amended (the “Exchange Act”), incorporated by reference in this prospectus supplement or the accompanying prospectus, to read about factors you should consider before buying shares of our common stock.</w:t>
      </w:r>
    </w:p>
    <w:p>
      <w:pPr>
        <w:spacing w:after="0" w:line="55" w:lineRule="exact"/>
        <w:rPr>
          <w:sz w:val="24"/>
          <w:szCs w:val="24"/>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1" w:lineRule="exact"/>
        <w:rPr>
          <w:sz w:val="24"/>
          <w:szCs w:val="24"/>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underwriters have agreed to purchase the shares of our common stock from the selling stockholder at a price of $21.72 per share, which will result in $99,854,203 of proceeds to the selling stockholder before expenses. The underwriters propose to offer the shares of our common stock from time to time for sale in one or more transactions on the NYSE, in the over-the-counter market, through negotiated transactions or otherwise at market prices prevailing at the time of sale, at prices related to prevailing market prices or at negotiated prices. See “Underwriting (Conflicts of Interest).”</w:t>
      </w:r>
    </w:p>
    <w:p>
      <w:pPr>
        <w:spacing w:after="0" w:line="5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shares of our common stock against payment in New York, New York on or about November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1" w:lineRule="exact"/>
        <w:rPr>
          <w:sz w:val="24"/>
          <w:szCs w:val="24"/>
          <w:color w:val="auto"/>
        </w:rPr>
      </w:pPr>
    </w:p>
    <w:p>
      <w:pPr>
        <w:ind w:left="120"/>
        <w:spacing w:after="0"/>
        <w:tabs>
          <w:tab w:leader="none" w:pos="2360" w:val="left"/>
          <w:tab w:leader="none" w:pos="4100" w:val="left"/>
          <w:tab w:leader="none" w:pos="6540" w:val="left"/>
          <w:tab w:leader="none" w:pos="8560" w:val="left"/>
        </w:tabs>
        <w:rPr>
          <w:sz w:val="20"/>
          <w:szCs w:val="20"/>
          <w:color w:val="auto"/>
        </w:rPr>
      </w:pPr>
      <w:r>
        <w:rPr>
          <w:rFonts w:ascii="Times New Roman" w:cs="Times New Roman" w:eastAsia="Times New Roman" w:hAnsi="Times New Roman"/>
          <w:sz w:val="22"/>
          <w:szCs w:val="22"/>
          <w:b w:val="1"/>
          <w:bCs w:val="1"/>
          <w:color w:val="auto"/>
        </w:rPr>
        <w:t>J.P. Morgan</w:t>
      </w:r>
      <w:r>
        <w:rPr>
          <w:sz w:val="20"/>
          <w:szCs w:val="20"/>
          <w:color w:val="auto"/>
        </w:rPr>
        <w:tab/>
      </w:r>
      <w:r>
        <w:rPr>
          <w:rFonts w:ascii="Times New Roman" w:cs="Times New Roman" w:eastAsia="Times New Roman" w:hAnsi="Times New Roman"/>
          <w:sz w:val="22"/>
          <w:szCs w:val="22"/>
          <w:b w:val="1"/>
          <w:bCs w:val="1"/>
          <w:color w:val="auto"/>
        </w:rPr>
        <w:t>Barclays</w:t>
      </w:r>
      <w:r>
        <w:rPr>
          <w:sz w:val="20"/>
          <w:szCs w:val="20"/>
          <w:color w:val="auto"/>
        </w:rPr>
        <w:tab/>
      </w:r>
      <w:r>
        <w:rPr>
          <w:rFonts w:ascii="Times New Roman" w:cs="Times New Roman" w:eastAsia="Times New Roman" w:hAnsi="Times New Roman"/>
          <w:sz w:val="22"/>
          <w:szCs w:val="22"/>
          <w:b w:val="1"/>
          <w:bCs w:val="1"/>
          <w:color w:val="auto"/>
        </w:rPr>
        <w:t>Morgan Stanley</w:t>
      </w:r>
      <w:r>
        <w:rPr>
          <w:sz w:val="20"/>
          <w:szCs w:val="20"/>
          <w:color w:val="auto"/>
        </w:rPr>
        <w:tab/>
      </w:r>
      <w:r>
        <w:rPr>
          <w:rFonts w:ascii="Times New Roman" w:cs="Times New Roman" w:eastAsia="Times New Roman" w:hAnsi="Times New Roman"/>
          <w:sz w:val="22"/>
          <w:szCs w:val="22"/>
          <w:b w:val="1"/>
          <w:bCs w:val="1"/>
          <w:color w:val="auto"/>
        </w:rPr>
        <w:t>Citigroup</w:t>
      </w:r>
      <w:r>
        <w:rPr>
          <w:sz w:val="20"/>
          <w:szCs w:val="20"/>
          <w:color w:val="auto"/>
        </w:rPr>
        <w:tab/>
      </w:r>
      <w:r>
        <w:rPr>
          <w:rFonts w:ascii="Times New Roman" w:cs="Times New Roman" w:eastAsia="Times New Roman" w:hAnsi="Times New Roman"/>
          <w:sz w:val="21"/>
          <w:szCs w:val="21"/>
          <w:b w:val="1"/>
          <w:bCs w:val="1"/>
          <w:color w:val="auto"/>
        </w:rPr>
        <w:t>Goldman Sachs &amp; Co. LLC</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dated November 21, 2022.</w:t>
      </w:r>
    </w:p>
    <w:p>
      <w:pPr>
        <w:sectPr>
          <w:pgSz w:w="11900" w:h="16838" w:orient="portrait"/>
          <w:cols w:equalWidth="0" w:num="1">
            <w:col w:w="11140"/>
          </w:cols>
          <w:pgMar w:left="32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5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600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1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Basis of Presentation</w:t>
            </w:r>
          </w:p>
        </w:tc>
        <w:tc>
          <w:tcPr>
            <w:tcW w:w="702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Tradenames and Service Marks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Presentation of Certain Financial Measures</w:t>
            </w:r>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r>
      <w:tr>
        <w:trPr>
          <w:trHeight w:val="196"/>
        </w:trPr>
        <w:tc>
          <w:tcPr>
            <w:tcW w:w="120" w:type="dxa"/>
            <w:vAlign w:val="bottom"/>
          </w:tcPr>
          <w:p>
            <w:pPr>
              <w:spacing w:after="0"/>
              <w:rPr>
                <w:sz w:val="17"/>
                <w:szCs w:val="17"/>
                <w:color w:val="auto"/>
              </w:rPr>
            </w:pPr>
          </w:p>
        </w:tc>
        <w:tc>
          <w:tcPr>
            <w:tcW w:w="31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4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1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Consequences to Non-U.S. Holders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S-18</w:t>
            </w:r>
          </w:p>
        </w:tc>
      </w:tr>
      <w:tr>
        <w:trPr>
          <w:trHeight w:val="196"/>
        </w:trPr>
        <w:tc>
          <w:tcPr>
            <w:tcW w:w="120" w:type="dxa"/>
            <w:vAlign w:val="bottom"/>
          </w:tcPr>
          <w:p>
            <w:pPr>
              <w:spacing w:after="0"/>
              <w:rPr>
                <w:sz w:val="17"/>
                <w:szCs w:val="17"/>
                <w:color w:val="auto"/>
              </w:rPr>
            </w:pPr>
          </w:p>
        </w:tc>
        <w:tc>
          <w:tcPr>
            <w:tcW w:w="562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196"/>
        </w:trPr>
        <w:tc>
          <w:tcPr>
            <w:tcW w:w="120" w:type="dxa"/>
            <w:vAlign w:val="bottom"/>
          </w:tcPr>
          <w:p>
            <w:pPr>
              <w:spacing w:after="0"/>
              <w:rPr>
                <w:sz w:val="17"/>
                <w:szCs w:val="17"/>
                <w:color w:val="auto"/>
              </w:rPr>
            </w:pPr>
          </w:p>
        </w:tc>
        <w:tc>
          <w:tcPr>
            <w:tcW w:w="25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9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56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r>
      <w:tr>
        <w:trPr>
          <w:trHeight w:val="669"/>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Explanatory Note</w:t>
            </w:r>
          </w:p>
        </w:tc>
        <w:tc>
          <w:tcPr>
            <w:tcW w:w="7260" w:type="dxa"/>
            <w:vAlign w:val="bottom"/>
            <w:gridSpan w:val="19"/>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12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9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Tradenames and Service Marks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BellRing Brands, Inc.</w:t>
            </w:r>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5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20" w:type="dxa"/>
            <w:vAlign w:val="bottom"/>
            <w:tcBorders>
              <w:top w:val="single" w:sz="8" w:color="0000EE"/>
            </w:tcBorders>
          </w:tcPr>
          <w:p>
            <w:pPr>
              <w:spacing w:after="0"/>
              <w:rPr>
                <w:sz w:val="17"/>
                <w:szCs w:val="17"/>
                <w:color w:val="auto"/>
              </w:rPr>
            </w:pPr>
          </w:p>
        </w:tc>
        <w:tc>
          <w:tcPr>
            <w:tcW w:w="734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Consequences to Non-U.S. Holders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4120" w:type="dxa"/>
            <w:vAlign w:val="bottom"/>
            <w:tcBorders>
              <w:top w:val="single" w:sz="8" w:color="0000EE"/>
            </w:tcBorders>
            <w:gridSpan w:val="15"/>
          </w:tcPr>
          <w:p>
            <w:pPr>
              <w:spacing w:after="0"/>
              <w:rPr>
                <w:sz w:val="17"/>
                <w:szCs w:val="17"/>
                <w:color w:val="auto"/>
              </w:rPr>
            </w:pPr>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0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2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2860" w:type="dxa"/>
            <w:vAlign w:val="bottom"/>
            <w:gridSpan w:val="21"/>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or in any free writing prospectus that we authorize to be delivered to you. We, Post, the selling stockholder and the underwriters (and any of our or their affiliates) have not authorized anyone to provide any information or to make any representations other than those contained, or incorporated by reference, in this prospectus supplement and the accompanying prospectus or in any free writing prospectus we have prepared. We, Post, the selling stockholder and the underwriters (and any of our or their affiliates) take no responsibility for, and can provide no assurance as to the reliability of, any other information that others may provide to you. The selling stockholder and the underwriters are offering to sell, and seeking offers to buy, these securities only in jurisdictions where offers and sales are permitted. You should assume that the information contained, or incorporated by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cash flows and prospects may have changed since that date.</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20"/>
          </w:cols>
          <w:pgMar w:left="320" w:top="455"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document has two parts, a prospectus supplement and an accompanying prospectus, dated August 8, 2022.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our common stock in certain jurisdictions may be restricted by law. Neither the selling stockholder nor the underwriter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are making an offer of our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our common stock. None of us, Post, the selling stockholder or the underwriter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(nor any of our or their affiliates) are making any representation to you regarding the legality of an investment in our common stock by you under applicable investment or similar laws.</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second quarter of the fiscal year ended September 30, 2022, Post completed its previously announced distribution of 80.1% of its ownership interest in BellRing Brands, Inc. (formerly known as BellRing Distribution, LLC) (“BellRing”) to Post’s shareholders. On March 9, 2022, pursuant to the Transaction Agreement and Plan of Merger, dated as of October 26, 2021, as amended by Amendment No. 1, dated as of February 28, 2022, by and among Post, BellRing Intermediate Holdings, Inc. (formerly known as BellRing Brands, Inc.) (“Old BellRing”), BellRing and BellRing Merger Sub Corporation, a wholly-owned subsidiary of BellRing (“BellRing Merger Sub”), Post contributed its share of Old BellRing Class B common stock, $0.01 par value per share (“Old BellRing Class B Common Stock”), all of its non-voting membership units (“BellRing LLC units”) in BellRing Brands, LLC (“BellRing LLC”) and $550.4 million of cash to BellRing in exchange for certain limited liability company interests of BellRing (prior to the conversion of BellRing into a Delaware corporation) and the right to receive $840.0 million in aggregate principal amount of BellRing’s 7.00% Senior Notes maturing in March 2030 (the “Senior Notes”).</w:t>
      </w:r>
    </w:p>
    <w:p>
      <w:pPr>
        <w:spacing w:after="0" w:line="18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78,076,841, or 80.1%, of its shares of BellRing common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stock, par value $0.01 per share,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10, 2022, 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$0.01 par value per share (“Old BellRing Class A Common Stock” and, together with the Old BellRing Class B Common Stock, the “Old BellRing Common Stock”) was converted into one share of BellRing common stock plus $2.97 in cash. As a result of the transactions described above (collectively, the “Spin-off”), BellRing became the new public parent company of, and successor issuer to, Old BellRing, and shares of BellRing common stock were deemed to be registered under Section 12(b) of the Exchange Act pursuant to Rule 12g-3(a) promulgated thereunder.</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this prospectus supplement,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 The term “common stock” generally refers to Old BellRing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or incorporated by reference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229" w:lineRule="exact"/>
        <w:rPr>
          <w:sz w:val="20"/>
          <w:szCs w:val="20"/>
          <w:color w:val="auto"/>
        </w:rPr>
      </w:pPr>
    </w:p>
    <w:p>
      <w:pPr>
        <w:ind w:left="120" w:righ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We own or have rights to use logos, trademarks, trade names, service marks and copyrights that we use in conjunction with the operation of our business and that appear in this prospectus supplement and the accompanying prospectus (or in documents we have incorporated by reference). Other logos, trademarks, trade names, service marks and copyrights appearing in this prospectus supplement and the accompanying prospectus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supplement and the accompanying prospectus (or in documents we have incorporated by reference)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CERTAIN FINANCIAL MEASURES</w:t>
      </w:r>
    </w:p>
    <w:p>
      <w:pPr>
        <w:spacing w:after="0" w:line="22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contains, or incorporates by reference, certain financial measures, including Adjusted EBITDA, that are not recognized under generally accepted accounting principles in the U.S.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Adjusted EBITDA has been presented in this prospectus supplement as a supplemental measure of financial performance that is not required by, or presented in accordance with, GAAP. This non-GAAP financial measure is included in this prospectus supplement because it is a key metric used by our management to assess our financial performance. We use this measure to supplement GAAP measures of performance in order to evaluate our operating performance and our ability to service debt. We believe this measure is useful to investors in evaluating our operating performance and liquidity because</w:t>
      </w:r>
    </w:p>
    <w:p>
      <w:pPr>
        <w:spacing w:after="0" w:line="3" w:lineRule="exact"/>
        <w:rPr>
          <w:sz w:val="20"/>
          <w:szCs w:val="20"/>
          <w:color w:val="auto"/>
        </w:rPr>
      </w:pPr>
    </w:p>
    <w:p>
      <w:pPr>
        <w:jc w:val="both"/>
        <w:ind w:left="120" w:right="40" w:hanging="4"/>
        <w:spacing w:after="0" w:line="253" w:lineRule="auto"/>
        <w:tabs>
          <w:tab w:leader="none" w:pos="3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are required to comply with certain covenants and limitations that are based on variations of Adjusted EBITDA in our financing documents.</w:t>
      </w:r>
    </w:p>
    <w:p>
      <w:pPr>
        <w:spacing w:after="0" w:line="189"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Adjusted EBITDA is a non-GAAP measure of our financial performance and should not be considered as an alternative to net earnings available to common stockholders as a measure of financial performance or any other performance measures derived in accordance with GAAP, nor should it be construed as an inference that our future results will be unaffected by unusual or other items. Additionally, Adjusted EBITDA is not intended to be a measure of free cash flow for management’s discretionary use, as (i) it does not reflect certain cash requirements such as cash expenditures, or future requirements, for capital expenditures or contractual commitments; (ii) it does not reflect changes in, or cash requirements for, working capital needs;</w:t>
      </w:r>
    </w:p>
    <w:p>
      <w:pPr>
        <w:spacing w:after="0" w:line="3" w:lineRule="exact"/>
        <w:rPr>
          <w:sz w:val="20"/>
          <w:szCs w:val="20"/>
          <w:color w:val="auto"/>
        </w:rPr>
      </w:pPr>
    </w:p>
    <w:p>
      <w:pPr>
        <w:ind w:left="440" w:hanging="324"/>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significant interest expense, or the cash requirements necessary to service interest or principal payments, on indebtedness;</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 (v) it does not reflect the impact of earnings or charges resulting from matters we consider not to be indicative of our ongoing operations; and (vi) other companies in the industry may calculate Adjusted EBITDA differently, limiting its usefulness as a comparative benchmark measure. Our management compensates for these limitations by relying on our GAAP results in addition to using Adjusted EBITDA. Our presentation of Adjusted EBITDA is not necessarily comparable to other similarly titled captions of other companies due to different methods of calculation. For additional discussion regarding the limitations of Adjusted EBITDA as a measure of financial performance, see “Prospectus Supplement Summary—Summary Historical Condensed Consolidated Financial and Other Data.”</w:t>
      </w:r>
    </w:p>
    <w:p>
      <w:pPr>
        <w:spacing w:after="0" w:line="18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calculating Adjusted EBITDA, we make certain adjustments that are based on assumptions and estimates that may prove to have been inaccurate. Accordingly, you should not view our presentation of these adjustments as a projection that we will achieve these benefits but rather only as an indication of our current expectations.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a definition of Adjusted EBITDA and reconciliations to the most directly comparable measure under GAAP, see “Prospectus Supplement Summary—Summary Historical Condensed Consolidated Financial and Other Data.”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“Risk Factors” and “Management’s Discussion and Analysis of Financial Condition and Results of Operations” and the audited consolidated financial statements and related notes thereto in our Annual Report on Form 10-K for the fiscal year ended September 30, 2022 filed with the SEC on November 17, 2022 (the “Annual Report”), which is incorporated by reference in this prospectus supplement and the accompanying prospectus.</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80"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2503 S. Hanley Road, St. Louis, Missouri 63144 and our telephone number is (314) 644-7600. Our website is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contained on our website or that can be accessed through our website is not part of, and is not incorporated by reference in, this prospectus supplement.</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Underwriting and Debt-for-Equity Exchange</w:t>
      </w:r>
    </w:p>
    <w:p>
      <w:pPr>
        <w:spacing w:after="0" w:line="22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Post expects to exchange 4,597,339 shares of our common stock for $99,854,203 in aggregate principal amount of outstanding indebtedness of Post held by the selling stockholder or one of its affiliates, pursuant to a debt-for-equity exchange agreement to be dated on or about the date of this prospectus supplement. The selling stockholder then expects to sell those shares of common stock to the underwriters for cash. The debt-for-equity exchange between Post and the selling stockholder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As a result of the debt-for-equity exchange, Post may be deemed to be a selling stockholder in this offering solely for U.S. federal securities law purposes. We do not guarantee, or otherwise have any obligations in respect of, the Post indebtedness being exchanged for shares of our common stock in connection with the debt-for-equity exchange.</w:t>
      </w:r>
    </w:p>
    <w:p>
      <w:pPr>
        <w:spacing w:after="0" w:line="188"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If the amount of shares of our common stock to be sold by the selling stockholder in this offering is not sufficient to satisfy the aggregate principal amount of the indebtedness of Post held by the selling stockholder or one of its affiliates (excluding any accrued interest), any remaining aggregate principal amount of such indebtedness will be paid with cash on hand by Post. See “Underwriting (Conflicts of Interest)—The Debt-for-Equity Exchange” for additional information.</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78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Upon completion of the debt-for-equity exchange, it is expected that Post will no longer own any shares of our common stock. See “Selling Stockholder.”</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selling stockholder is also acting as an underwriter in this offering. See “Underwriting (Conflicts of Interest).”</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Concurrent Share Repurchase</w:t>
      </w:r>
    </w:p>
    <w:p>
      <w:pPr>
        <w:spacing w:after="0" w:line="22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 repurchase from the underwriters 925,000 shares out of the aggregate 4,597,339 shares of our common stock that are the subject of the offering. The price per share to be paid by us will equal the price at which the underwriters will purchase the shares from the selling stockholder in the offering. The Concurrent Share Repurchase is part of, and as a result, conditioned on the closing of the offering and therefore there can be no assurance that the Concurrent Share Repurchase will be completed.</w:t>
      </w:r>
    </w:p>
    <w:p>
      <w:pPr>
        <w:spacing w:after="0" w:line="180"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The Concurrent Share Repurchase is being made pursuant to the previously announced share repurchase program of up to $50.0 million. We intend to fund the Concurrent Share Repurchase with cash on hand and, to the extent necessary, borrowings under our revolving credit facility. As a result, the funding of the share repurchase will, if completed, decrease the amount of cash on our balance sheet.</w:t>
      </w:r>
    </w:p>
    <w:p>
      <w:pPr>
        <w:spacing w:after="0" w:line="176"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description of, and the other information in this prospectus supplement regarding, the Concurrent Share Repurchase are included in this prospectus supplement for informational purposes only. Nothing in this prospectus supplement should be construed as an offer to sell, or the solicitation of an offer to buy, any of our common stock subject to the Concurrent Share Repurchase.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876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outstanding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4,597,339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135,295,583 shares (as of September 30, 2022).</w:t>
      </w:r>
    </w:p>
    <w:p>
      <w:pPr>
        <w:spacing w:after="0" w:line="266"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Neither we nor Post will receive any proceeds from the sale of shares of our common stock being sold in this offering. The selling stockholder will receive all of the net proceeds from the sale of shares of our common stock offered pursuant to this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“Use of Proceeds” and “Selling Stockholder.”</w:t>
      </w:r>
    </w:p>
    <w:p>
      <w:pPr>
        <w:spacing w:after="0" w:line="25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All 4,597,339 shares of our common stock that are being offered and sold in this offering are currently held by Post. The selling stockholder identified in this prospectus supplement expects to acquire the shares of our common stock being sold in this offering from Post in exchange for outstanding indebtedness of Post held by the selling stockholder or one of its affiliates on or before the settlement date of this offering, prior to the settlement of the selling stockholder’s sale of the shares to the underwriters. See “Selling Stockholder” and “Underwriting (Conflicts of Interest)—The Debt-for-Equity Exchange.” As a result of the debt-for-equity exchange, Post may be deemed to be a selling stockholder in this offering solely for U.S. federal securities law purposes.</w:t>
      </w:r>
    </w:p>
    <w:p>
      <w:pPr>
        <w:spacing w:after="0" w:line="200" w:lineRule="exact"/>
        <w:rPr>
          <w:sz w:val="20"/>
          <w:szCs w:val="20"/>
          <w:color w:val="auto"/>
        </w:rPr>
      </w:pPr>
    </w:p>
    <w:p>
      <w:pPr>
        <w:sectPr>
          <w:pgSz w:w="11900" w:h="16838" w:orient="portrait"/>
          <w:cols w:equalWidth="0" w:num="2">
            <w:col w:w="3860" w:space="480"/>
            <w:col w:w="6800"/>
          </w:cols>
          <w:pgMar w:left="320" w:top="455" w:right="439" w:bottom="1440" w:gutter="0" w:footer="0" w:header="0"/>
          <w:type w:val="continuous"/>
        </w:sectPr>
      </w:pP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Because J.P. Morgan Securities LLC, an underwriter in this offering, will receive 5% or</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more of the net proceeds of this offering as the selling stockholder, J.P. Morgan Securities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LLC is deemed to have a “conflict of interest” within the meaning of Rule 5121 (“Rule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5121”) of the Financial Industry Regulatory Authority, Inc. (“FINRA”). Accordingly, this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offering will be conducted in compliance with the requirements of Rule 5121.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 required in connection with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this offering because a “bona fide public market,” as defined in Rule 5121, exists for our</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common stock. See “Underwriting (Conflicts of Interest).”</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herein, in the accompanying prospectus and in the documents incorporated by reference</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herein, including our Annual Report, before deciding to invest in our common stock.</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Concurrent Share Repurchase</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repurchase from the underwriters 925,000 shares out of the aggregate 4,597,339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our common stock that are the subject of the offering. The price per share to be paid by us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will equal the price at which the underwriters will purchase the shares from the selling</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stockholder in the offering. See “—Concurrent Share Repurchase.”</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2609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2609850"/>
                    </a:xfrm>
                    <a:prstGeom prst="rect">
                      <a:avLst/>
                    </a:prstGeom>
                    <a:noFill/>
                  </pic:spPr>
                </pic:pic>
              </a:graphicData>
            </a:graphic>
          </wp:anchor>
        </w:drawing>
      </w:r>
    </w:p>
    <w:p>
      <w:pPr>
        <w:sectPr>
          <w:pgSz w:w="11900" w:h="16838" w:orient="portrait"/>
          <w:cols w:equalWidth="0" w:num="1">
            <w:col w:w="10880"/>
          </w:cols>
          <w:pgMar w:left="320" w:top="455" w:right="69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currently anticipate paying any dividends on our common stock. We expect to retain all future earnings for use in the operation and expansion of our business. Any decision to declare and pay dividends in the future will be made at the sole discretion of our board of directors and will depend on various factors. Our ability to pay dividends on our common stock may be restricted by the documents governing our and our subsidiaries’ existing and future outstanding indebtedness. See “Dividend Policy.”</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NYSE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“BRBR”.</w:t>
      </w:r>
    </w:p>
    <w:p>
      <w:pPr>
        <w:spacing w:after="0" w:line="200" w:lineRule="exact"/>
        <w:rPr>
          <w:sz w:val="20"/>
          <w:szCs w:val="20"/>
          <w:color w:val="auto"/>
        </w:rPr>
      </w:pPr>
    </w:p>
    <w:p>
      <w:pPr>
        <w:sectPr>
          <w:pgSz w:w="11900" w:h="16838" w:orient="portrait"/>
          <w:cols w:equalWidth="0" w:num="2">
            <w:col w:w="3620" w:space="720"/>
            <w:col w:w="6540"/>
          </w:cols>
          <w:pgMar w:left="320" w:top="455" w:right="699" w:bottom="1440" w:gutter="0" w:footer="0" w:header="0"/>
          <w:type w:val="continuous"/>
        </w:sectPr>
      </w:pPr>
    </w:p>
    <w:p>
      <w:pPr>
        <w:spacing w:after="0" w:line="50"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is based on 135,295,583 shares of our common stock outstanding as of September 30, 2022 and does not reflect:</w:t>
      </w:r>
    </w:p>
    <w:p>
      <w:pPr>
        <w:spacing w:after="0" w:line="67" w:lineRule="exact"/>
        <w:rPr>
          <w:sz w:val="20"/>
          <w:szCs w:val="20"/>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258,987 shares of common stock that may be issued upon the exercise of outstanding options at an average weighted exercise price of $17.74; and</w:t>
      </w:r>
    </w:p>
    <w:p>
      <w:pPr>
        <w:spacing w:after="0" w:line="67"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1,555,539 shares of common stock that may be issued upon the vesting of outstanding restricted stock units and performance stock units under the BellRing Brands, Inc. 2019 Long-Term Incentive Plan (the “LTIP”) (assuming maximum payments under the LTIP).</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80"/>
          </w:cols>
          <w:pgMar w:left="320" w:top="455" w:right="6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Condensed Consolidated Financial and Other Data</w:t>
      </w:r>
    </w:p>
    <w:p>
      <w:pPr>
        <w:spacing w:after="0" w:line="229"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summary condensed consolidated financial data as of the dates and for the periods indicated. The summary historical condensed consolidated financial data as of September 30, 2022 and 2021 and for the years ended September 30, 2022, 2021 and 2020 is derived from our audited consolidated financial statements and related notes thereto incorporated by reference in this prospectus supplement. Our historical results are not necessarily indicative of the results expected for any future period.</w:t>
      </w:r>
    </w:p>
    <w:p>
      <w:pPr>
        <w:spacing w:after="0" w:line="180"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Prior to the Spin-off on March 10, 2022, the financial results of BellRing LLC and its subsidiaries were consolidated with Old BellRing and a portion of the consolidated net earnings of BellRing LLC was allocated to the redeemable noncontrolling interest (the “NCI”). The calculation of the redeemable NCI was based on Post’s ownership percentage of BellRing LLC units during each period prior to the Spin-off and reflected the entitlement of Post to a portion of the consolidated net earnings of BellRing LLC prior to the Spin-off. As a result of the Spin-off, Post’s remaining ownership of BellRing no longer represented a NCI to BellRing. All intercompany balances and transactions have been eliminated.</w:t>
      </w:r>
    </w:p>
    <w:p>
      <w:pPr>
        <w:spacing w:after="0" w:line="183" w:lineRule="exact"/>
        <w:rPr>
          <w:sz w:val="20"/>
          <w:szCs w:val="20"/>
          <w:color w:val="auto"/>
        </w:rPr>
      </w:pPr>
    </w:p>
    <w:p>
      <w:pPr>
        <w:jc w:val="both"/>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You should read the information contained in this table in conjunction with “Management’s Discussion and Analysis of Financial Condition and Results of Operations” and our audited consolidated financial statements and the accompanying notes thereto in our Annual Report, which is incorporated by reference in this prospectus supplement.</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3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1,371.5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1,247.1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988.3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650.3</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338.0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151.8</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3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and refinancing of debt, net(1)</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109.3</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including redeemable noncontrolling interest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100.1</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information:</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260" w:type="dxa"/>
            <w:vAlign w:val="bottom"/>
            <w:gridSpan w:val="2"/>
          </w:tcPr>
          <w:p>
            <w:pPr>
              <w:jc w:val="right"/>
              <w:ind w:right="2900"/>
              <w:spacing w:after="0"/>
              <w:rPr>
                <w:sz w:val="20"/>
                <w:szCs w:val="20"/>
                <w:color w:val="auto"/>
              </w:rPr>
            </w:pPr>
            <w:r>
              <w:rPr>
                <w:rFonts w:ascii="Times New Roman" w:cs="Times New Roman" w:eastAsia="Times New Roman" w:hAnsi="Times New Roman"/>
                <w:sz w:val="18"/>
                <w:szCs w:val="18"/>
                <w:color w:val="auto"/>
              </w:rPr>
              <w:t>S-5</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4"/>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 (as of year end)</w:t>
            </w:r>
          </w:p>
        </w:tc>
        <w:tc>
          <w:tcPr>
            <w:tcW w:w="9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(excluding cash, cash equivalents and current portion of long-term debt)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242.0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707.2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current portion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929.5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deficit(2)</w:t>
            </w:r>
          </w:p>
        </w:tc>
        <w:tc>
          <w:tcPr>
            <w:tcW w:w="2380" w:type="dxa"/>
            <w:vAlign w:val="bottom"/>
            <w:gridSpan w:val="7"/>
          </w:tcPr>
          <w:p>
            <w:pPr>
              <w:jc w:val="right"/>
              <w:ind w:right="250"/>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20"/>
                <w:szCs w:val="20"/>
                <w:color w:val="auto"/>
              </w:rPr>
            </w:pP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(3,062.8)</w:t>
            </w:r>
          </w:p>
        </w:tc>
        <w:tc>
          <w:tcPr>
            <w:tcW w:w="0" w:type="dxa"/>
            <w:vAlign w:val="bottom"/>
          </w:tcPr>
          <w:p>
            <w:pPr>
              <w:spacing w:after="0"/>
              <w:rPr>
                <w:sz w:val="1"/>
                <w:szCs w:val="1"/>
                <w:color w:val="auto"/>
              </w:rPr>
            </w:pPr>
          </w:p>
        </w:tc>
      </w:tr>
      <w:tr>
        <w:trPr>
          <w:trHeight w:val="373"/>
        </w:trPr>
        <w:tc>
          <w:tcPr>
            <w:tcW w:w="7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60" w:type="dxa"/>
            <w:vAlign w:val="bottom"/>
            <w:gridSpan w:val="1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9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80" w:type="dxa"/>
            <w:vAlign w:val="bottom"/>
          </w:tcPr>
          <w:p>
            <w:pPr>
              <w:spacing w:after="0"/>
              <w:rPr>
                <w:sz w:val="18"/>
                <w:szCs w:val="18"/>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(120.9)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$ 271.4</w:t>
            </w:r>
          </w:p>
        </w:tc>
        <w:tc>
          <w:tcPr>
            <w:tcW w:w="80" w:type="dxa"/>
            <w:vAlign w:val="bottom"/>
          </w:tcPr>
          <w:p>
            <w:pPr>
              <w:spacing w:after="0"/>
              <w:rPr>
                <w:sz w:val="20"/>
                <w:szCs w:val="20"/>
                <w:color w:val="auto"/>
              </w:rPr>
            </w:pP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233.9</w:t>
            </w:r>
          </w:p>
        </w:tc>
        <w:tc>
          <w:tcPr>
            <w:tcW w:w="8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20" w:right="80" w:hanging="422"/>
        <w:spacing w:after="0" w:line="253"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September 30, 2021, BellRing recognized $1.6 million of losses related to refinancing fees incurred in conjunction with the refinancing of the BellRing LLC credit agreement. During the year ended September 30, 2022, BellRing recognized a $17.6 million loss related to the termination of its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the term B loan facility under the Old Credit Agreement and (iii) a $4.6 million write-off of debt issuance costs and deferred financing fees. See Note 14 within “Notes to Consolidated Financial Statements” in our Annual Report, incorporated by reference into this prospectus supplement, for additional information on the debt.</w:t>
      </w:r>
    </w:p>
    <w:p>
      <w:pPr>
        <w:ind w:left="720" w:right="200" w:hanging="422"/>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2019, BellRing completed an initial public offering (“IPO”). Additionally, on March 10, 2022, BellRing completed the Spin-off. For additional information about the IPO and the Spin-off, see Note 1 within “Notes to Consolidated Financial Statements” in our Annual Report, incorporated by reference into this prospectus supplement.</w:t>
      </w:r>
    </w:p>
    <w:p>
      <w:pPr>
        <w:spacing w:after="0" w:line="1" w:lineRule="exact"/>
        <w:rPr>
          <w:rFonts w:ascii="Times New Roman" w:cs="Times New Roman" w:eastAsia="Times New Roman" w:hAnsi="Times New Roman"/>
          <w:sz w:val="18"/>
          <w:szCs w:val="18"/>
          <w:color w:val="auto"/>
        </w:rPr>
      </w:pPr>
    </w:p>
    <w:p>
      <w:pPr>
        <w:ind w:left="720" w:right="40" w:hanging="422"/>
        <w:spacing w:after="0" w:line="25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earnings available to common stockholders, plus income tax expense, interest expense, depreciation and amortization and net earnings attributable to redeemable noncontrolling interest, as further adjusted to eliminate the impact of a number of items that are non-cash items, unusual items which we do not expect to recur or continue at the same level or other items which we do not believe to be reflective of ongoing operating performance. Adjusted EBITDA represents a supplemental measure of our operating performance and our ability to service debt. We believe that Adjusted EBITDA is useful to investors in evaluating our operating performance and our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are required to comply with certain covenants and limitations that are based on variations of Adjusted EBITDA</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9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00"/>
        <w:spacing w:after="0" w:line="282" w:lineRule="auto"/>
        <w:rPr>
          <w:sz w:val="20"/>
          <w:szCs w:val="20"/>
          <w:color w:val="auto"/>
        </w:rPr>
      </w:pPr>
      <w:r>
        <w:rPr>
          <w:rFonts w:ascii="Times New Roman" w:cs="Times New Roman" w:eastAsia="Times New Roman" w:hAnsi="Times New Roman"/>
          <w:sz w:val="18"/>
          <w:szCs w:val="18"/>
          <w:color w:val="auto"/>
        </w:rPr>
        <w:t>in our financing documents. You are encouraged to evaluate each adjustment and the reasons we consider them appropriate for supplemental analysis.</w:t>
      </w:r>
    </w:p>
    <w:p>
      <w:pPr>
        <w:spacing w:after="0" w:line="189" w:lineRule="exact"/>
        <w:rPr>
          <w:sz w:val="20"/>
          <w:szCs w:val="20"/>
          <w:color w:val="auto"/>
        </w:rPr>
      </w:pPr>
    </w:p>
    <w:p>
      <w:pPr>
        <w:ind w:left="720" w:right="30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67"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cash expenditures, or future requirements, for capital expenditures or contractual commitments;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working capital needs;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significant interest expense, or the cash requirements necessary to service interest or principal payments, on indebtedness;</w:t>
      </w:r>
    </w:p>
    <w:p>
      <w:pPr>
        <w:spacing w:after="0" w:line="67" w:lineRule="exact"/>
        <w:rPr>
          <w:rFonts w:ascii="Times New Roman" w:cs="Times New Roman" w:eastAsia="Times New Roman" w:hAnsi="Times New Roman"/>
          <w:sz w:val="18"/>
          <w:szCs w:val="18"/>
          <w:color w:val="auto"/>
        </w:rPr>
      </w:pPr>
    </w:p>
    <w:p>
      <w:pPr>
        <w:ind w:left="1240" w:right="8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of earnings or charges resulting from matters we consider not to be indicative of our ongoing operations; and</w:t>
      </w:r>
    </w:p>
    <w:p>
      <w:pPr>
        <w:spacing w:after="0" w:line="67"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the industry may calculate Adjusted EBITDA differently, limiting its usefulness as a comparative benchmark measure.</w:t>
      </w:r>
    </w:p>
    <w:p>
      <w:pPr>
        <w:spacing w:after="0" w:line="54" w:lineRule="exact"/>
        <w:rPr>
          <w:sz w:val="20"/>
          <w:szCs w:val="20"/>
          <w:color w:val="auto"/>
        </w:rPr>
      </w:pPr>
    </w:p>
    <w:p>
      <w:pPr>
        <w:ind w:left="720" w:right="300"/>
        <w:spacing w:after="0" w:line="258"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You should compensate for these limitations by relying primarily on our GAAP results and using Adjusted EBITDA only supplementally. In addition, in evaluating Adjusted EBITDA, you should be aware that in the future we may incur expenses similar to the adjustments used in deriving Adjusted EBITDA and the presentation of Adjusted EBITDA should not be construed as an inference that our future results will be unaffected by unusual or non-recurring items.</w:t>
      </w:r>
    </w:p>
    <w:p>
      <w:pPr>
        <w:spacing w:after="0" w:line="75" w:lineRule="exact"/>
        <w:rPr>
          <w:sz w:val="20"/>
          <w:szCs w:val="20"/>
          <w:color w:val="auto"/>
        </w:rPr>
      </w:pPr>
    </w:p>
    <w:p>
      <w:pPr>
        <w:ind w:left="720" w:right="7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earnings available to common stockholders, the most directly comparable GAAP performance measure, to Adjusted EBITDA, in each case for the periods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11"/>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74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including accelerated depreciation and amortization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redeemable noncontrolling interest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Separation costs(a)</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facility closure costs, excluding accelerated depreciation(b)</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matters (d)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(gain) on intercompany loans(e)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and refinancing of debt, net(a)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Mark-to-market adjustments on commodity hedges(f)</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Resolution of dispute with former contract manufacturer(g)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tax receivable agreement liability(h)</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233.9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0" w:type="dxa"/>
            <w:vAlign w:val="bottom"/>
            <w:tcBorders>
              <w:bottom w:val="single" w:sz="8" w:color="auto"/>
            </w:tcBorders>
          </w:tcPr>
          <w:p>
            <w:pPr>
              <w:spacing w:after="0"/>
              <w:rPr>
                <w:sz w:val="13"/>
                <w:szCs w:val="13"/>
                <w:color w:val="auto"/>
              </w:rPr>
            </w:pPr>
          </w:p>
        </w:tc>
        <w:tc>
          <w:tcPr>
            <w:tcW w:w="7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724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S-7</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09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00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line="276"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incurred (i) to effect the IPO, (ii) to effect the Spin-off and (iii) to support BellRing’s transition into a separate stand-alone, publicly-traded entity, as the amount and frequency of such expenses are not consistent. See footnote (1) above for additional information.</w:t>
      </w: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costs associated with facility closures.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expenses related to stock-based compensation.</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adjustments related to estimates for ongoing legal matters.</w:t>
      </w:r>
    </w:p>
    <w:p>
      <w:pPr>
        <w:spacing w:after="0" w:line="9" w:lineRule="exact"/>
        <w:rPr>
          <w:rFonts w:ascii="Times New Roman" w:cs="Times New Roman" w:eastAsia="Times New Roman" w:hAnsi="Times New Roman"/>
          <w:sz w:val="18"/>
          <w:szCs w:val="18"/>
          <w:color w:val="auto"/>
        </w:rPr>
      </w:pPr>
    </w:p>
    <w:p>
      <w:pPr>
        <w:ind w:left="720" w:right="260" w:hanging="422"/>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foreign currency losses (gains) on intercompany loans and related interest denominated in currencies other than the functional currency of the respective legal entity.</w:t>
      </w: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non-cash mark-to-market adjustments on commodity hedges.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non-cash write-offs recorded in connection with the resolution of a dispute with a former contract manufacturer.</w:t>
      </w:r>
    </w:p>
    <w:p>
      <w:pPr>
        <w:spacing w:after="0" w:line="9" w:lineRule="exact"/>
        <w:rPr>
          <w:rFonts w:ascii="Times New Roman" w:cs="Times New Roman" w:eastAsia="Times New Roman" w:hAnsi="Times New Roman"/>
          <w:sz w:val="18"/>
          <w:szCs w:val="18"/>
          <w:color w:val="auto"/>
        </w:rPr>
      </w:pPr>
    </w:p>
    <w:p>
      <w:pPr>
        <w:ind w:left="720" w:right="40" w:hanging="422"/>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adjustment to Old BellRing’s tax receivable agreement with Post. While the tax receivable agreement between Old BellRing and Post remains in effect following the Spin-off with respect to periods prior to the completion of the Spin-off, the tax receivable agreement is no longer applicable for tax benefits that accrue with respect to periods after the completion of the Spin-off.</w:t>
      </w:r>
    </w:p>
    <w:p>
      <w:pPr>
        <w:spacing w:after="0" w:line="3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800"/>
          </w:cols>
          <w:pgMar w:left="320" w:top="455" w:right="7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Condensed Consolidated Financial and Other Data” contained elsewhere in this prospectus supplement, “Risk Factors,” “Management’s Discussion and Analysis of Financial Condition and Results of Operations” and our audited consolidated financial statements and related notes thereto in our Annual Report, which is incorporated by reference in this prospectus supplement and the accompanying prospectus, before investing in our common stock. If any of the risks described below actually occur, our business, financial condition, results of operations, cash flows or prospects could be materially adversely affected. In any such case, the trading price of our common stock could decline and you could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you may lose all or part of your investment.</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fluctuate significantly, and you may not be able to resell your shares of common stock at or above the price at which your shares were acquired. Those fluctuations could be based on various factors, including those described under “Risk Factors” in our Annual Report, which is incorporated by reference in this prospectus supplement, and the following:</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our competitors and fluctuations in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research analysts who follow us or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services, strategic investments or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competitors to meet analysts’ projections or guidance we or our competitors may give to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new interpretations or applications of laws and regulations, that are applicable to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arrival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publicly traded;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issuances of shares of our common stock, including sales, distributions or issuances by us or our officers, directors and significant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affecting us, the industry in which we operate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national or local economic, legal and regulatory factors unrelated to our performance;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natural disasters, war, including the ongoing conflict in Ukraine, acts of terrorism or responses to these events.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in recent years the stock market has experienced significant price and volume fluctuations that have affected and continue to affect the market prices of equity securities of many companies. These fluctuations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have often been unrelated or disproportionate to the operating performance of those companies. These broad market fluctuations, as well as general economic, political and market conditions such as recessions or interest rate changes, may cause declines in the market price of our common stock and you may not realize any return on your investment and may lose some or all of your investment.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we primarily operate in a single industry, we are especially vulnerable to these factors to the extent that they affect our industry or products. In the past, securities class action litigation has often been initiated against companies following periods of volatility in their stock price. This type of litigation could result in substantial costs and divert our management’s attention and resources, and also could require us to make substantial payments to satisfy judgments or to settle litigation.</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None of the proceeds from the sale of shares of our common stock by the selling stockholder in this offering will be available to us to fund our operations.</w:t>
      </w:r>
    </w:p>
    <w:p>
      <w:pPr>
        <w:spacing w:after="0" w:line="5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by the selling stockholder in this offering. The selling stockholder will receive all proceeds from the sale of such shares. Consequently, none of the proceeds from such sale by the selling stockholder will be available to us to fund our operations, capital expenditures, compensation plans or acquisition opportunities. See “Use of Proceeds.”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our stock price and trading volume could decline.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securities or industry analysts publish about our company and business. If one or more of the analysts who cover us downgrades our common stock or publishes inaccurate or unfavorable research about our business, our stock price could decline. If one or more of these analysts ceases coverage of us or fails to publish reports on us regularly, demand for our common stock could decrease, which could cause our stock price and trading volume to decline.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declare or pay any dividends on our common stock for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We have not paid cash dividends to date and have no current plans to pay any cash dividends for the foreseeable future. As a result of our current dividend policy, you may not receive any return on an investment in shares of our common stock unless you sell shares of our common stock for a price greater than that which you paid for it. Any future determination to declare and pay cash dividends will be at the discretion of our board of directors and will depend on, among other things, our financial condition, results of operations, cash requirements, contractual restrictions, restrictions in our debt agreements and such other factors as our board of directors deems relevant. Our ability to pay dividends depends on our receipt of cash dividends from our operating subsidiaries, including Old BellRing and BellRing LLC, which may further restrict our ability to pay dividends as a result of the laws of their jurisdictions of organization or agreements of our subsidiaries. See “Dividend Policy.”</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5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could occur, could substantially decrease the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2022, we had a total of 135,295,583 shares of our common stock outstanding. Of the outstanding shares, the 78,076,841 shares of common stock distributed in the Distribution, the 38,887,851 shares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40"/>
          </w:cols>
          <w:pgMar w:left="320" w:top="455"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of common stock issued in the Merger, the 14,000,000 shares of common stock sold in a secondary offering in August 2022 and the 3,672,339 shares of common stock sold in this offering will be freely tradable without restriction or further registration under the Securities Act of 1933, as amended (the “Securities Act”), except that any shares held by our affiliates, as that term is defined under Rule 144 of the Securities Act (“Rule 144”), including our directors, executive officers and other affiliates, may be sold in the public market only if they are registered under the Securities Act or are sold pursuant to an exemption from registration such as Rule 144.</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213,849 shares of common stock held by certain of our directors and executive officers after this offering, representing approximately 0.2%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and our directors and executive officers have signed lock-up agreements with the underwriters that, subject to certain exceptions, restrict the disposition of, or hedging with respect to, the shares of our common stock or securities convertible into or exchangeable for shares of common stock, each held by them for 60 days following the date of this prospectus supplement, except with the prior written consent of J.P. Morgan Securities LLC. See “Underwriting (Conflicts of Interest)” for a description of these lock-up agreements. J.P. Morgan Securities LLC may, in its sole discretion, release all or some portion of the shares subject to the 60 day lock-up agreements prior to the expiration of such period.</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preserve the tax-free treatment of the Distribution, for the initial two-year period following the Distribution, we are prohibited, except in limited circumstances, from taking or failing to take certain actions that would prevent the Distribution and related transactions from being tax-free, including issuing any equity securities or securities that could possibly be converted into our equity securities, including as acquisition currency for a merger or acquisition (but excluding certain equity compensation for our employees). In the future and subject to the preceding considerations, however, we may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Certain matters we discuss in this prospectus supplement, the accompanying prospectus and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94"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Such forward-looking statements are subject to risks and uncertainties that could cause our actual results, performance and achievements to differ materially from those expressed in, or implied by, these statements included in this prospectus supplement, the accompanying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supplement and “Risk Factors” in our Annual Report, which is incorporated by reference herein, could affect our future results and could cause those results or other outcomes to differ materially from those expressed or implied in our forward-looking statements:</w:t>
      </w:r>
    </w:p>
    <w:p>
      <w:pPr>
        <w:spacing w:after="0" w:line="9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majority of our RTD protein shakes;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40"/>
          </w:cols>
          <w:pgMar w:left="320" w:top="455"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supplement and the accompanying prospectus and the documents we incorporate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discuss many of these risks in greater detail under the heading “Risk Factors” in this prospectus supplement and under “Risk Factors” in our Annual Report, which is incorporated by reference herein. Unless required by U.S. federal securities laws, we neither intend nor assume any obligation to update these forward-looking statements, which speak only as of their dates.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selling stockholder will receive all of the net proceeds from the sale of shares of our common stock offered pursuant to this prospectus supplement. We will not receive any proceeds from the sale of shares of our common stock being sold in this offering. The selling stockholder will bear all commissions and discounts, if any, from the sale of shares of our common stock pursuant to this prospectus supplement. See “Selling Stockholder.”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do not intend to pay cash dividends on our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ability to pay dividends depends on our receipt of cash dividends or distributions from our operating subsidiaries, including Old BellRing and BellRing LLC. The laws of our subsidiaries’ jurisdictions of organization or agreements entered into by our subsidiaries, including agreements governing their indebtedness, may restrict their ability to pay dividends or make distributions to us and further restrict our ability to pay dividends. In addition, cash distributions from BellRing LLC may be distributed from time to time at the discretion of its Board of Managers pro rata to its members according to the number of BellRing LLC units held by such members, subject to certain exceptions. BellRing LLC currently has one member, BellRing Intermediate Holdings, Inc. The indenture governing the Senior Notes and the credit agreement governing our revolving credit facility also include restrictions on our, Old BellRing’s, BellRing LLC’s and their subsidiaries’ respective ability to make distributions and will thus restrict our ability to pay dividends. See “Management’s Discussion and Analysis of Financial Condition and Results of Operations—Liquidity and Capital Resources” in our Annual Report, which is incorporated by reference in this prospectus supplement, for a description of the restrictions on our and our subsidiaries’ ability to pay dividends.</w:t>
      </w:r>
    </w:p>
    <w:p>
      <w:pPr>
        <w:spacing w:after="0" w:line="19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need to sell your shares of our common stock to realize a return on your investment, and you may not be able to sell your shares at or above the price you paid for them. See “Risk Factors—Risks Related to this Offering and Ownership of Our Common Stock—We may not declare or pay any dividends on our common stock for the foreseeable future.”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the following table and accompanying footnotes set forth information with respect to the beneficial ownership of our common stock, as of November 10, 2022, by Post, which as of such date is the beneficial owner of the shares to be sold in this offering and which may be deemed to be a selling stockholder in this offering, solely for U.S. federal securities law purposes, as a result of the debt-for-equity exchange with the selling stockholder, or one of its affiliates. The percentages of beneficial ownership provided in the table below are based on 135,295,583 shares of our common stock, par value $0.01 per share, outstanding as of November 10, 2022.</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J.P. Morgan Securities LLC (the “selling stockholder”) is offering all of the shares of common stock being sold in this offering. Post expects to exchange 4,597,339 shares of common stock for $99,854,203 in aggregate principal amount of outstanding indebtedness of Post held by the selling stockholder or one of its affiliates, pursuant to the debt-for-equity exchange agreement to be dated on or about the date of this prospectus supplement. The selling stockholder then expects to sell those shares to the underwriters for cash. The debt-for-equity exchange between Post and the selling stockholder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See “Underwriting (Conflicts of Interest)—The Debt-for-Equity Exchange.”</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To our knowledge, unless otherwise noted in the footnotes to the table below, and subject to applicable community property laws, the holder named in the table has sole voting and investment power with respect to its beneficially owned common stock.</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84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2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20" w:type="dxa"/>
            <w:vAlign w:val="bottom"/>
            <w:gridSpan w:val="2"/>
          </w:tcPr>
          <w:p>
            <w:pPr>
              <w:jc w:val="center"/>
              <w:ind w:left="626"/>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4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Debt-for-Equity Exchange,</w:t>
            </w:r>
          </w:p>
        </w:tc>
        <w:tc>
          <w:tcPr>
            <w:tcW w:w="2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Debt-for-Equity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4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the Concurrent Share</w:t>
            </w:r>
          </w:p>
        </w:tc>
        <w:tc>
          <w:tcPr>
            <w:tcW w:w="2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 the Concurrent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40" w:type="dxa"/>
            <w:vAlign w:val="bottom"/>
            <w:gridSpan w:val="4"/>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Repurchase and this</w:t>
            </w:r>
          </w:p>
        </w:tc>
        <w:tc>
          <w:tcPr>
            <w:tcW w:w="21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Repurchase and this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gridSpan w:val="2"/>
          </w:tcPr>
          <w:p>
            <w:pPr>
              <w:jc w:val="center"/>
              <w:ind w:right="745"/>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3"/>
                <w:szCs w:val="13"/>
                <w:color w:val="auto"/>
              </w:rPr>
            </w:pPr>
          </w:p>
        </w:tc>
        <w:tc>
          <w:tcPr>
            <w:tcW w:w="3480" w:type="dxa"/>
            <w:vAlign w:val="bottom"/>
          </w:tcPr>
          <w:p>
            <w:pPr>
              <w:spacing w:after="0"/>
              <w:rPr>
                <w:sz w:val="13"/>
                <w:szCs w:val="13"/>
                <w:color w:val="auto"/>
              </w:rPr>
            </w:pPr>
          </w:p>
        </w:tc>
        <w:tc>
          <w:tcPr>
            <w:tcW w:w="14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142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6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Post Holdings, Inc.</w:t>
            </w:r>
            <w:r>
              <w:rPr>
                <w:rFonts w:ascii="Times New Roman" w:cs="Times New Roman" w:eastAsia="Times New Roman" w:hAnsi="Times New Roman"/>
                <w:sz w:val="25"/>
                <w:szCs w:val="25"/>
                <w:color w:val="auto"/>
                <w:vertAlign w:val="superscript"/>
              </w:rPr>
              <w:t>(1)</w:t>
            </w:r>
          </w:p>
        </w:tc>
        <w:tc>
          <w:tcPr>
            <w:tcW w:w="34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4,597,339</w:t>
            </w:r>
          </w:p>
        </w:tc>
        <w:tc>
          <w:tcPr>
            <w:tcW w:w="64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760" w:type="dxa"/>
            <w:vAlign w:val="bottom"/>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2503 S. Hanley Road, St. Louis, Missouri 63144. Post is a publicly traded company. For information regarding our relationship with Post, refer to “Basis of Presentation” and “Prospectus Supplement Summary” in this prospectus supplement and to the documents incorporated herein by reference.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 TO NON-U.S. HOLDERS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summary of certain U.S. federal income tax consequences to non-U.S. holders (as defined in the prospectus accompanying this prospectus supplement) of the ownership and disposition of shares of our common stock as of the date hereof, please refer to “Certain United States Federal Income Tax Consequences to Non-U.S. Holders” in the prospectus accompanying this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J.P. Morgan Securities LLC is acting as representative for this offering. Subject to the terms and conditions set forth in an underwriting agreement among us, Post, the selling stockholder and the underwriters, the selling stockholder has agreed to sell to the underwriters, and the underwriters have agreed to purchase from the selling stockholder, 4,597,339 shares of common stock, and each of the underwriters has agreed, severally and not jointly, to purchase from the selling stockholder the number of shares of common stock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600" w:type="dxa"/>
            <w:vAlign w:val="bottom"/>
            <w:vMerge w:val="restart"/>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10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1,252,776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4,597,339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The underwriting agreement also provides that if an underwriter defaults, the purchase commitments of non-defaulting underwriters may also be increased or the offering may be terminated.</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Post and the selling stockholder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As part of and subject to the completion of the offering, we intend to concurrently repurchase from the underwriters 925,000 shares out of the aggregate 4,597,339 shares of our common stock that are the subject of the offering. The price per share to be paid by us will equal the price at which the underwriters will purchase the shares from the selling stockholder in the offering. See “Prospectus Supplement Summary—Concurrent Share Repurchase.” No underwriting discount or commissions will be paid to the underwriters with respect to the shares we intend to repurchase in the Concurrent Share Repurchase.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have agreed to purchase the shares from the selling stockholder at a price of $21.72 per share, which will result in $99,854,203 of proceeds to the selling stockholder before expenses. The underwriters propose to offer the shares of our common stock from time to time for sale in one or more transactions on the NYSE, in the over-the-counter market, through negotiated transactions or otherwise at market prices prevailing at the time of sale, at prices related to prevailing market prices or at negotiated prices. In connection with the sale of the shares of our common stock offered hereby, the underwriters may be deemed to have received compensation in the form of an underwriting discount. The underwriters may effect such transactions by selling shares of our common stock to or through dealers, and such dealers may receive compensation in the form of discounts, concessions or commissions from the underwriters and/or purchasers of shares of our common stock for whom they may act as agents or to whom they may sell as principal. The difference between the price at which the underwriters purchase shares and the price at which the underwriter resells such shares may be deemed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underwriting compensation. The aggregate maximum discount, commission or agency fees or other items constituting underwriting compensation to be received by any FINRA member or independent broker-dealer will not exceed 8% of the proceeds from this offering.</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 is expected to acquire the total number of shares being sold in this offering from Post pursuant to the debt-for-equity exchange. The pricing with respect to the debt-for-equity exchange will (i) be negotiated at arm’s length, (ii) involve a fixed dollar amount and (iii) not contain any variable component. See “—The Debt-for-Equity Exchange.”</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$340,000. We have also agreed to reimburse the underwriters for certain of their expenses in an amount up to $30,000.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redeemable or exchangeable for our common stock (such shares of common stock or such other securities collectively, the “Locked-Up Securities”) or (ii) enter into any swap or other arrangement that transfers to another, in whole or in part, any of the economic consequences of ownership of our common stock, whether any such transaction described in clause (i) or (ii) above is to be settled by delivery of our common stock or such other securities, in cash or otherwise, in each case without the prior consent of J.P. Morgan Securities LLC, for a period of 60 days after the date of this prospectus (the “Restricted Period”). Notwithstanding the foregoing, the underwriters have agreed that the foregoing restrictions will not apply to us with respect to (a) the sale of the shares of our common stock in this offering, (b) the issuance by us of any shares of common stock upon the exercise of an option or warrant or the conversion of a security outstanding on the date of this prospectus, (c) any grants under our equity or stock plans in accordance with the terms of such plans as described in this prospectus, as such plans may be amended, and the filing of any registration statement on Form S-8 with respect thereto, (d) the establishment of a trading plan pursuant to Rule 10b5-1 under the Exchange Act for the transfer of shares of our common stock subject to certain conditions and restrictions and (e) our common stock or rights to receive our common stock (including securities convertible into or exercisable or exchangeable for our common stock) issued or contemplated to be issued in connection with an acquisition or with a strategic or minority investment transaction subject to certain conditions and restrictions.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our executive officers and our directors have entered into lock-up agreements with the underwriters prior to the commencement of this offering pursuant to which, for a period of 60 days after the date of this prospectus, they may not, subject to customary exceptions, without the prior written consent of J.P. Morgan Securities LLC, directly or indirectly, subject to certain exceptions, (i) 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so owned convertible into or exercisable, redeemable or exchangeable for common stock (including, without limitation, stock options, warrants or such other securities which may be deemed to be beneficially owned by the signees in accordance with the rules and regulations of the SEC, and in each case are convertible into or exercisable, redeemable or exchangeable for common stock) or (ii) enter into any swap or other arrangement that transfers to another, in whole or in part, any of the economic consequences of ownership of our common stock, whether any such transaction described in clause (1) or (2) above is to be settled by delivery of common stock or such other securities, in cash or otherwise.</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notwithstanding the lock-up agreements applicable to our executive officers and our directors, the underwriters have agreed that our executive officers and directors may, subject to certain restrictions, (1) if the signee is a natural person, make transfers of shares of our common stock or any security convertible into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shares of our common stock as a bona fide gift or through the laws of succession, (2) make distributions of shares of our common stock or any security convertible into shares of our common stock to limited partners or stockholders, (3) make transfers of shares of our common stock or any security convertible into shares of our common stock to a trust for their or their immediate family’s direct or indirect benefit, (4) make transfer of shares of our common stock or any security convertible into shares of our common stock to a nominee or a custodian of a person or entity to whom a disposition or transfer would be permissible under clauses (1)-(3), (5) establish a trading plan that complies with Rule 10b5-1 under the Exchange Act, provided that such plan does not provide for the transfer of common stock during the Restricted Period, (6) surrender shares of our common stock or any security convertible into shares of our common stock to us in payment of the exercise price of any options, in all such cases pursuant to equity awards granted under a stock incentive or other equity plan which is described in this prospectus (including the documents incorporated herein by reference), (7) make sales or dispositions of shares of our common stock solely for the purpose of sufficiently covering tax obligations which arise from the exercise or vesting of stock options, stock-settled stock appreciation rights, restricted stock units or other equity interests, in all such cases pursuant to equity awards granted under a stock incentive or other equity award plan described in this prospectus (including the documents incorporated by reference herein), (8) make offers and sales of our common stock in this offering, (9) make transfers of shares of our common stock or any security convertible into shares of our common stock acquired in open market transactions following completion of the offering of common stock described herein, (10) make transfers of our common stock pursuant to a bona fide third-party tender offer, merger, consolidation or similar transaction involving a change of control, (11) make transfers of shares of our common stock or any security convertible into shares of our common stock pursuant to an order of a court or regulatory agency or to comply with any regulations related to ownership of our common stock or our securities convertible into shares of our common stock or (12) make any transfers to us or our subsidiaries pursuant to any call or put provisions of existing employment agreements and equity grant documents or upon death, disability or termination of employment.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NYSE under the ticker symbol “BRBR”.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shares of our common stock. However, the underwriters may engage in transactions that stabilize the price of our common stock, such as bids or purchases to peg, fix or maintain that price.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purchases in the open market to cover positions created by short sales and stabilizing transactions. Short sales involve the sale by the underwriters of a greater number of shares than they are required to purchase in the offering, and purchasing shares of common stock on the open market to cover positions created by short sales.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None of us, the selling stockholder and the underwriters (nor any of our or their affiliates) make any representation or prediction as to the direction or magnitude of any effect that the transactions described above may have on the price of our common stock. In addition, none of us, the selling stockholder and the underwriters (nor any of our or their affiliates) make any representation that the underwriters will engage in these transactions or that these transactions, once commenced, will not be discontinued without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J.P. Morgan Securities LLC, an underwriter in this offering, will receive 5% or more of the net proceeds of this offering as the selling stockholder, J.P. Morgan Securities LLC is deemed to have a “conflict of interest” under FINRA Rule 5121. Accordingly, this offering will be conducted in compliance with the requirements of Rule 5121. The appointment of a “qualified independent underwriter” is not required in connection with this offering because a “bona fide public market,” as defined in Rule 5121, exists for our common stock. In accordance with FINRA Rule 5121, such underwriters will not confirm any sales to any account over which they exercise discretionary authority without the specific written approval of the transaction from the account 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 The underwriters and their respective affiliates have provided, and may in the future provide, a variety of these services to us, Post and to persons and entities with relationships with us, for which they received or will receive customary fees and expenses.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accounts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J.P. Morgan Securities LLC, an underwriter in this offering, is also acting as the selling stockholder in this offering in connection with the debt-for-equity exchange described in following paragraph.</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Debt-for-Equity Exchange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Post and the selling stockholder or one of its affiliates expect to enter into a debt-for-equity exchange agreement on or about the date of this prospectus supplement. Under the debt-for-equity exchange agreement, Post expects to exchange the shares of common stock to be sold in this offering for certain existing indebtedness of Post held by the selling stockholder or one of its affiliates. The selling stockholder will then sell those shares to the underwriters for cash. Upon completion of the debt-for-equity exchange, the Post indebtedness exchanged in such debt-for-equity exchange will be retired. If the amount of the shares of common stock to be sold in this offering is not sufficient to satisfy the aggregate principal amount of the indebtedness of Post held by the selling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stockholder or one of its affiliates (excluding any accrued interest), any remaining aggregate principal amount of such indebtedness will be paid with cash on hand by Post.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pricing with respect to the debt-for-equity exchange will (i) be negotiated at arm’s length, (ii) involve a fixed dollar amount and (iii) not contain any variable component. The selling stockholder will acquire and sell the shares of common stock as principal for its own account, rather than on Post’s behalf. Under the debt-for-equity exchange agreement described above, the selling stockholder will become the owner of our shares of common stock that it acquires in the debt-for-equity exchange as of or before the settlement date of this offering and the Post indebtedness exchanged in such debt-for-equity exchange will be retired. The selling stockholder, and neither we nor Post, will receive the net proceeds from the sale of the shares in this offering.</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U.S. federal securities laws, the selling stockholder will be deemed to be an underwriter with respect to any shares of common stock that it acquires in the debt-for-equity exchange and sells in this offering; however, references to the underwriters in this prospectus supplement refer only to the underwriters listed in the first paragraph of this “Underwriting (Conflicts of Interest)” section and acting in their capacity as underwriters. Post may be deemed to be a selling stockholder solely for U.S. federal securities law purposes with respect to any shares of common stock that the selling stockholder acquires from Post in the debt-for-equity exchange and sells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shares of common stock have been offered or will be offered pursuant to this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w:t>
      </w:r>
    </w:p>
    <w:p>
      <w:pPr>
        <w:spacing w:after="0" w:line="183" w:lineRule="exact"/>
        <w:rPr>
          <w:sz w:val="20"/>
          <w:szCs w:val="20"/>
          <w:color w:val="auto"/>
        </w:rPr>
      </w:pPr>
    </w:p>
    <w:p>
      <w:pPr>
        <w:ind w:left="800" w:hanging="24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25"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us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this offering to the public in the United Kingdom prior to the publication of a prospectus in relation to the shares of common stock which has been approved by the Financial Conduct Authority, except that the shares of common stock may be offered to the public in the United Kingdom at any time:</w:t>
      </w:r>
    </w:p>
    <w:p>
      <w:pPr>
        <w:spacing w:after="0" w:line="176" w:lineRule="exact"/>
        <w:rPr>
          <w:sz w:val="20"/>
          <w:szCs w:val="20"/>
          <w:color w:val="auto"/>
        </w:rPr>
      </w:pPr>
    </w:p>
    <w:p>
      <w:pPr>
        <w:ind w:left="5460" w:right="2560" w:hanging="4904"/>
        <w:spacing w:after="0" w:line="454" w:lineRule="auto"/>
        <w:tabs>
          <w:tab w:leader="none" w:pos="8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 S-23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36"/>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of common stock shall require us or any underwriter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w:t>
      </w:r>
    </w:p>
    <w:p>
      <w:pPr>
        <w:spacing w:after="0" w:line="27" w:lineRule="exact"/>
        <w:rPr>
          <w:sz w:val="20"/>
          <w:szCs w:val="20"/>
          <w:color w:val="auto"/>
        </w:rPr>
      </w:pPr>
    </w:p>
    <w:p>
      <w:pPr>
        <w:ind w:left="120" w:hanging="4"/>
        <w:spacing w:after="0" w:line="251" w:lineRule="auto"/>
        <w:tabs>
          <w:tab w:leader="none" w:pos="3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whether directly or indirectly, to any person in Singapore other than:</w:t>
      </w:r>
    </w:p>
    <w:p>
      <w:pPr>
        <w:spacing w:after="0" w:line="187" w:lineRule="exact"/>
        <w:rPr>
          <w:sz w:val="20"/>
          <w:szCs w:val="20"/>
          <w:color w:val="auto"/>
        </w:rPr>
      </w:pPr>
    </w:p>
    <w:p>
      <w:pPr>
        <w:ind w:left="120" w:right="260" w:firstLine="436"/>
        <w:spacing w:after="0" w:line="282" w:lineRule="auto"/>
        <w:tabs>
          <w:tab w:leader="none" w:pos="8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275(1A) of the SFA, and in accordance with the conditions specified in Section 275 of the SFA; or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 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120" w:right="20" w:firstLine="436"/>
        <w:spacing w:after="0" w:line="282" w:lineRule="auto"/>
        <w:tabs>
          <w:tab w:leader="none" w:pos="8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1" w:lineRule="exact"/>
        <w:rPr>
          <w:rFonts w:ascii="Times New Roman" w:cs="Times New Roman" w:eastAsia="Times New Roman" w:hAnsi="Times New Roman"/>
          <w:sz w:val="18"/>
          <w:szCs w:val="18"/>
          <w:color w:val="auto"/>
        </w:rPr>
      </w:pPr>
    </w:p>
    <w:p>
      <w:pPr>
        <w:ind w:left="120" w:right="540" w:firstLine="436"/>
        <w:spacing w:after="0" w:line="28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76" w:lineRule="exact"/>
        <w:rPr>
          <w:sz w:val="20"/>
          <w:szCs w:val="20"/>
          <w:color w:val="auto"/>
        </w:rPr>
      </w:pPr>
    </w:p>
    <w:p>
      <w:pPr>
        <w:ind w:left="120" w:right="20" w:firstLine="436"/>
        <w:spacing w:after="0" w:line="282" w:lineRule="auto"/>
        <w:tabs>
          <w:tab w:leader="none" w:pos="7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25"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5"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25"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CMP Regulations 2018, unless otherwise specified before an offer of shares of common stock, the Company has determined, and hereby notifies all relevant persons (as defined in Section 309A(1) of the SFA), that the shares of common stock are “prescribed capital markets products” (as defined in the CMP Regulations 2018)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60"/>
          </w:cols>
          <w:pgMar w:left="320" w:top="455" w:right="5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Excluded Investment Products (as defined in MAS Notice SFA 04-N12: Notice on the Sale of Investment Products and MAS Notice FAA-N16: Notice on Recommendations on Investment Products).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offered by this prospectus supplement will be passed upon for us by Simpson Thacher &amp; Bartlett LLP, New York, New York. Certain legal matters relating to this offering will be passed upon for the underwriters by Latham &amp; Watkins LLP, New York, New York.</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September 30, 2022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Those filings will also be available to the public on, or accessible through, our corporate website at </w:t>
      </w:r>
      <w:r>
        <w:rPr>
          <w:rFonts w:ascii="Times New Roman" w:cs="Times New Roman" w:eastAsia="Times New Roman" w:hAnsi="Times New Roman"/>
          <w:sz w:val="17"/>
          <w:szCs w:val="17"/>
          <w:i w:val="1"/>
          <w:iCs w:val="1"/>
          <w:color w:val="auto"/>
        </w:rPr>
        <w:t>www.bellring.com</w:t>
      </w:r>
      <w:r>
        <w:rPr>
          <w:rFonts w:ascii="Times New Roman" w:cs="Times New Roman" w:eastAsia="Times New Roman" w:hAnsi="Times New Roman"/>
          <w:sz w:val="17"/>
          <w:szCs w:val="17"/>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jc w:val="center"/>
        <w:ind w:left="5460" w:right="1160" w:hanging="4804"/>
        <w:spacing w:after="0" w:line="454" w:lineRule="auto"/>
        <w:tabs>
          <w:tab w:leader="none" w:pos="10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2022 filed with the SEC on November 17, 2022; S-27</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5">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December 29, 2021 (solely to the extent incorporated by reference into Part III of 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2021);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57">
        <w:r>
          <w:rPr>
            <w:rFonts w:ascii="Times New Roman" w:cs="Times New Roman" w:eastAsia="Times New Roman" w:hAnsi="Times New Roman"/>
            <w:sz w:val="18"/>
            <w:szCs w:val="18"/>
            <w:u w:val="single" w:color="auto"/>
            <w:color w:val="0000EE"/>
          </w:rPr>
          <w:t>April 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BellRing Brands, Inc., 2503 S. Hanley Road, St. Louis, Missouri 63144; Attention: Corporate Secretary (telephone: (314) 644-7600).</w:t>
      </w:r>
    </w:p>
    <w:p>
      <w:pPr>
        <w:spacing w:after="0" w:line="180" w:lineRule="exact"/>
        <w:rPr>
          <w:rFonts w:ascii="Times New Roman" w:cs="Times New Roman" w:eastAsia="Times New Roman" w:hAnsi="Times New Roman"/>
          <w:sz w:val="18"/>
          <w:szCs w:val="18"/>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supplement will not be sent, however, unless those exhibits have been specifically referenced in this prospectus supplement.</w:t>
      </w:r>
    </w:p>
    <w:p>
      <w:pPr>
        <w:spacing w:after="0" w:line="94"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20"/>
          </w:cols>
          <w:pgMar w:left="320" w:top="455"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19,397,339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182245</wp:posOffset>
            </wp:positionV>
            <wp:extent cx="1380490" cy="668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Post Holdings, Inc. (“Post”) and any selling stockholders identified in supplements to this prospectus (together with Post, the “Selling Stockholders”) of up to 19,397,339 shares of our common stock in amounts, at prices and on terms that will be decided at the time of any such offering. We will not receive any proceeds from the sale of shares of common stock by the Selling Stockholders pursuant to this prospectus.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common stock may be offered on a delayed or continued basis directly by the Selling Stockholders through agents or dealers, as designated from time to time, through a combination of these methods or any other method as provided in an applicable prospectus supplement. This prospectus describes some of the general terms that may apply to our common stock. A prospectus supplement may also add, update or change information contained in this prospectus. If any underwriters, dealers or agents are involved in the sale of the common stock,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common stock may be sold without delivery of this prospectus and the applicable prospectus supplement describing the method and terms of the offering of such common stock. You should read this prospectus and any accompanying prospectus supplement, as well as the documents incorporated by reference herein or therein, carefully before you make your investment decision. Our common stock is listed on the New York Stock Exchange (the “NYSE”) under the ticker symbol “BRBR”. On August 5, 2022, the closing price of our common stock as reported on the NYSE was $24.96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right="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shares of our common stock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3 of this prospectus and any similar section contained in the applicable prospectus supplement concerning factors you should consider before investing in our common stock.</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Neither the United States (the “U.S.”) Securities and Exchange Commission (the “SEC” or the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2022.</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128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Explanatory Note</w:t>
            </w:r>
          </w:p>
        </w:tc>
        <w:tc>
          <w:tcPr>
            <w:tcW w:w="7280" w:type="dxa"/>
            <w:vAlign w:val="bottom"/>
            <w:gridSpan w:val="12"/>
          </w:tcPr>
          <w:p>
            <w:pPr>
              <w:spacing w:after="0"/>
              <w:rPr>
                <w:sz w:val="16"/>
                <w:szCs w:val="16"/>
                <w:color w:val="auto"/>
              </w:rPr>
            </w:pP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w:t>
            </w: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98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Trademarks, Tradenames and Service Marks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2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BellRing Brands, Inc.</w:t>
            </w:r>
          </w:p>
        </w:tc>
        <w:tc>
          <w:tcPr>
            <w:tcW w:w="536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5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6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8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Certain United States Federal Income Tax Consequences to Non-U.S. Holders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5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4120" w:type="dxa"/>
            <w:vAlign w:val="bottom"/>
            <w:tcBorders>
              <w:top w:val="single" w:sz="8" w:color="0000EE"/>
            </w:tcBorders>
            <w:gridSpan w:val="9"/>
          </w:tcPr>
          <w:p>
            <w:pPr>
              <w:spacing w:after="0"/>
              <w:rPr>
                <w:sz w:val="17"/>
                <w:szCs w:val="17"/>
                <w:color w:val="auto"/>
              </w:rPr>
            </w:pP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714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56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2860" w:type="dxa"/>
            <w:vAlign w:val="bottom"/>
            <w:gridSpan w:val="1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We and the Selling Stockholders have not authorized anyone to provide any information or make any representations other than those contained in this prospectus, the related registration statement, in any applicable prospectus supplement or in any of the materials that we have incorporated by reference into this prospectus and any applicable prospectus supplement. Neither we nor the Selling Stockholders have authorized anyone to provide you with different information. The Selling Stockholders are not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10, 2022, Post distributed 80.1% of its ownership interest in BellRing Brands, Inc. (formerly known as BellRing Distribution, LLC) (“BellRing”) to Post’s shareholders (the “Distribution”). Pursuant to certain related transactions, BellRing Intermediate Holdings, Inc. (formerly known as BellRing Brands, Inc.) (“Old BellRing”) became a wholly-owned subsidiary of BellRing.</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 using the “shelf” registration process. By using this shelf registration process, the Selling Stockholders may sell the securities offered by them, in each case from time to time in one or more offerings, as described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include industry and trade association data, forecasts and information that BellRing has prepared based, in part, upon data, forecasts and information obtained from independent trade associations, industry publications and surveys and other independent sources available to BellRing. Some data also is based on good faith estimates, which are derived from our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and we cannot guarantee its accuracy or completeness. Accordingly, investors should not place undue reliance on this information.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121" w:lineRule="exact"/>
        <w:rPr>
          <w:sz w:val="20"/>
          <w:szCs w:val="20"/>
          <w:color w:val="auto"/>
        </w:rPr>
      </w:pPr>
    </w:p>
    <w:p>
      <w:pPr>
        <w:ind w:left="120" w:righ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We own or have rights to use logos, trademarks, trade names, service marks and copyrights that we use in conjunction with the operation of our business and that appear in this prospectus and any accompanying prospectus supplement (or in documents we have incorporated by reference). Other logos, trademarks, trade names, service marks and copyrights appearing in this prospectus and any accompanying prospectus supplement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and any accompanying prospectus supplement (or in documents we have incorporated by reference)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the State of Delaware on March 20, 2019 in connection with our initial public offering (the “IPO”). Upon completion of a series of transactions in connection with the IPO, BellRing Brands, LLC became the holder of Post’s active nutrition business, which, effective as of Post’s quarter ended June 30, 2015, and until the completion of the IPO, had been comprised of Premier Nutrition Company, LLC, Dymatize Enterprises, LLC,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GmbH.</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2503 S. Hanley Road, St. Louis, Missouri 63144 and our telephone number is (314) 644-7600. Our website is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Information contained on our website or that can be accessed through our website is not part of, and is not incorporated by reference in, this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September 30, 2021 filed with the SEC on November 19, 2021 (the “Annual Report”), and “Risk Factors,” “Management’s Discussion and Analysis of Financial Condition and Results of Operations” and our unaudited condensed consolidated financial statements and related notes thereto in our Quarterly Reports on Form 10-Q for the quarterly periods ended December 31, 2021, March 31, 2022 and June 30, 2022 filed with the SEC on February 4, 2022, May 6, 2022 and August 5, 2022, respectively (collectively, the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and uncertainties described in any applicable prospectus supplement or free writing prospectus that we provide to you in connection with an offering of common stock pursuant to this prospectus. Any of these risks could materially and adversely affect our business, financial condition, results of operations or cash flows.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results of operations or cash flows. In such a case, the trading price of our common stock could decline and you may lose all or part of your investment.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Certain matters we discuss in this prospectus and in any prospectus supplement or free writing prospectus that we may provide to you in connection with an offering of our common stock described in this prospectus, and in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Such forward-looking statements are subject to risks and uncertainties that could cause our actual results, performance and achievements to differ materially from those expressed in, or implied by, these statements included in this prospectus, any accompanying prospectus supplement or free writing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and “Risk Factors” in our Annual Report and Quarterly Reports, each of which are incorporated by reference herein, could affect our future results and could cause those results or other outcomes to differ materially from those expressed or implied in our forward-looking statements:</w:t>
      </w:r>
    </w:p>
    <w:p>
      <w:pPr>
        <w:spacing w:after="0" w:line="9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that limit customer and consumer demand for our products;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 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any accompanying prospectus supplement or free writing prospectus and in the documents we incorporate or are deemed to be incorporated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discuss many of these risks in greater detail under “Risk Factors” in our Annual Report and Quarterly Reports, each of which is incorporated by reference herein. Unless required by U.S. federal securities laws, we neither intend nor assume any obligation to update these forward-looking statements, which speak only as of their dates.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will not receive any cash proceeds from the sale of any shares of our common stock by the Selling Stockholders.</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39"/>
          </w:cols>
          <w:pgMar w:left="320" w:top="45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anticipate any payment of quarterly dividends for the foreseeable future. The declaration and payment of dividends will be at the discretion of our board of directors and will be dependent upon our future earnings, financial condition and capital requirements.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00"/>
          </w:cols>
          <w:pgMar w:left="320" w:top="455" w:right="9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certificate of incorporation and bylaws, each as in effect as of the date of this prospectus, copies of which are incorporated by reference as exhibits to the registration statement of which this prospectus is a part, and the applicable provisions of Delaware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we may issue up to 500 million shares of common stock, par value $0.01 per share, and 50 million shares of preferred stock, par value $0.01 per share. Our common stock is listed on the NYSE under the ticker symbol “BRBR”.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by such holder on the applicable record date on all matters on which stockholders are generally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receive dividends when, as and if declared by our board of directors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or Dissolution</w:t>
      </w:r>
    </w:p>
    <w:p>
      <w:pPr>
        <w:spacing w:after="0" w:line="12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Upon our liquidation or dissolution, the holders of our common stock will be entitled to share ratably in those of our assets that are legally available for distribution to stockholders after payment of liabilities and subject to the special rights and preferences, if any, of any holders of our preferred stock then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are no preemptive rights, redemption or sinking fund provisions applicable to our common stock, and the outstanding shares of our common stock are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rights of holders of our common stock may be materially limited or qualified by the rights, powers and preferences of any preferred stock that we may issue in the future.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authorized to issue up to 50 million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Authorizing our board of directors to establish preferred stock eliminates delays associated with seeking stockholder approval of the creation of a particular class or series of preferred stock. The rights of the holders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includes certain provisions regulating and defining the conduct of our affairs to the extent that they may involve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94"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These provisions in our certificate of incorporation cease to apply at such time as (i) we and Post and its affiliates are no longer affiliates of one another and (ii) none of the directors, officers, employees, agents or affiliates of Post serve as our directors, officers, managers, employees or agents.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Meetings of Stockholders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provide that stockholder action can be taken only at an 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bylaws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the date of the most recent annual meeting of stockholders of BellRing held before the date the Spin-off was completed)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Not Stockholders, Fix the Size of Our Board of Directors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directors will be fixed from time to time exclusively pursuant to a resolution adopted by our board of directors, but in no event will it consist of less than five nor more than twelve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Vacancies and Newly-Created Directorships on Our Board of Directors</w:t>
      </w:r>
    </w:p>
    <w:p>
      <w:pPr>
        <w:spacing w:after="0" w:line="121"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Subject to the special rights of holders of any outstanding series of our 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 Removal of Directors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board of directors is divided into three classes of directors serving staggered three-year terms. The number of directors assigned to each class is as equal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reasonably possible. The first class of directors will hold office until the first annual stockholders’ meeting for election of directors following the Spin-off, the second class of directors will hold office until the second annual stockholders’ meeting for election of directors following the Spin-off and the third class of directors will hold office until the third annual stockholders’ meeting for election of directors following the Spin-off. Each class will thereafter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 provide that stockholders may amend, alter, change or repeal any provision of the bylaws upon the affirmative vote of a majority of all of the voting power entitled to vote thereon.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5540" w:right="2280" w:hanging="4884"/>
        <w:spacing w:after="0" w:line="454" w:lineRule="auto"/>
        <w:tabs>
          <w:tab w:leader="none" w:pos="10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 12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 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9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80"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DGCL;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320" w:top="455" w:right="5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 TO NON-U.S. HOLDERS</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consequences of the ownership and disposition of our common stock. This summary deals only with common stock that is held as a capital asset by a non-U.S. holder (as defined below).</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or arrangement treated as a partnership for U.S. federal income tax purposes) that is not, for U.S. federal income tax purposes, any of the following: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subject to special treatment under the U.S. federal income tax laws (including if you are subject to the alternative minimum tax, a financial institution, a broker or dealer in securities, a tax-exempt organization, hold our common stock as part of a hedge, straddle or other risk reduction strategy or as part of a conversion transaction or other integrated investment,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tax consequences to you of the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anticipate any payment of quarterly dividends for the foreseeable future. However in the event that we make a distribution of cash or other property (other than certain pro rata distributions of our stock) in respect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basis of a non-U.S. holder’s common stock, and to the extent the amount of the distribution exceeds a non-U.S. holder’s adjusted tax basis in our common stock, the excess will be treated as gain from the disposition of our common stock (the tax treatment of which is discussed below under “— Gain on Disposition of Common Stock”).</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on the gross amount of the dividend (or such lower rate as may be specified by an applicable income tax treaty). However, dividends that are effectively connected with the conduct of a trade or business by the non-U.S. holder within the U.S.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disposition of our common stock generally will not be subject to U.S. federal income tax unless:</w:t>
      </w:r>
    </w:p>
    <w:p>
      <w:pPr>
        <w:spacing w:after="0" w:line="67" w:lineRule="exact"/>
        <w:rPr>
          <w:sz w:val="20"/>
          <w:szCs w:val="20"/>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U.S. for 183 days or more in the taxable year of that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and certain other conditions are met.</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or other disposition generally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U.S..</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Generally, a corporation is a “United States real property holding corporation” if the fair market value of its U.S. real property interests equals or exceeds 50% of the sum of the fair market value of its worldwide real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property interests and its other assets used or held for use in a trade or business (all as determined for U.S. federal income tax purposes). We believe we are not and do not anticipate becoming a “United States real property holding corporation”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within the U.S.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listed in the table below may, from time to time, offer and sell any or all of the shares of our common stock set forth below pursuant to this prospectus. Additional selling stockholders may be added from time to time by amendment or supplement to this prospectus. When we refer to the “Selling Stockholders” in this prospectus, we refer to Post and any selling stockholders identified in supplements to this prospectus.</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registration of the shares of our common stock does not necessarily mean that the Selling Stockholders will sell all or any of such shares of our common stock. The following table sets forth certain information provided by or on behalf of Post as of August 1, 2022 concerning the common stock that may be offered from time to time by any Selling Stockholder pursuant to this prospectus. Our calculation of the percentage of beneficial ownership is based on 136,362,031 shares of our common stock outstanding as of August 1, 2022. The number of shares and percentages of beneficial ownership after this offering set forth below assumes that the Selling Stockholders sell all 19,397,339 shares of our common stock offered by this prospectus.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2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60"/>
        </w:trPr>
        <w:tc>
          <w:tcPr>
            <w:tcW w:w="1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20" w:type="dxa"/>
            <w:vAlign w:val="bottom"/>
            <w:gridSpan w:val="4"/>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6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4020" w:type="dxa"/>
            <w:vAlign w:val="bottom"/>
          </w:tcPr>
          <w:p>
            <w:pPr>
              <w:spacing w:after="0"/>
              <w:rPr>
                <w:sz w:val="14"/>
                <w:szCs w:val="14"/>
                <w:color w:val="auto"/>
              </w:rPr>
            </w:pPr>
          </w:p>
        </w:tc>
        <w:tc>
          <w:tcPr>
            <w:tcW w:w="24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Sold in this</w:t>
            </w:r>
          </w:p>
        </w:tc>
        <w:tc>
          <w:tcPr>
            <w:tcW w:w="520" w:type="dxa"/>
            <w:vAlign w:val="bottom"/>
          </w:tcPr>
          <w:p>
            <w:pPr>
              <w:spacing w:after="0"/>
              <w:rPr>
                <w:sz w:val="14"/>
                <w:szCs w:val="14"/>
                <w:color w:val="auto"/>
              </w:rPr>
            </w:pPr>
          </w:p>
        </w:tc>
        <w:tc>
          <w:tcPr>
            <w:tcW w:w="1100" w:type="dxa"/>
            <w:vAlign w:val="bottom"/>
            <w:gridSpan w:val="2"/>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auto"/>
            </w:tcBorders>
            <w:vMerge w:val="continue"/>
          </w:tcPr>
          <w:p>
            <w:pPr>
              <w:spacing w:after="0"/>
              <w:rPr>
                <w:sz w:val="11"/>
                <w:szCs w:val="11"/>
                <w:color w:val="auto"/>
              </w:rPr>
            </w:pPr>
          </w:p>
        </w:tc>
        <w:tc>
          <w:tcPr>
            <w:tcW w:w="4020" w:type="dxa"/>
            <w:vAlign w:val="bottom"/>
          </w:tcPr>
          <w:p>
            <w:pPr>
              <w:spacing w:after="0"/>
              <w:rPr>
                <w:sz w:val="11"/>
                <w:szCs w:val="11"/>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50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5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Post Holdings, Inc.</w:t>
            </w:r>
            <w:r>
              <w:rPr>
                <w:rFonts w:ascii="Times New Roman" w:cs="Times New Roman" w:eastAsia="Times New Roman" w:hAnsi="Times New Roman"/>
                <w:sz w:val="25"/>
                <w:szCs w:val="25"/>
                <w:color w:val="auto"/>
                <w:vertAlign w:val="superscript"/>
              </w:rPr>
              <w:t>(1)</w:t>
            </w:r>
          </w:p>
        </w:tc>
        <w:tc>
          <w:tcPr>
            <w:tcW w:w="40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19,397,339</w:t>
            </w:r>
          </w:p>
        </w:tc>
        <w:tc>
          <w:tcPr>
            <w:tcW w:w="3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19,397,339</w:t>
            </w:r>
          </w:p>
        </w:tc>
        <w:tc>
          <w:tcPr>
            <w:tcW w:w="3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2503 S. Hanley Road, St. Louis, Missouri 63144. Post is a publicly traded company. For information regarding our relationship with Post, refer to “Explanatory Note” and “BellRing Brands, Inc.” in this prospectus and to the documents incorporated herein by reference.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19,397,339 shares of our common stock for possible sale by the Selling Stockholders from time to time. We are required to pay all fees and expenses incident to the registration of the shares of our common stock to be offered and sold pursuant to this prospectus.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of our common stock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including pursuant to one or more “10b5-1” trading plans or similar plans.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sell their shares of our common stock by one or more of the following methods:</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on any national securities exchange or quotation service on which the shares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in accordance with the rules of the NYSE;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other than on a national securities exchange or through a market maker;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debt-for-equity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or hedging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 above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distribution of securities may be effected from time to time in one or more transactions, including block transactions and transactions on the NYSE or any other organized market where the securities may be traded. In addition, any shares that qualify for sale pursuant to Rule 144 or another exemption from registration under the Securities Act may be sold under Rule 144 or pursuant to such exemption rather than pursuant to this prospectus.</w:t>
      </w:r>
    </w:p>
    <w:p>
      <w:pPr>
        <w:spacing w:after="0" w:line="158"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shares of common stock in the course of (i) hedging transactions or (ii) hedging the positions they assume with Selling Stockholders. The Selling Stockholders also may sell shares of common stock short and redeliver the shares to close out such short positions. The Selling Stockholders also may enter into option or other transactions with broker-dealers or other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also may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securities not covered by this prospectus to third parties in privately negotiated transactions. If the applicable prospectus supplement indicates (in connection with those derivatives), third parties may sell securities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92"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will be amended or supplemented from time to time to describe a specific plan of distribution, including (as applicable) to set forth the number of shares being offered and the terms of the offering, including the name of any underwriter, dealer or agent, any underwriting discount, commission or other item constituting compensation and the proposed selling price to the public.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shares of our common stock offered hereby will be passed upon for us by Simpson Thacher &amp; Bartlett LLP, New York, New</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Prospectus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 and reporting requirements of the Exchange Act and, in accordance with this law, file periodic reports, proxy statements and other information with the SEC. 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will automatically update and supersede this information. We incorporate by reference the documents listed below (other than any portions thereof, which under the Exchange Act and applicable SEC rules, are not deemed “filed” under the Exchange Act):</w:t>
      </w:r>
    </w:p>
    <w:p>
      <w:pPr>
        <w:spacing w:after="0" w:line="85" w:lineRule="exact"/>
        <w:rPr>
          <w:sz w:val="20"/>
          <w:szCs w:val="20"/>
          <w:color w:val="auto"/>
        </w:rPr>
      </w:pPr>
    </w:p>
    <w:p>
      <w:pPr>
        <w:ind w:left="1080" w:right="1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September 30, 2021 filed with the SEC on November 19, 2021 (including information specifically incorporated by reference into such Annual Report on Form 10-K from our </w:t>
      </w:r>
      <w:hyperlink r:id="rId55">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2022 Annual Meeting of Stockholders filed on December 29, 2021);</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December 31, 2021, March 31, 2022, and June 30, 2022, filed with the SEC on </w:t>
      </w:r>
      <w:hyperlink r:id="rId87">
        <w:r>
          <w:rPr>
            <w:rFonts w:ascii="Times New Roman" w:cs="Times New Roman" w:eastAsia="Times New Roman" w:hAnsi="Times New Roman"/>
            <w:sz w:val="18"/>
            <w:szCs w:val="18"/>
            <w:u w:val="single" w:color="auto"/>
            <w:color w:val="0000EE"/>
          </w:rPr>
          <w:t>February 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 xml:space="preserve">May 6,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August 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 and</w:t>
      </w:r>
    </w:p>
    <w:p>
      <w:pPr>
        <w:spacing w:after="0" w:line="67" w:lineRule="exact"/>
        <w:rPr>
          <w:rFonts w:ascii="Times New Roman" w:cs="Times New Roman" w:eastAsia="Times New Roman" w:hAnsi="Times New Roman"/>
          <w:sz w:val="18"/>
          <w:szCs w:val="18"/>
          <w:color w:val="0000EE"/>
        </w:rPr>
      </w:pPr>
    </w:p>
    <w:p>
      <w:pPr>
        <w:ind w:left="1080" w:right="40" w:hanging="424"/>
        <w:spacing w:after="0" w:line="266" w:lineRule="auto"/>
        <w:tabs>
          <w:tab w:leader="none" w:pos="1080" w:val="left"/>
        </w:tabs>
        <w:numPr>
          <w:ilvl w:val="0"/>
          <w:numId w:val="2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0">
        <w:r>
          <w:rPr>
            <w:rFonts w:ascii="Times New Roman" w:cs="Times New Roman" w:eastAsia="Times New Roman" w:hAnsi="Times New Roman"/>
            <w:sz w:val="18"/>
            <w:szCs w:val="18"/>
            <w:u w:val="single" w:color="auto"/>
            <w:color w:val="0000EE"/>
          </w:rPr>
          <w:t>October 27, 2021</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December 17, 2021</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February 14, 2022</w:t>
        </w:r>
      </w:hyperlink>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u w:val="single" w:color="auto"/>
            <w:color w:val="0000EE"/>
          </w:rPr>
          <w:t>February 22, 2022</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February 24,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28,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to the Form 8-Ks including Item 1.01, Item 5.04 and Item 8.01 only),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8,</w:t>
        </w:r>
      </w:hyperlink>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5">
        <w:r>
          <w:rPr>
            <w:rFonts w:ascii="Times New Roman" w:cs="Times New Roman" w:eastAsia="Times New Roman" w:hAnsi="Times New Roman"/>
            <w:sz w:val="18"/>
            <w:szCs w:val="18"/>
            <w:u w:val="single" w:color="auto"/>
            <w:color w:val="0000EE"/>
          </w:rPr>
          <w:t>March 10,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6">
        <w:r>
          <w:rPr>
            <w:rFonts w:ascii="Times New Roman" w:cs="Times New Roman" w:eastAsia="Times New Roman" w:hAnsi="Times New Roman"/>
            <w:sz w:val="18"/>
            <w:szCs w:val="18"/>
            <w:u w:val="single" w:color="auto"/>
            <w:color w:val="0000EE"/>
          </w:rPr>
          <w:t>March 10,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March 16,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April 6, 2022</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8">
        <w:r>
          <w:rPr>
            <w:rFonts w:ascii="Times New Roman" w:cs="Times New Roman" w:eastAsia="Times New Roman" w:hAnsi="Times New Roman"/>
            <w:sz w:val="18"/>
            <w:szCs w:val="18"/>
            <w:u w:val="single" w:color="auto"/>
            <w:color w:val="0000EE"/>
          </w:rPr>
          <w:t xml:space="preserve">May 23, 2022 </w:t>
        </w:r>
      </w:hyperlink>
      <w:hyperlink r:id="rId9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9">
        <w:r>
          <w:rPr>
            <w:rFonts w:ascii="Times New Roman" w:cs="Times New Roman" w:eastAsia="Times New Roman" w:hAnsi="Times New Roman"/>
            <w:sz w:val="18"/>
            <w:szCs w:val="18"/>
            <w:u w:val="single" w:color="auto"/>
            <w:color w:val="0000EE"/>
          </w:rPr>
          <w:t>August 8, 2022</w:t>
        </w:r>
      </w:hyperlink>
      <w:hyperlink r:id="rId94">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color w:val="0000EE"/>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all documents that we subsequently file with the SEC pursuant to Sections 13(a), 13(c), 14 or 15(d) of the Exchange Act on or after the date of this prospectus and prior to the termination of the offering of the shares hereunder. Nothing in this prospectus shall be deemed to incorporate information furnished but not filed with the SEC, unless specifically noted otherwise.</w:t>
      </w:r>
    </w:p>
    <w:p>
      <w:pPr>
        <w:spacing w:after="0" w:line="108"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2503 S. Hanley Road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St. Louis, Missouri 63144</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(314) 644-7600</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you may access the documents incorporated by reference herein free of charge on the SEC’s website. See also “Where You Can Find More Information.”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9"/>
          <w:szCs w:val="29"/>
          <w:b w:val="1"/>
          <w:bCs w:val="1"/>
          <w:color w:val="auto"/>
        </w:rPr>
        <w:t>4,597,339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344170</wp:posOffset>
            </wp:positionV>
            <wp:extent cx="1380490" cy="668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200" w:lineRule="exact"/>
        <w:rPr>
          <w:sz w:val="20"/>
          <w:szCs w:val="20"/>
          <w:color w:val="auto"/>
        </w:rPr>
      </w:pPr>
    </w:p>
    <w:p>
      <w:pPr>
        <w:spacing w:after="0" w:line="26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727075</wp:posOffset>
            </wp:positionV>
            <wp:extent cx="147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November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1621155</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1689735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0" w:name="page61"/>
    <w:bookmarkEnd w:id="60"/>
    <w:p>
      <w:pPr>
        <w:ind w:left="101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prospectus to which this Exhibit is attached is a final prospectus for the related offering. The maximum aggregate amount of securities to which the prospectus relates is 19,397,339 shares of common stock.</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Roman"/>
      <w:start w:val="1"/>
    </w:lvl>
  </w:abstractNum>
  <w:abstractNum w:abstractNumId="1">
    <w:nsid w:val="41A7C4C9"/>
    <w:multiLevelType w:val="hybridMultilevel"/>
    <w:lvl w:ilvl="0">
      <w:lvlJc w:val="left"/>
      <w:lvlText w:val="(%1)"/>
      <w:numFmt w:val="lowerRoman"/>
      <w:start w:val="3"/>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2"/>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Roman"/>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jpe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jpe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53" Type="http://schemas.openxmlformats.org/officeDocument/2006/relationships/hyperlink" Target="http://www.sec.gov/ix?doc=/Archives/edgar/data/1772016/000177201622000061/brbr-20220930.htm" TargetMode="External"/><Relationship Id="rId55" Type="http://schemas.openxmlformats.org/officeDocument/2006/relationships/hyperlink" Target="http://www.sec.gov/Archives/edgar/data/1772016/000119312521368542/d211699ddef14a.htm" TargetMode="External"/><Relationship Id="rId56" Type="http://schemas.openxmlformats.org/officeDocument/2006/relationships/hyperlink" Target="http://www.sec.gov/ix?doc=/Archives/edgar/data/1772016/000177201621000118/brbr-20210930.htm" TargetMode="External"/><Relationship Id="rId57" Type="http://schemas.openxmlformats.org/officeDocument/2006/relationships/hyperlink" Target="http://www.sec.gov/ix?doc=/Archives/edgar/data/1772016/000119312522097537/d315936d8k.htm" TargetMode="External"/><Relationship Id="rId87" Type="http://schemas.openxmlformats.org/officeDocument/2006/relationships/hyperlink" Target="http://www.sec.gov/ix?doc=/Archives/edgar/data/1772016/000177201622000028/brbr-20211231.htm" TargetMode="External"/><Relationship Id="rId88" Type="http://schemas.openxmlformats.org/officeDocument/2006/relationships/hyperlink" Target="http://www.sec.gov/ix?doc=/Archives/edgar/data/1772016/000177201622000039/brbr-20220331.htm" TargetMode="External"/><Relationship Id="rId89" Type="http://schemas.openxmlformats.org/officeDocument/2006/relationships/hyperlink" Target="http://www.sec.gov/ix?doc=/Archives/edgar/data/1772016/000177201622000050/brbr-20220630.htm" TargetMode="External"/><Relationship Id="rId90" Type="http://schemas.openxmlformats.org/officeDocument/2006/relationships/hyperlink" Target="http://www.sec.gov/ix?doc=/Archives/edgar/data/1772016/000119312521308736/d232418d8k.htm" TargetMode="External"/><Relationship Id="rId91" Type="http://schemas.openxmlformats.org/officeDocument/2006/relationships/hyperlink" Target="http://www.sec.gov/ix?doc=/Archives/edgar/data/1772016/000119312521359836/d243174d8k.htm" TargetMode="External"/><Relationship Id="rId92" Type="http://schemas.openxmlformats.org/officeDocument/2006/relationships/hyperlink" Target="http://www.sec.gov/ix?doc=/Archives/edgar/data/1772016/000177201622000032/brbr-20220211.htm" TargetMode="External"/><Relationship Id="rId93" Type="http://schemas.openxmlformats.org/officeDocument/2006/relationships/hyperlink" Target="http://www.sec.gov/ix?doc=/Archives/edgar/data/1772016/000119312522047864/d234626d8k.htm" TargetMode="External"/><Relationship Id="rId94" Type="http://schemas.openxmlformats.org/officeDocument/2006/relationships/hyperlink" Target="http://www.sec.gov/ix?doc=/Archives/edgar/data/1772016/000119312522069355/d264262d8k.htm" TargetMode="External"/><Relationship Id="rId95" Type="http://schemas.openxmlformats.org/officeDocument/2006/relationships/hyperlink" Target="http://www.sec.gov/ix?doc=/Archives/edgar/data/0001772016/000119312522072017/d212065d8k.htm" TargetMode="External"/><Relationship Id="rId96" Type="http://schemas.openxmlformats.org/officeDocument/2006/relationships/hyperlink" Target="http://www.sec.gov/ix?doc=/Archives/edgar/data/1772016/000119312522072132/d319129d8k12b.htm" TargetMode="External"/><Relationship Id="rId97" Type="http://schemas.openxmlformats.org/officeDocument/2006/relationships/hyperlink" Target="http://www.sec.gov/ix?doc=/Archives/edgar/data/1772016/000119312522077298/d281734d8k12ba.htm" TargetMode="External"/><Relationship Id="rId98" Type="http://schemas.openxmlformats.org/officeDocument/2006/relationships/hyperlink" Target="http://www.sec.gov/ix?doc=/Archives/edgar/data/1772016/000177201622000041/brbr-20220523.htm" TargetMode="External"/><Relationship Id="rId99" Type="http://schemas.openxmlformats.org/officeDocument/2006/relationships/hyperlink" Target="http://www.sec.gov/ix?doc=/Archives/edgar/data/0001772016/000119312522214951/d30888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2022-11-23T17:22:34Z</dcterms:created>
  <dcterms:modified xsi:type="dcterms:W3CDTF">2022-11-23T17:22:34Z</dcterms:modified>
</cp:coreProperties>
</file>