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STEIN ELLIOT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tcPr>
          <w:p>
            <w:pPr>
              <w:jc w:val="center"/>
              <w:ind w:right="74"/>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BELLRING BRANDS,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BRBR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BELLRING BRANDS, INC.</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03/10/2022</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2503 S. HANLEY ROAD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ST. LOUIS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MO</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63144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80" w:type="dxa"/>
            <w:vAlign w:val="bottom"/>
            <w:gridSpan w:val="5"/>
          </w:tcPr>
          <w:p>
            <w:pPr>
              <w:jc w:val="center"/>
              <w:ind w:left="5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jc w:val="center"/>
              <w:ind w:left="568"/>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15,927</w:t>
            </w:r>
            <w:r>
              <w:rPr>
                <w:rFonts w:ascii="Times New Roman" w:cs="Times New Roman" w:eastAsia="Times New Roman" w:hAnsi="Times New Roman"/>
                <w:sz w:val="22"/>
                <w:szCs w:val="22"/>
                <w:color w:val="008000"/>
                <w:w w:val="91"/>
                <w:vertAlign w:val="superscript"/>
              </w:rPr>
              <w:t>(1)(2)</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15,927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gridSpan w:val="5"/>
          </w:tcPr>
          <w:p>
            <w:pPr>
              <w:jc w:val="center"/>
              <w:ind w:left="568"/>
              <w:spacing w:after="0"/>
              <w:rPr>
                <w:sz w:val="20"/>
                <w:szCs w:val="20"/>
                <w:color w:val="auto"/>
              </w:rPr>
            </w:pPr>
            <w:r>
              <w:rPr>
                <w:rFonts w:ascii="Times New Roman" w:cs="Times New Roman" w:eastAsia="Times New Roman" w:hAnsi="Times New Roman"/>
                <w:sz w:val="17"/>
                <w:szCs w:val="17"/>
                <w:color w:val="0000FF"/>
              </w:rPr>
              <w:t>03/10/2022</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2,535</w:t>
            </w:r>
            <w:r>
              <w:rPr>
                <w:rFonts w:ascii="Times New Roman" w:cs="Times New Roman" w:eastAsia="Times New Roman" w:hAnsi="Times New Roman"/>
                <w:sz w:val="22"/>
                <w:szCs w:val="22"/>
                <w:color w:val="008000"/>
                <w:w w:val="93"/>
                <w:vertAlign w:val="superscript"/>
              </w:rPr>
              <w:t>(1)</w:t>
            </w:r>
          </w:p>
        </w:tc>
        <w:tc>
          <w:tcPr>
            <w:tcW w:w="380" w:type="dxa"/>
            <w:vAlign w:val="bottom"/>
          </w:tcPr>
          <w:p>
            <w:pPr>
              <w:ind w:left="24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4"/>
                <w:szCs w:val="24"/>
                <w:color w:val="auto"/>
              </w:rPr>
            </w:pPr>
          </w:p>
        </w:tc>
        <w:tc>
          <w:tcPr>
            <w:tcW w:w="400" w:type="dxa"/>
            <w:vAlign w:val="bottom"/>
            <w:gridSpan w:val="3"/>
          </w:tcPr>
          <w:p>
            <w:pPr>
              <w:jc w:val="center"/>
              <w:ind w:left="76"/>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4"/>
                <w:szCs w:val="24"/>
                <w:color w:val="auto"/>
              </w:rPr>
            </w:pP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2,535</w:t>
            </w:r>
            <w:r>
              <w:rPr>
                <w:rFonts w:ascii="Times New Roman" w:cs="Times New Roman" w:eastAsia="Times New Roman" w:hAnsi="Times New Roman"/>
                <w:sz w:val="22"/>
                <w:szCs w:val="22"/>
                <w:color w:val="008000"/>
                <w:w w:val="93"/>
                <w:vertAlign w:val="superscript"/>
              </w:rPr>
              <w:t>(3)</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1780" w:type="dxa"/>
            <w:vAlign w:val="bottom"/>
            <w:tcBorders>
              <w:top w:val="single" w:sz="8" w:color="2C2C2C"/>
              <w:bottom w:val="single" w:sz="8" w:color="2C2C2C"/>
            </w:tcBorders>
            <w:gridSpan w:val="5"/>
          </w:tcPr>
          <w:p>
            <w:pPr>
              <w:jc w:val="center"/>
              <w:ind w:left="568"/>
              <w:spacing w:after="0"/>
              <w:rPr>
                <w:sz w:val="20"/>
                <w:szCs w:val="20"/>
                <w:color w:val="auto"/>
              </w:rPr>
            </w:pPr>
            <w:r>
              <w:rPr>
                <w:rFonts w:ascii="Times New Roman" w:cs="Times New Roman" w:eastAsia="Times New Roman" w:hAnsi="Times New Roman"/>
                <w:sz w:val="17"/>
                <w:szCs w:val="17"/>
                <w:color w:val="0000FF"/>
              </w:rPr>
              <w:t>05/12/2022</w:t>
            </w:r>
          </w:p>
        </w:tc>
        <w:tc>
          <w:tcPr>
            <w:tcW w:w="4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380" w:type="dxa"/>
            <w:vAlign w:val="bottom"/>
            <w:tcBorders>
              <w:top w:val="single" w:sz="8" w:color="2C2C2C"/>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gridSpan w:val="4"/>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23.67</w:t>
            </w:r>
          </w:p>
        </w:tc>
        <w:tc>
          <w:tcPr>
            <w:tcW w:w="120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19,551</w:t>
            </w:r>
            <w:r>
              <w:rPr>
                <w:rFonts w:ascii="Times New Roman" w:cs="Times New Roman" w:eastAsia="Times New Roman" w:hAnsi="Times New Roman"/>
                <w:sz w:val="22"/>
                <w:szCs w:val="22"/>
                <w:color w:val="008000"/>
                <w:w w:val="97"/>
                <w:vertAlign w:val="superscript"/>
              </w:rPr>
              <w:t>(4)</w:t>
            </w:r>
          </w:p>
        </w:tc>
        <w:tc>
          <w:tcPr>
            <w:tcW w:w="920" w:type="dxa"/>
            <w:vAlign w:val="bottom"/>
            <w:tcBorders>
              <w:top w:val="single" w:sz="8" w:color="2C2C2C"/>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520" w:type="dxa"/>
            <w:vAlign w:val="bottom"/>
            <w:gridSpan w:val="15"/>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acquired 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Such securities were originally included on the Form 3 filed by the Reporting Person on March 10, 2022.</w:t>
      </w:r>
    </w:p>
    <w:p>
      <w:pPr>
        <w:spacing w:after="0" w:line="24"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restricted stock units ("RSUs"), which awards continue to be subject to the same terms and conditions of the Old BellRing awards. In connection with the Transactions, unvested RSUs of Old BellRing were assumed by Issuer and continue to be subject to the same terms and conditions of the Old BellRing awards.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inadvertently reported as indirectly held by 401(k) on the Form 3 filed by the Reporting Person on March 10, 2022.</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awards under the Old BellRing 2019 Long-Term Incentive Plan were adjusted to account for the Cash Consideration paid to holders of Old Bell Ring common stock in the Transactions. The amount of securities beneficially owned following the reported transaction includes 1,624 additional RSUs received in connection with such adjustment, which RSUs are subject to the same vesting terms as the underlying awards.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Craig L. Rosenthal,</w:t>
            </w:r>
          </w:p>
        </w:tc>
        <w:tc>
          <w:tcPr>
            <w:tcW w:w="5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5613"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2022-05-16T18:08:16Z</dcterms:created>
  <dcterms:modified xsi:type="dcterms:W3CDTF">2022-05-16T18:08:16Z</dcterms:modified>
</cp:coreProperties>
</file>