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339725</wp:posOffset>
            </wp:positionH>
            <wp:positionV relativeFrom="page">
              <wp:posOffset>597535</wp:posOffset>
            </wp:positionV>
            <wp:extent cx="61436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3625" cy="5715"/>
                    </a:xfrm>
                    <a:prstGeom prst="rect">
                      <a:avLst/>
                    </a:prstGeom>
                    <a:noFill/>
                  </pic:spPr>
                </pic:pic>
              </a:graphicData>
            </a:graphic>
          </wp:anchor>
        </w:drawing>
        <w:drawing>
          <wp:anchor simplePos="0" relativeHeight="251657728" behindDoc="1" locked="0" layoutInCell="0" allowOverlap="1">
            <wp:simplePos x="0" y="0"/>
            <wp:positionH relativeFrom="page">
              <wp:posOffset>339725</wp:posOffset>
            </wp:positionH>
            <wp:positionV relativeFrom="page">
              <wp:posOffset>614680</wp:posOffset>
            </wp:positionV>
            <wp:extent cx="61436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3625" cy="571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2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1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Date of Report (Date of earliest event reported): February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79375</wp:posOffset>
            </wp:positionV>
            <wp:extent cx="1000125" cy="525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0125" cy="525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BellRing Brands, Inc.</w:t>
      </w:r>
    </w:p>
    <w:p>
      <w:pPr>
        <w:spacing w:after="0" w:line="103" w:lineRule="exact"/>
        <w:rPr>
          <w:sz w:val="24"/>
          <w:szCs w:val="24"/>
          <w:color w:val="auto"/>
        </w:rPr>
      </w:pPr>
    </w:p>
    <w:tbl>
      <w:tblPr>
        <w:tblLayout w:type="fixed"/>
        <w:tblInd w:w="1280" w:type="dxa"/>
        <w:tblCellMar>
          <w:top w:w="0" w:type="dxa"/>
          <w:left w:w="0" w:type="dxa"/>
          <w:bottom w:w="0" w:type="dxa"/>
          <w:right w:w="0" w:type="dxa"/>
        </w:tblCellMar>
      </w:tblPr>
      <w:tr>
        <w:trPr>
          <w:trHeight w:val="155"/>
        </w:trPr>
        <w:tc>
          <w:tcPr>
            <w:tcW w:w="2620" w:type="dxa"/>
            <w:vAlign w:val="bottom"/>
          </w:tcPr>
          <w:p>
            <w:pPr>
              <w:spacing w:after="0"/>
              <w:rPr>
                <w:sz w:val="13"/>
                <w:szCs w:val="13"/>
                <w:color w:val="auto"/>
              </w:rPr>
            </w:pP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2280" w:type="dxa"/>
            <w:vAlign w:val="bottom"/>
          </w:tcPr>
          <w:p>
            <w:pPr>
              <w:spacing w:after="0"/>
              <w:rPr>
                <w:sz w:val="13"/>
                <w:szCs w:val="13"/>
                <w:color w:val="auto"/>
              </w:rPr>
            </w:pPr>
          </w:p>
        </w:tc>
      </w:tr>
      <w:tr>
        <w:trPr>
          <w:trHeight w:val="184"/>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340" w:type="dxa"/>
            <w:vAlign w:val="bottom"/>
          </w:tcPr>
          <w:p>
            <w:pPr>
              <w:spacing w:after="0"/>
              <w:rPr>
                <w:sz w:val="16"/>
                <w:szCs w:val="16"/>
                <w:color w:val="auto"/>
              </w:rPr>
            </w:pPr>
          </w:p>
        </w:tc>
        <w:tc>
          <w:tcPr>
            <w:tcW w:w="2260" w:type="dxa"/>
            <w:vAlign w:val="bottom"/>
          </w:tcPr>
          <w:p>
            <w:pPr>
              <w:jc w:val="center"/>
              <w:ind w:right="1394"/>
              <w:spacing w:after="0"/>
              <w:rPr>
                <w:sz w:val="20"/>
                <w:szCs w:val="20"/>
                <w:color w:val="auto"/>
              </w:rPr>
            </w:pPr>
            <w:r>
              <w:rPr>
                <w:rFonts w:ascii="Times New Roman" w:cs="Times New Roman" w:eastAsia="Times New Roman" w:hAnsi="Times New Roman"/>
                <w:sz w:val="13"/>
                <w:szCs w:val="13"/>
                <w:b w:val="1"/>
                <w:bCs w:val="1"/>
                <w:color w:val="auto"/>
                <w:w w:val="99"/>
              </w:rPr>
              <w:t>001-39093</w:t>
            </w:r>
          </w:p>
        </w:tc>
        <w:tc>
          <w:tcPr>
            <w:tcW w:w="2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87-3296749</w:t>
            </w:r>
          </w:p>
        </w:tc>
      </w:tr>
      <w:tr>
        <w:trPr>
          <w:trHeight w:val="158"/>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2"/>
                <w:szCs w:val="12"/>
                <w:color w:val="auto"/>
                <w:w w:val="99"/>
              </w:rPr>
              <w:t>(State or other jurisdiction of incorporation)</w:t>
            </w: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280" w:type="dxa"/>
            <w:vAlign w:val="bottom"/>
          </w:tcPr>
          <w:p>
            <w:pPr>
              <w:jc w:val="center"/>
              <w:ind w:left="557"/>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391"/>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2503 S. Hanley Road</w:t>
            </w:r>
          </w:p>
        </w:tc>
        <w:tc>
          <w:tcPr>
            <w:tcW w:w="134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St. Louis</w:t>
            </w:r>
          </w:p>
        </w:tc>
        <w:tc>
          <w:tcPr>
            <w:tcW w:w="2260" w:type="dxa"/>
            <w:vAlign w:val="bottom"/>
          </w:tcPr>
          <w:p>
            <w:pPr>
              <w:ind w:left="1060"/>
              <w:spacing w:after="0"/>
              <w:rPr>
                <w:sz w:val="20"/>
                <w:szCs w:val="20"/>
                <w:color w:val="auto"/>
              </w:rPr>
            </w:pPr>
            <w:r>
              <w:rPr>
                <w:rFonts w:ascii="Times New Roman" w:cs="Times New Roman" w:eastAsia="Times New Roman" w:hAnsi="Times New Roman"/>
                <w:sz w:val="13"/>
                <w:szCs w:val="13"/>
                <w:b w:val="1"/>
                <w:bCs w:val="1"/>
                <w:color w:val="auto"/>
              </w:rPr>
              <w:t>Missouri</w:t>
            </w:r>
          </w:p>
        </w:tc>
        <w:tc>
          <w:tcPr>
            <w:tcW w:w="2280" w:type="dxa"/>
            <w:vAlign w:val="bottom"/>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63144</w:t>
            </w:r>
          </w:p>
        </w:tc>
      </w:tr>
      <w:tr>
        <w:trPr>
          <w:trHeight w:val="158"/>
        </w:trPr>
        <w:tc>
          <w:tcPr>
            <w:tcW w:w="3960" w:type="dxa"/>
            <w:vAlign w:val="bottom"/>
            <w:gridSpan w:val="2"/>
          </w:tcPr>
          <w:p>
            <w:pPr>
              <w:ind w:left="172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2260" w:type="dxa"/>
            <w:vAlign w:val="bottom"/>
          </w:tcPr>
          <w:p>
            <w:pPr>
              <w:spacing w:after="0"/>
              <w:rPr>
                <w:sz w:val="13"/>
                <w:szCs w:val="13"/>
                <w:color w:val="auto"/>
              </w:rPr>
            </w:pPr>
          </w:p>
        </w:tc>
        <w:tc>
          <w:tcPr>
            <w:tcW w:w="2280" w:type="dxa"/>
            <w:vAlign w:val="bottom"/>
          </w:tcPr>
          <w:p>
            <w:pPr>
              <w:jc w:val="center"/>
              <w:ind w:left="577"/>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1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3"/>
          <w:szCs w:val="13"/>
          <w:b w:val="1"/>
          <w:bCs w:val="1"/>
          <w:color w:val="auto"/>
        </w:rPr>
        <w:t>(314) 644-7600</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44"/>
        </w:trPr>
        <w:tc>
          <w:tcPr>
            <w:tcW w:w="1420" w:type="dxa"/>
            <w:vAlign w:val="bottom"/>
          </w:tcPr>
          <w:p>
            <w:pPr>
              <w:spacing w:after="0"/>
              <w:rPr>
                <w:sz w:val="12"/>
                <w:szCs w:val="12"/>
                <w:color w:val="auto"/>
              </w:rPr>
            </w:pPr>
          </w:p>
        </w:tc>
        <w:tc>
          <w:tcPr>
            <w:tcW w:w="2280" w:type="dxa"/>
            <w:vAlign w:val="bottom"/>
            <w:gridSpan w:val="2"/>
          </w:tcPr>
          <w:p>
            <w:pPr>
              <w:jc w:val="center"/>
              <w:ind w:right="142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4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292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60"/>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$0.01 par value per share</w:t>
            </w:r>
          </w:p>
        </w:tc>
        <w:tc>
          <w:tcPr>
            <w:tcW w:w="780" w:type="dxa"/>
            <w:vAlign w:val="bottom"/>
          </w:tcPr>
          <w:p>
            <w:pPr>
              <w:spacing w:after="0"/>
              <w:rPr>
                <w:sz w:val="13"/>
                <w:szCs w:val="13"/>
                <w:color w:val="auto"/>
              </w:rPr>
            </w:pPr>
          </w:p>
        </w:tc>
        <w:tc>
          <w:tcPr>
            <w:tcW w:w="170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rPr>
              <w:t>BRBR</w:t>
            </w:r>
          </w:p>
        </w:tc>
        <w:tc>
          <w:tcPr>
            <w:tcW w:w="8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bl>
    <w:p>
      <w:pPr>
        <w:spacing w:after="0" w:line="115"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204"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582295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-44450</wp:posOffset>
            </wp:positionV>
            <wp:extent cx="60636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3615" cy="571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-27305</wp:posOffset>
            </wp:positionV>
            <wp:extent cx="60636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ectPr>
          <w:pgSz w:w="11900" w:h="16838" w:orient="portrait"/>
          <w:cols w:equalWidth="0" w:num="1">
            <w:col w:w="11200"/>
          </w:cols>
          <w:pgMar w:left="300" w:top="1087" w:right="399" w:bottom="1440" w:gutter="0" w:footer="0" w:header="0"/>
        </w:sectPr>
      </w:pPr>
    </w:p>
    <w:bookmarkStart w:id="1" w:name="page2"/>
    <w:bookmarkEnd w:id="1"/>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 and Financial Condition.</w:t>
      </w:r>
    </w:p>
    <w:p>
      <w:pPr>
        <w:spacing w:after="0" w:line="172"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On February 6, 2023, BellRing Brands, Inc. (the "Company") issued a press release announcing results for its first fiscal quarter ended December 31, 2022. A copy of the press release is attached hereto as Exhibit 99.1 and incorporated herein by reference.</w:t>
      </w:r>
    </w:p>
    <w:p>
      <w:pPr>
        <w:spacing w:after="0" w:line="129"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 addition, on February 6, 2023, the Company published to the "Investor Relations" section of its website, www.bellringbrands.com, a supplemental presentation related to results for its first fiscal quarter ended December 31, 2022. A copy of the presentation is attached hereto as Exhibit 99.2 and incorporated herein by reference.</w:t>
      </w:r>
    </w:p>
    <w:p>
      <w:pPr>
        <w:spacing w:after="0" w:line="12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13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500" w:type="dxa"/>
            <w:vAlign w:val="bottom"/>
          </w:tcPr>
          <w:p>
            <w:pPr>
              <w:spacing w:after="0"/>
              <w:rPr>
                <w:sz w:val="13"/>
                <w:szCs w:val="13"/>
                <w:color w:val="auto"/>
              </w:rPr>
            </w:pPr>
          </w:p>
        </w:tc>
      </w:tr>
      <w:tr>
        <w:trPr>
          <w:trHeight w:val="306"/>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700" w:type="dxa"/>
            <w:vAlign w:val="bottom"/>
          </w:tcPr>
          <w:p>
            <w:pPr>
              <w:spacing w:after="0"/>
              <w:rPr>
                <w:sz w:val="20"/>
                <w:szCs w:val="20"/>
                <w:color w:val="auto"/>
              </w:rPr>
            </w:pPr>
          </w:p>
        </w:tc>
        <w:tc>
          <w:tcPr>
            <w:tcW w:w="18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8"/>
              </w:rPr>
              <w:t>Press Release dated February 6, 2023</w:t>
            </w:r>
          </w:p>
        </w:tc>
        <w:tc>
          <w:tcPr>
            <w:tcW w:w="7240" w:type="dxa"/>
            <w:vAlign w:val="bottom"/>
            <w:gridSpan w:val="2"/>
          </w:tcPr>
          <w:p>
            <w:pPr>
              <w:spacing w:after="0"/>
              <w:rPr>
                <w:sz w:val="20"/>
                <w:szCs w:val="20"/>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1700" w:type="dxa"/>
            <w:vAlign w:val="bottom"/>
          </w:tcPr>
          <w:p>
            <w:pPr>
              <w:spacing w:after="0"/>
              <w:rPr>
                <w:sz w:val="11"/>
                <w:szCs w:val="11"/>
                <w:color w:val="auto"/>
              </w:rPr>
            </w:pPr>
          </w:p>
        </w:tc>
        <w:tc>
          <w:tcPr>
            <w:tcW w:w="904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First Fiscal Quarter Ended December 31, 2022 Supplemental Presentation</w:t>
            </w:r>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160"/>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700" w:type="dxa"/>
            <w:vAlign w:val="bottom"/>
          </w:tcPr>
          <w:p>
            <w:pPr>
              <w:spacing w:after="0"/>
              <w:rPr>
                <w:sz w:val="13"/>
                <w:szCs w:val="13"/>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(the cover page iXBRL tags are embedded within the Inline XBRL document)</w:t>
            </w:r>
          </w:p>
        </w:tc>
      </w:tr>
      <w:tr>
        <w:trPr>
          <w:trHeight w:val="2241"/>
        </w:trPr>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60"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20" w:type="dxa"/>
            <w:vAlign w:val="bottom"/>
          </w:tcPr>
          <w:p>
            <w:pPr>
              <w:spacing w:after="0"/>
              <w:rPr>
                <w:sz w:val="20"/>
                <w:szCs w:val="20"/>
                <w:color w:val="auto"/>
              </w:rPr>
            </w:pPr>
            <w:r>
              <w:rPr>
                <w:rFonts w:ascii="Times New Roman" w:cs="Times New Roman" w:eastAsia="Times New Roman" w:hAnsi="Times New Roman"/>
                <w:sz w:val="12"/>
                <w:szCs w:val="12"/>
                <w:color w:val="auto"/>
              </w:rPr>
              <w:t>Date: February 6, 2023</w:t>
            </w:r>
          </w:p>
        </w:tc>
        <w:tc>
          <w:tcPr>
            <w:tcW w:w="7760" w:type="dxa"/>
            <w:vAlign w:val="bottom"/>
            <w:gridSpan w:val="2"/>
          </w:tcPr>
          <w:p>
            <w:pPr>
              <w:ind w:left="2220"/>
              <w:spacing w:after="0"/>
              <w:rPr>
                <w:sz w:val="20"/>
                <w:szCs w:val="20"/>
                <w:color w:val="auto"/>
              </w:rPr>
            </w:pPr>
            <w:r>
              <w:rPr>
                <w:rFonts w:ascii="Times New Roman" w:cs="Times New Roman" w:eastAsia="Times New Roman" w:hAnsi="Times New Roman"/>
                <w:sz w:val="12"/>
                <w:szCs w:val="12"/>
                <w:b w:val="1"/>
                <w:bCs w:val="1"/>
                <w:color w:val="auto"/>
              </w:rPr>
              <w:t>BellRing Brands, Inc.</w:t>
            </w:r>
          </w:p>
        </w:tc>
      </w:tr>
      <w:tr>
        <w:trPr>
          <w:trHeight w:val="225"/>
        </w:trPr>
        <w:tc>
          <w:tcPr>
            <w:tcW w:w="3320" w:type="dxa"/>
            <w:vAlign w:val="bottom"/>
          </w:tcPr>
          <w:p>
            <w:pPr>
              <w:spacing w:after="0"/>
              <w:rPr>
                <w:sz w:val="19"/>
                <w:szCs w:val="19"/>
                <w:color w:val="auto"/>
              </w:rPr>
            </w:pPr>
          </w:p>
        </w:tc>
        <w:tc>
          <w:tcPr>
            <w:tcW w:w="3140" w:type="dxa"/>
            <w:vAlign w:val="bottom"/>
          </w:tcPr>
          <w:p>
            <w:pPr>
              <w:ind w:left="2220"/>
              <w:spacing w:after="0"/>
              <w:rPr>
                <w:sz w:val="20"/>
                <w:szCs w:val="20"/>
                <w:color w:val="auto"/>
              </w:rPr>
            </w:pPr>
            <w:r>
              <w:rPr>
                <w:rFonts w:ascii="Times New Roman" w:cs="Times New Roman" w:eastAsia="Times New Roman" w:hAnsi="Times New Roman"/>
                <w:sz w:val="12"/>
                <w:szCs w:val="12"/>
                <w:color w:val="auto"/>
              </w:rPr>
              <w:t>(Registrant)</w:t>
            </w:r>
          </w:p>
        </w:tc>
        <w:tc>
          <w:tcPr>
            <w:tcW w:w="4620" w:type="dxa"/>
            <w:vAlign w:val="bottom"/>
          </w:tcPr>
          <w:p>
            <w:pPr>
              <w:spacing w:after="0"/>
              <w:rPr>
                <w:sz w:val="19"/>
                <w:szCs w:val="19"/>
                <w:color w:val="auto"/>
              </w:rPr>
            </w:pPr>
          </w:p>
        </w:tc>
      </w:tr>
      <w:tr>
        <w:trPr>
          <w:trHeight w:val="450"/>
        </w:trPr>
        <w:tc>
          <w:tcPr>
            <w:tcW w:w="3320" w:type="dxa"/>
            <w:vAlign w:val="bottom"/>
          </w:tcPr>
          <w:p>
            <w:pPr>
              <w:spacing w:after="0"/>
              <w:rPr>
                <w:sz w:val="24"/>
                <w:szCs w:val="24"/>
                <w:color w:val="auto"/>
              </w:rPr>
            </w:pPr>
          </w:p>
        </w:tc>
        <w:tc>
          <w:tcPr>
            <w:tcW w:w="3140" w:type="dxa"/>
            <w:vAlign w:val="bottom"/>
          </w:tcPr>
          <w:p>
            <w:pPr>
              <w:ind w:left="2220"/>
              <w:spacing w:after="0"/>
              <w:rPr>
                <w:sz w:val="20"/>
                <w:szCs w:val="20"/>
                <w:color w:val="auto"/>
              </w:rPr>
            </w:pPr>
            <w:r>
              <w:rPr>
                <w:rFonts w:ascii="Times New Roman" w:cs="Times New Roman" w:eastAsia="Times New Roman" w:hAnsi="Times New Roman"/>
                <w:sz w:val="12"/>
                <w:szCs w:val="12"/>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Paul A. Rode</w:t>
            </w:r>
          </w:p>
        </w:tc>
      </w:tr>
      <w:tr>
        <w:trPr>
          <w:trHeight w:val="203"/>
        </w:trPr>
        <w:tc>
          <w:tcPr>
            <w:tcW w:w="3320" w:type="dxa"/>
            <w:vAlign w:val="bottom"/>
          </w:tcPr>
          <w:p>
            <w:pPr>
              <w:spacing w:after="0"/>
              <w:rPr>
                <w:sz w:val="17"/>
                <w:szCs w:val="17"/>
                <w:color w:val="auto"/>
              </w:rPr>
            </w:pPr>
          </w:p>
        </w:tc>
        <w:tc>
          <w:tcPr>
            <w:tcW w:w="3140" w:type="dxa"/>
            <w:vAlign w:val="bottom"/>
          </w:tcPr>
          <w:p>
            <w:pPr>
              <w:ind w:left="2220"/>
              <w:spacing w:after="0"/>
              <w:rPr>
                <w:sz w:val="20"/>
                <w:szCs w:val="20"/>
                <w:color w:val="auto"/>
              </w:rPr>
            </w:pPr>
            <w:r>
              <w:rPr>
                <w:rFonts w:ascii="Times New Roman" w:cs="Times New Roman" w:eastAsia="Times New Roman" w:hAnsi="Times New Roman"/>
                <w:sz w:val="12"/>
                <w:szCs w:val="12"/>
                <w:color w:val="auto"/>
              </w:rPr>
              <w:t>Name: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Paul A. Rode</w:t>
            </w:r>
          </w:p>
        </w:tc>
      </w:tr>
      <w:tr>
        <w:trPr>
          <w:trHeight w:val="155"/>
        </w:trPr>
        <w:tc>
          <w:tcPr>
            <w:tcW w:w="3320" w:type="dxa"/>
            <w:vAlign w:val="bottom"/>
          </w:tcPr>
          <w:p>
            <w:pPr>
              <w:spacing w:after="0"/>
              <w:rPr>
                <w:sz w:val="13"/>
                <w:szCs w:val="13"/>
                <w:color w:val="auto"/>
              </w:rPr>
            </w:pPr>
          </w:p>
        </w:tc>
        <w:tc>
          <w:tcPr>
            <w:tcW w:w="3140" w:type="dxa"/>
            <w:vAlign w:val="bottom"/>
          </w:tcPr>
          <w:p>
            <w:pPr>
              <w:ind w:left="2220"/>
              <w:spacing w:after="0"/>
              <w:rPr>
                <w:sz w:val="20"/>
                <w:szCs w:val="20"/>
                <w:color w:val="auto"/>
              </w:rPr>
            </w:pPr>
            <w:r>
              <w:rPr>
                <w:rFonts w:ascii="Times New Roman" w:cs="Times New Roman" w:eastAsia="Times New Roman" w:hAnsi="Times New Roman"/>
                <w:sz w:val="12"/>
                <w:szCs w:val="12"/>
                <w:color w:val="auto"/>
              </w:rPr>
              <w:t>Title: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080"/>
          </w:cols>
          <w:pgMar w:left="300" w:top="1155"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1000125" cy="480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0012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BellRing Brands Reports Results for the First Quarter of Fiscal Year 2023; Raises Certain Fiscal Year 2023 Outlook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St. Louis - February 6, 2023 </w:t>
      </w:r>
      <w:r>
        <w:rPr>
          <w:rFonts w:ascii="Times New Roman" w:cs="Times New Roman" w:eastAsia="Times New Roman" w:hAnsi="Times New Roman"/>
          <w:sz w:val="12"/>
          <w:szCs w:val="12"/>
          <w:color w:val="auto"/>
        </w:rPr>
        <w:t>- BellRing Brands, Inc. (NYSE:BRBR) (“BellRing”), a holding company operating in the global convenient nutrition category, today reported results for the first fiscal quarter ended December 31,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Highlights:</w:t>
      </w:r>
    </w:p>
    <w:p>
      <w:pPr>
        <w:spacing w:after="0" w:line="78"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First quarter net sales of $362.7 million</w:t>
      </w:r>
    </w:p>
    <w:p>
      <w:pPr>
        <w:spacing w:after="0" w:line="20"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Operating profit of $75.2 million; net earnings available to common stockholders of $44.2 million and Adjusted EBITDA of $84.9 million</w:t>
      </w:r>
    </w:p>
    <w:p>
      <w:pPr>
        <w:spacing w:after="0" w:line="6"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Affirmed fiscal year 2023 net sales guidance of between $1.56-$1.64 billion; raises Adjusted EBITDA (non-GAAP)* guidance to $306-$325 million</w:t>
      </w:r>
    </w:p>
    <w:p>
      <w:pPr>
        <w:spacing w:after="0" w:line="6"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Post Holdings completes its exit of BellRing ownership</w:t>
      </w:r>
    </w:p>
    <w:p>
      <w:pPr>
        <w:spacing w:after="0" w:line="98"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0"/>
          <w:szCs w:val="10"/>
          <w:i w:val="1"/>
          <w:iCs w:val="1"/>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the adjustments described under “Outlook” below.</w:t>
      </w:r>
    </w:p>
    <w:p>
      <w:pPr>
        <w:spacing w:after="0" w:line="9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 xml:space="preserve">“We are pleased with our strong first quarter performance, which came in ahead of our expectations. Our shake production came in slightly higher than we forecasted, improving both internal and customer trade inventory levels and driving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volumes back to growth.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saw healthy retail consumption growth in the quarter, which has continued into January,” said Darcy H. Davenport, President and Chief Executive Officer of BellRing. “The convenient nutrition category continues to show momentum. Our new capacity expansions remain on track. Our brands are resonating with consumers and our first quarter results give us greater confidence in our full year outlook and long-term prospects.”</w:t>
      </w:r>
    </w:p>
    <w:p>
      <w:pPr>
        <w:spacing w:after="0" w:line="84"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2"/>
          <w:szCs w:val="12"/>
          <w:color w:val="auto"/>
        </w:rPr>
        <w:t xml:space="preserve">Dollar consumption of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ready-to-drink (“RTD”) shakes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United States (“U.S.”) powder products increased 15.1% and 29.9%, respectively, in the 13-week period ended January 1, 2023, as compared to the same period in 2022 (inclusive of IRI Multi Outlet including Convenience and management estimates of untracked channels).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First Quarter Operating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sales were $362.7 million, an increase of 18.3%, or $56.2 million, compared to the prior year period, driven by 15.4% improvement in price/mix and 2.9% increase in volume.</w:t>
      </w:r>
    </w:p>
    <w:p>
      <w:pPr>
        <w:spacing w:after="0" w:line="11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Premier Protein </w:t>
      </w:r>
      <w:r>
        <w:rPr>
          <w:rFonts w:ascii="Times New Roman" w:cs="Times New Roman" w:eastAsia="Times New Roman" w:hAnsi="Times New Roman"/>
          <w:sz w:val="12"/>
          <w:szCs w:val="12"/>
          <w:color w:val="auto"/>
        </w:rPr>
        <w:t>net sales increased 22.9%, driven by 18.0% improvement in price and 4.9% increase in volume.</w:t>
      </w:r>
      <w:r>
        <w:rPr>
          <w:rFonts w:ascii="Times New Roman" w:cs="Times New Roman" w:eastAsia="Times New Roman" w:hAnsi="Times New Roman"/>
          <w:sz w:val="12"/>
          <w:szCs w:val="12"/>
          <w:i w:val="1"/>
          <w:iCs w:val="1"/>
          <w:color w:val="auto"/>
        </w:rPr>
        <w:t xml:space="preserve"> Premier Protein </w:t>
      </w:r>
      <w:r>
        <w:rPr>
          <w:rFonts w:ascii="Times New Roman" w:cs="Times New Roman" w:eastAsia="Times New Roman" w:hAnsi="Times New Roman"/>
          <w:sz w:val="12"/>
          <w:szCs w:val="12"/>
          <w:color w:val="auto"/>
        </w:rPr>
        <w:t>RTD shake net sales increased 21.8%, driven by 16.7% improvement in price and 5.1% increase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volume. Net sales benefited from higher average net selling prices driven by price increases to offset significant cost inflation. Higher RTD shake production, along with RTD category growth, drove underlying net sales growth. Partially offsetting this volume growth was the lapping of temporarily discontinued flavors.</w:t>
      </w:r>
    </w:p>
    <w:p>
      <w:pPr>
        <w:spacing w:after="0" w:line="8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Dymatize </w:t>
      </w:r>
      <w:r>
        <w:rPr>
          <w:rFonts w:ascii="Times New Roman" w:cs="Times New Roman" w:eastAsia="Times New Roman" w:hAnsi="Times New Roman"/>
          <w:sz w:val="12"/>
          <w:szCs w:val="12"/>
          <w:color w:val="auto"/>
        </w:rPr>
        <w:t>net sales increased 2.5%, driven by 21.5% improvement in price/mix, which was partially offset by 19.0% decrease in volume. Price/mix benefited from higher average net selling prices (driven by price increases to offset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significant cost inflation) and favorable product mix, which was partially offset by increased promotional spending. Volume contraction was driven by lapping discontinued products and shifts in quarterly shipment timing within the international and specialty channels. These declines were partially offset by volume growth driven by new product distribution gains and promotional activities.</w:t>
      </w:r>
    </w:p>
    <w:p>
      <w:pPr>
        <w:spacing w:after="0" w:line="83"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2"/>
          <w:szCs w:val="12"/>
          <w:color w:val="auto"/>
        </w:rPr>
        <w:t>Gross profit was $121.8 million, or 33.6% of net sales, an increase of 32.0%, or $29.5 million, compared to $92.3 million, or 30.1% of net sales, in the prior year period. The higher gross profit margin was driven by improved pricing that offset significant cost inflation, $3.8 million of production attainment fees received in the current year period from shake contract manufacturers and lapping logistics inefficiencies in the prior year period (resulting from capacity constraints).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42" w:right="299" w:bottom="1440" w:gutter="0" w:footer="0" w:header="0"/>
        </w:sectPr>
      </w:pPr>
    </w:p>
    <w:bookmarkStart w:id="4" w:name="page5"/>
    <w:bookmarkEnd w:id="4"/>
    <w:p>
      <w:pPr>
        <w:jc w:val="both"/>
        <w:ind w:right="160"/>
        <w:spacing w:after="0" w:line="327" w:lineRule="auto"/>
        <w:rPr>
          <w:sz w:val="20"/>
          <w:szCs w:val="20"/>
          <w:color w:val="auto"/>
        </w:rPr>
      </w:pPr>
      <w:r>
        <w:rPr>
          <w:rFonts w:ascii="Times New Roman" w:cs="Times New Roman" w:eastAsia="Times New Roman" w:hAnsi="Times New Roman"/>
          <w:sz w:val="11"/>
          <w:szCs w:val="11"/>
          <w:color w:val="auto"/>
        </w:rPr>
        <w:t>Selling, general and administrative (“SG&amp;A”) expenses were $41.7 million, or 11.5% of net sales, an increase of $4.9 million compared to $36.8 million, or 12.0% of net sales, in the prior year period. SG&amp;A expenses included $0.3 million and $2.0 million in the first quarter of 2023 and 2022, respectively, of costs incurred in connection with BellRing’s separation from Post Holdings, Inc. (“Post”), which were treated as adjustments for non-GAAP measures.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Operating profit was $75.2 million, an increase of 48.6%, or $24.6 million, compared to $50.6 million in the prior year period.</w:t>
      </w:r>
    </w:p>
    <w:p>
      <w:pPr>
        <w:spacing w:after="0" w:line="114"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2"/>
          <w:szCs w:val="12"/>
          <w:color w:val="auto"/>
        </w:rPr>
        <w:t>Net earnings available to common stockholders were $44.2 million, an increase of 439.0%, or $36.0 million, compared to $8.2 million in the prior year period. Net earnings available to common stockholders in the prior year period excluded $31.1 million of net earnings attributable to the Company’s redeemable noncontrolling interest (“NCI”). Net earnings per diluted share of common stock were $0.33, compared to $0.21 in the prior year period. Adjusted net earnings available to common stockholders were $44.9 million, or $0.33 per diluted share of common stock, compared to $10.1 million, or $0.26 per diluted share of common stock, in the prior year period.</w:t>
      </w:r>
    </w:p>
    <w:p>
      <w:pPr>
        <w:spacing w:after="0" w:line="83"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2"/>
          <w:szCs w:val="12"/>
          <w:color w:val="auto"/>
        </w:rPr>
        <w:t>Adjusted EBITDA was $84.9 million, an increase of 42.0%, or $25.1 million, compared to $59.8 million in the prior year period. Adjusted EBITDA in the prior year period included an adjustment for the portion of BellRing Brands, LLC’s (“BellRing LLC”) consolidated net earnings which was allocated to NCI in the period prior to Post’s distribution to its shareholders of 80.1% of Post’s interest in BellRing (the “Distribution” and, together with the transactions related thereto, the “Spin-off”), resulting in the calculation of Adjusted EBITDA including 100% of BellRing.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Interest and Income Tax</w:t>
      </w:r>
    </w:p>
    <w:p>
      <w:pPr>
        <w:spacing w:after="0" w:line="118"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Interest expense, net was $16.7 million in the first quarter of 2023, compared to $8.4 million in the first quarter of 2022. The increase was primarily driven by increases in the aggregate principal amount of debt outstanding and the weighted-average interest rate, both of which resulted from the Spin-off transactions.</w:t>
      </w:r>
    </w:p>
    <w:p>
      <w:pPr>
        <w:spacing w:after="0" w:line="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Income tax expense was $14.3 million in the first quarter of 2023, an effective income tax rate of 24.4%, compared to $2.9 million in the first quarter of 2022, an effective income tax rate of 6.9%. In the three months ended December 31, 2022, the increase in the effective income tax rate when compared to the prior year period was driven primarily by inclusion of 100% of the items of income, gain, loss and deduction of BellRing LLC in the period subsequent to the Spin-off. In the three months ended December 31, 2021, the effective income tax rate differed significantly from the statutory rate as a result of taking into account for U.S. federal, state and local income tax purposes its distributive share of the items of income, gain, loss and deduction of BellRing LLC in the period prior to the Spin-off.</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 Repurchases</w:t>
      </w:r>
    </w:p>
    <w:p>
      <w:pPr>
        <w:spacing w:after="0" w:line="118"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During the first quarter of 2023, BellRing repurchased 1.8 million shares for $41.2 million at an average price of $23.33 per share, 0.9 million of which were repurchased in November in connection with a secondary offering of shares previously held by Post. As of December 31, 2022, BellRing had $28.9 million remaining under its share repurchase authorization.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Post Completes Exit of BellRing Ownership</w:t>
      </w:r>
    </w:p>
    <w:p>
      <w:pPr>
        <w:spacing w:after="0" w:line="118"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On November 25, 2022, Post transferred all of its remaining shares of BellRing common stock to certain financial institutions in satisfaction of certain indebtedness of Post. As a result, Post no longer owns any shares of BellRing’s common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of Presentation</w:t>
      </w:r>
    </w:p>
    <w:p>
      <w:pPr>
        <w:spacing w:after="0" w:line="118" w:lineRule="exact"/>
        <w:rPr>
          <w:sz w:val="20"/>
          <w:szCs w:val="20"/>
          <w:color w:val="auto"/>
        </w:rPr>
      </w:pPr>
    </w:p>
    <w:p>
      <w:pPr>
        <w:ind w:right="100"/>
        <w:spacing w:after="0" w:line="327" w:lineRule="auto"/>
        <w:rPr>
          <w:sz w:val="20"/>
          <w:szCs w:val="20"/>
          <w:color w:val="auto"/>
        </w:rPr>
      </w:pPr>
      <w:r>
        <w:rPr>
          <w:rFonts w:ascii="Times New Roman" w:cs="Times New Roman" w:eastAsia="Times New Roman" w:hAnsi="Times New Roman"/>
          <w:sz w:val="11"/>
          <w:szCs w:val="11"/>
          <w:color w:val="auto"/>
        </w:rPr>
        <w:t>On March 10, 2022, Post’s distribution to its shareholders of 80.1% of its interest in BellRing was completed. From October 21, 2019 through March 10, 2022, BellRing allocated a portion of the consolidated net earnings of BellRing LLC to its redeemable NCI, reflecting the entitlement of Post to a portion of the consolidated net earnings. Subsequent to the Spin-off, any remaining ownership of BellRing by Post no longer represented an NCI to BellRing LLC.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Outlook</w:t>
      </w:r>
    </w:p>
    <w:p>
      <w:pPr>
        <w:spacing w:after="0" w:line="118"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For fiscal year 2023, BellRing management continues to expect net sales to range between $1.56-$1.64 billion and has raised its Adjusted EBITDA outlook to range between $306-$325 million (resulting in net sales and Adjusted EBITDA growth of 14%-20% and 13%-20%, respectively, over fiscal year 2022). BellRing management expects fiscal year 2023 capital expenditures of approximately $4 million.</w:t>
      </w:r>
    </w:p>
    <w:p>
      <w:pPr>
        <w:spacing w:after="0" w:line="75"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260"/>
          </w:cols>
          <w:pgMar w:left="300" w:top="642" w:right="339" w:bottom="1440" w:gutter="0" w:footer="0" w:header="0"/>
        </w:sectPr>
      </w:pPr>
    </w:p>
    <w:bookmarkStart w:id="5" w:name="page6"/>
    <w:bookmarkEnd w:id="5"/>
    <w:p>
      <w:pPr>
        <w:ind w:right="440"/>
        <w:spacing w:after="0" w:line="279" w:lineRule="auto"/>
        <w:rPr>
          <w:sz w:val="20"/>
          <w:szCs w:val="20"/>
          <w:color w:val="auto"/>
        </w:rPr>
      </w:pPr>
      <w:r>
        <w:rPr>
          <w:rFonts w:ascii="Times New Roman" w:cs="Times New Roman" w:eastAsia="Times New Roman" w:hAnsi="Times New Roman"/>
          <w:sz w:val="12"/>
          <w:szCs w:val="12"/>
          <w:color w:val="auto"/>
        </w:rPr>
        <w:t>could be made for separation costs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Non-GAAP Measures</w:t>
      </w:r>
    </w:p>
    <w:p>
      <w:pPr>
        <w:spacing w:after="0" w:line="11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common stockholders, Adjusted diluted earnings per share of common stock and Adjusted EBITDA. The reconciliation of each of these non-GAAP measures to the most directly comparable GAAP measure is provided later in this release under “Explanation and Reconciliation of Non-GAAP Measures.”</w:t>
      </w:r>
    </w:p>
    <w:p>
      <w:pPr>
        <w:spacing w:after="0" w:line="8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2"/>
          <w:szCs w:val="12"/>
          <w:color w:val="auto"/>
        </w:rPr>
        <w:t>Management uses certain of these non-GAAP measures, including Adjusted EBITDA, as key metrics in the evaluation of underlying company performance, in making financial, operating and planning decisions and, in part, in the determination of bonuses for its executive officers and employees. Additionally, BellRing is required to comply with certain covenants and limitations that are based on variations of EBITDA in its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to Discuss Earnings Results and Outlook</w:t>
      </w:r>
    </w:p>
    <w:p>
      <w:pPr>
        <w:spacing w:after="0" w:line="118"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BellRing will host a conference call on Tuesday, February 7, 2023 at 9:00 a.m. EST to discuss financial results for the first quarter of fiscal year 2023 and fiscal year 2023 outlook and to respond to questions. Darcy H. Davenport, President and Chief Executive Officer, and Paul A. Rode, Chief Financial Officer, will participate in the call.</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Interested parties may join the conference call by dialing (800) 245-3047 in the United States and (203) 518-9783 from outside of the United States. The conference identification number is BRBRQ123.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w:t>
      </w:r>
    </w:p>
    <w:p>
      <w:pPr>
        <w:spacing w:after="0" w:line="83"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A replay of the conference call will be available through Tuesday, February 14, 2023 by dialing (800) 695-0671 in the United States and (402) 220-1397 from outside of the United States. A webcast replay also will be available for a limited period on BellRing’s website in the Investor Relations section.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Prospective Financial Information</w:t>
      </w:r>
    </w:p>
    <w:p>
      <w:pPr>
        <w:spacing w:after="0" w:line="118"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2"/>
          <w:szCs w:val="12"/>
          <w:color w:val="auto"/>
        </w:rPr>
        <w:t>Certain matters discussed in this release and on BellRing’s conference call are forward-looking statements, including BellRing’s net sales and Adjusted EBITDA and capital expenditures outlook for fiscal year 2023.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sales from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continue to compete in its product categories and its ability to retain its market position and favorable perceptions of its brands;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260"/>
          </w:cols>
          <w:pgMar w:left="300" w:top="642" w:right="339" w:bottom="1440" w:gutter="0" w:footer="0" w:header="0"/>
        </w:sectPr>
      </w:pPr>
    </w:p>
    <w:bookmarkStart w:id="6" w:name="page7"/>
    <w:bookmarkEnd w:id="6"/>
    <w:p>
      <w:pPr>
        <w:jc w:val="both"/>
        <w:ind w:left="420" w:right="60" w:hanging="212"/>
        <w:spacing w:after="0" w:line="256"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disruptions or inefficiencies in BellRing’s supply chain, including as a result of BellRing’s reliance on third party suppliers or manufacturers for the manufacturing of many of its products, pandemics (including the COVID-19 pandemic) and other outbreaks of contagious diseases, labor shortages, fires and evacuations related thereto, changes in weather conditions, natural disasters, agricultural diseases and pests and other events beyond BellRing’s control;</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a limited number of third party contract manufacturers for the manufacturing of most of its products, including one manufacturer for the majority of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BellRing’s third party contract manufacturers to produce an amount of BellRing’s products that enables BellRing to meet customer and consumer demand for the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reliance on a limited number of third party suppliers to provide certain ingredients and packaging;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volatility in the cost or availability of inputs to BellRing’s business (including freight, raw materials, packaging, energy, labor and other supplies);</w:t>
      </w:r>
    </w:p>
    <w:p>
      <w:pPr>
        <w:spacing w:after="0" w:line="6" w:lineRule="exact"/>
        <w:rPr>
          <w:rFonts w:ascii="Times New Roman" w:cs="Times New Roman" w:eastAsia="Times New Roman" w:hAnsi="Times New Roman"/>
          <w:sz w:val="12"/>
          <w:szCs w:val="12"/>
          <w:color w:val="auto"/>
        </w:rPr>
      </w:pPr>
    </w:p>
    <w:p>
      <w:pPr>
        <w:ind w:left="420" w:right="100" w:hanging="212"/>
        <w:spacing w:after="0" w:line="250"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the COVID-19 pandemic, including negative impacts on the global economy and capital markets, the health of BellRing’s employees, BellRing’s ability and the ability of its third party contract manufacturers to manufacture and deliver its products, operating costs, demand for its on-the-go products and its operations generally;</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anticipate and respond to changes in consumer and customer preferences and behaviors and introduce new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consolidation in BellRing’s distribution channels;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expand existing market penetration and enter into new markets;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loss of, a significant reduction of purchases by or the bankruptcy of a major customer;</w:t>
      </w:r>
    </w:p>
    <w:p>
      <w:pPr>
        <w:spacing w:after="0" w:line="6" w:lineRule="exact"/>
        <w:rPr>
          <w:rFonts w:ascii="Times New Roman" w:cs="Times New Roman" w:eastAsia="Times New Roman" w:hAnsi="Times New Roman"/>
          <w:sz w:val="12"/>
          <w:szCs w:val="12"/>
          <w:color w:val="auto"/>
        </w:rPr>
      </w:pPr>
    </w:p>
    <w:p>
      <w:pPr>
        <w:ind w:left="420" w:right="160" w:hanging="212"/>
        <w:spacing w:after="0" w:line="250"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BellRing’s business due to changes in its promotional activities and seasonality;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maintain the net selling prices of its products and manage promotional activities with respect to its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leverage, its ability to obtain additional financing (including both secured and unsecured debt) and its ability to service its outstanding debt (including covenants that restrict the operation of its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accuracy of BellRing’s market data and attributes and related information;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estimates in critical accounting judgments;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uncertain or unfavorable economic conditions that limit customer and consumer demand for BellRing’s products or increase its costs;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BellRing’s ongoing relationship with Post following BellRing’s separation from Post and the Spin-off, including BellRing’s obligations under various agreements with Post;</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conflicting interests or the appearance of conflicting interests resulting from certain of BellRing’s directors also serving as officers or directors of Post;</w:t>
      </w:r>
    </w:p>
    <w:p>
      <w:pPr>
        <w:spacing w:after="0" w:line="6" w:lineRule="exact"/>
        <w:rPr>
          <w:rFonts w:ascii="Times New Roman" w:cs="Times New Roman" w:eastAsia="Times New Roman" w:hAnsi="Times New Roman"/>
          <w:sz w:val="12"/>
          <w:szCs w:val="12"/>
          <w:color w:val="auto"/>
        </w:rPr>
      </w:pPr>
    </w:p>
    <w:p>
      <w:pPr>
        <w:ind w:left="420" w:hanging="212"/>
        <w:spacing w:after="0" w:line="250"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the previously completed Spin-off, including BellRing’s inability to take certain actions because such actions could jeopardize the tax-free status of the Distribution and BellRing’s possible responsibility for U.S. federal tax liabilities related to the Distribution;</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ultimate impact litigation or other regulatory matters may have on BellRing;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BellRing’s international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protect its intellectual property and other assets and to continue to use third party intellectual property subject to intellectual property licenses;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business disruptions and reputational damage associated with information technology failures, cybersecurity incidents and/or information security breaches;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impairment in the carrying value of goodwill or other intangibles;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identify, complete and integrate or otherwise effectively execute acquisitions or other strategic transactions and effectively manage its growth;</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satisfy the requirements of Section 404 of the Sarbanes-Oxley Act of 2002;</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differences in BellRing’s actual operating results from any guidance BellRing may give regarding its performance;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hire and retain talented personnel, employee absenteeism, labor strikes, work stoppages or unionization efforts;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described in BellRing’s filings with the Securities and Exchange Commission.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forward-looking statements represent BellRing’s judgment as of the date of this release. BellRing disclaims, however, any intent or obligation to update these forward-looking statements.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80"/>
          </w:cols>
          <w:pgMar w:left="300" w:top="642"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t>About BellRing Brands, Inc.</w:t>
      </w:r>
    </w:p>
    <w:p>
      <w:pPr>
        <w:spacing w:after="0" w:line="11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2"/>
          <w:szCs w:val="12"/>
          <w:color w:val="auto"/>
        </w:rPr>
        <w:t xml:space="preserve">BellRing Brands, Inc. is a rapidly growing leader in the global convenient nutrition category offering ready-to-drink shake and powder protein products. Its primary brands,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 Meyer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jennifer.meyer@bellringbrands.com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(314) 644-7665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Media Relations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Lisa Hanly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lisa.hanly@bellringbrands.com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(314) 665-3180</w:t>
      </w:r>
    </w:p>
    <w:p>
      <w:pPr>
        <w:spacing w:after="0" w:line="3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160"/>
          </w:cols>
          <w:pgMar w:left="300" w:top="638"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 xml:space="preserve">CONDENSED CONSOLIDATED STATEMENTS OF OPERATIONS </w:t>
      </w:r>
      <w:r>
        <w:rPr>
          <w:rFonts w:ascii="Times New Roman" w:cs="Times New Roman" w:eastAsia="Times New Roman" w:hAnsi="Times New Roman"/>
          <w:sz w:val="10"/>
          <w:szCs w:val="10"/>
          <w:b w:val="1"/>
          <w:bCs w:val="1"/>
          <w:color w:val="auto"/>
        </w:rPr>
        <w:t>(Unaudited)</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 except for per share data)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14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1140" w:type="dxa"/>
            <w:vAlign w:val="bottom"/>
            <w:tcBorders>
              <w:bottom w:val="single" w:sz="8" w:color="auto"/>
            </w:tcBorders>
          </w:tcPr>
          <w:p>
            <w:pPr>
              <w:spacing w:after="0"/>
              <w:rPr>
                <w:sz w:val="12"/>
                <w:szCs w:val="12"/>
                <w:color w:val="auto"/>
              </w:rPr>
            </w:pPr>
          </w:p>
        </w:tc>
      </w:tr>
      <w:tr>
        <w:trPr>
          <w:trHeight w:val="134"/>
        </w:trPr>
        <w:tc>
          <w:tcPr>
            <w:tcW w:w="714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1"/>
                <w:szCs w:val="11"/>
                <w:b w:val="1"/>
                <w:bCs w:val="1"/>
                <w:color w:val="auto"/>
              </w:rPr>
              <w:t>2022</w:t>
            </w:r>
          </w:p>
        </w:tc>
        <w:tc>
          <w:tcPr>
            <w:tcW w:w="72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Sales</w:t>
            </w:r>
          </w:p>
        </w:tc>
        <w:tc>
          <w:tcPr>
            <w:tcW w:w="114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362.7</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306.5</w:t>
            </w:r>
          </w:p>
        </w:tc>
      </w:tr>
      <w:tr>
        <w:trPr>
          <w:trHeight w:val="153"/>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1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240.9</w:t>
            </w:r>
          </w:p>
        </w:tc>
        <w:tc>
          <w:tcPr>
            <w:tcW w:w="3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214.2</w:t>
            </w:r>
          </w:p>
        </w:tc>
      </w:tr>
      <w:tr>
        <w:trPr>
          <w:trHeight w:val="142"/>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1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121.8</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92.3</w:t>
            </w:r>
          </w:p>
        </w:tc>
      </w:tr>
      <w:tr>
        <w:trPr>
          <w:trHeight w:val="153"/>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1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w:t>
            </w: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1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r>
      <w:tr>
        <w:trPr>
          <w:trHeight w:val="142"/>
        </w:trPr>
        <w:tc>
          <w:tcPr>
            <w:tcW w:w="7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1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75.2</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w:t>
            </w: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1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42"/>
        </w:trPr>
        <w:tc>
          <w:tcPr>
            <w:tcW w:w="7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Earnings before Income Taxes</w:t>
            </w:r>
          </w:p>
        </w:tc>
        <w:tc>
          <w:tcPr>
            <w:tcW w:w="1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w:t>
            </w: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r>
      <w:tr>
        <w:trPr>
          <w:trHeight w:val="142"/>
        </w:trPr>
        <w:tc>
          <w:tcPr>
            <w:tcW w:w="7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Earnings Including Redeemable Noncontrolling Interest</w:t>
            </w:r>
          </w:p>
        </w:tc>
        <w:tc>
          <w:tcPr>
            <w:tcW w:w="1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w:t>
            </w: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Net earnings attributable to redeemable noncontrolling interest</w:t>
            </w:r>
          </w:p>
        </w:tc>
        <w:tc>
          <w:tcPr>
            <w:tcW w:w="1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w:t>
            </w:r>
          </w:p>
        </w:tc>
      </w:tr>
      <w:tr>
        <w:trPr>
          <w:trHeight w:val="158"/>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Earnings Available to Common Stockholders</w:t>
            </w:r>
          </w:p>
        </w:tc>
        <w:tc>
          <w:tcPr>
            <w:tcW w:w="1140" w:type="dxa"/>
            <w:vAlign w:val="bottom"/>
            <w:tcBorders>
              <w:top w:val="single" w:sz="8" w:color="auto"/>
              <w:bottom w:val="single" w:sz="8" w:color="auto"/>
            </w:tcBorders>
          </w:tcPr>
          <w:p>
            <w:pPr>
              <w:jc w:val="right"/>
              <w:ind w:right="10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44.2</w:t>
            </w:r>
          </w:p>
        </w:tc>
        <w:tc>
          <w:tcPr>
            <w:tcW w:w="34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w:t>
            </w:r>
          </w:p>
        </w:tc>
      </w:tr>
      <w:tr>
        <w:trPr>
          <w:trHeight w:val="153"/>
        </w:trPr>
        <w:tc>
          <w:tcPr>
            <w:tcW w:w="7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7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Earnings per share of Common Stock:</w:t>
            </w: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w:t>
            </w:r>
          </w:p>
        </w:tc>
        <w:tc>
          <w:tcPr>
            <w:tcW w:w="114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0.33</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0.21</w:t>
            </w:r>
          </w:p>
        </w:tc>
      </w:tr>
      <w:tr>
        <w:trPr>
          <w:trHeight w:val="153"/>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Diluted</w:t>
            </w:r>
          </w:p>
        </w:tc>
        <w:tc>
          <w:tcPr>
            <w:tcW w:w="1140" w:type="dxa"/>
            <w:vAlign w:val="bottom"/>
          </w:tcPr>
          <w:p>
            <w:pPr>
              <w:jc w:val="right"/>
              <w:ind w:right="1001"/>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0.33</w:t>
            </w:r>
          </w:p>
        </w:tc>
        <w:tc>
          <w:tcPr>
            <w:tcW w:w="340" w:type="dxa"/>
            <w:vAlign w:val="bottom"/>
          </w:tcPr>
          <w:p>
            <w:pPr>
              <w:spacing w:after="0"/>
              <w:rPr>
                <w:sz w:val="13"/>
                <w:szCs w:val="13"/>
                <w:color w:val="auto"/>
              </w:rPr>
            </w:pPr>
          </w:p>
        </w:tc>
        <w:tc>
          <w:tcPr>
            <w:tcW w:w="740" w:type="dxa"/>
            <w:vAlign w:val="bottom"/>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0.21</w:t>
            </w:r>
          </w:p>
        </w:tc>
      </w:tr>
      <w:tr>
        <w:trPr>
          <w:trHeight w:val="171"/>
        </w:trPr>
        <w:tc>
          <w:tcPr>
            <w:tcW w:w="7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53"/>
        </w:trPr>
        <w:tc>
          <w:tcPr>
            <w:tcW w:w="7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shares of Common Stock Outstanding:</w:t>
            </w: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w:t>
            </w: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134.9</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w:t>
            </w:r>
          </w:p>
        </w:tc>
      </w:tr>
      <w:tr>
        <w:trPr>
          <w:trHeight w:val="155"/>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Diluted</w:t>
            </w:r>
          </w:p>
        </w:tc>
        <w:tc>
          <w:tcPr>
            <w:tcW w:w="1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135.1</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220"/>
          </w:cols>
          <w:pgMar w:left="340" w:top="638"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 (Unaudited)</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0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44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2022</w:t>
            </w:r>
          </w:p>
        </w:tc>
        <w:tc>
          <w:tcPr>
            <w:tcW w:w="4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spacing w:after="0"/>
              <w:rPr>
                <w:sz w:val="14"/>
                <w:szCs w:val="14"/>
                <w:color w:val="auto"/>
              </w:rPr>
            </w:pPr>
          </w:p>
        </w:tc>
        <w:tc>
          <w:tcPr>
            <w:tcW w:w="5360" w:type="dxa"/>
            <w:vAlign w:val="bottom"/>
            <w:gridSpan w:val="2"/>
            <w:shd w:val="clear" w:color="auto" w:fill="CCEEFF"/>
          </w:tcPr>
          <w:p>
            <w:pPr>
              <w:jc w:val="center"/>
              <w:ind w:right="503"/>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360" w:type="dxa"/>
            <w:vAlign w:val="bottom"/>
            <w:gridSpan w:val="2"/>
            <w:shd w:val="clear" w:color="auto" w:fill="CCEEFF"/>
          </w:tcPr>
          <w:p>
            <w:pPr>
              <w:jc w:val="right"/>
              <w:ind w:right="1283"/>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Receivables, net</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182.0</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173.3</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Inventories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212.7</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199.8</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9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39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454.0</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421.3</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net</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198.5</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203.3</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39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0" w:type="dxa"/>
            <w:vAlign w:val="bottom"/>
          </w:tcPr>
          <w:p>
            <w:pPr>
              <w:spacing w:after="0"/>
              <w:rPr>
                <w:sz w:val="1"/>
                <w:szCs w:val="1"/>
                <w:color w:val="auto"/>
              </w:rPr>
            </w:pPr>
          </w:p>
        </w:tc>
      </w:tr>
      <w:tr>
        <w:trPr>
          <w:trHeight w:val="158"/>
        </w:trPr>
        <w:tc>
          <w:tcPr>
            <w:tcW w:w="3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394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283"/>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735.0</w:t>
            </w:r>
          </w:p>
        </w:tc>
        <w:tc>
          <w:tcPr>
            <w:tcW w:w="34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707.2</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spacing w:after="0"/>
              <w:rPr>
                <w:sz w:val="15"/>
                <w:szCs w:val="15"/>
                <w:color w:val="auto"/>
              </w:rPr>
            </w:pPr>
          </w:p>
        </w:tc>
        <w:tc>
          <w:tcPr>
            <w:tcW w:w="5360" w:type="dxa"/>
            <w:vAlign w:val="bottom"/>
            <w:gridSpan w:val="2"/>
            <w:shd w:val="clear" w:color="auto" w:fill="CCEEFF"/>
          </w:tcPr>
          <w:p>
            <w:pPr>
              <w:jc w:val="center"/>
              <w:ind w:right="503"/>
              <w:spacing w:after="0"/>
              <w:rPr>
                <w:sz w:val="20"/>
                <w:szCs w:val="20"/>
                <w:color w:val="auto"/>
              </w:rPr>
            </w:pPr>
            <w:r>
              <w:rPr>
                <w:rFonts w:ascii="Times New Roman" w:cs="Times New Roman" w:eastAsia="Times New Roman" w:hAnsi="Times New Roman"/>
                <w:sz w:val="11"/>
                <w:szCs w:val="11"/>
                <w:b w:val="1"/>
                <w:bCs w:val="1"/>
                <w:color w:val="auto"/>
                <w:w w:val="97"/>
              </w:rPr>
              <w:t>LIABILITIES AND STOCKHOLDERS’ DEFICIT</w:t>
            </w: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5360" w:type="dxa"/>
            <w:vAlign w:val="bottom"/>
            <w:gridSpan w:val="2"/>
            <w:shd w:val="clear" w:color="auto" w:fill="CCEEFF"/>
          </w:tcPr>
          <w:p>
            <w:pPr>
              <w:jc w:val="right"/>
              <w:ind w:right="1283"/>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94.4</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93.8</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39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54.7</w:t>
            </w:r>
          </w:p>
        </w:tc>
        <w:tc>
          <w:tcPr>
            <w:tcW w:w="3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49.7</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39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149.1</w:t>
            </w:r>
          </w:p>
        </w:tc>
        <w:tc>
          <w:tcPr>
            <w:tcW w:w="3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143.5</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944.8</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929.5</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39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0" w:type="dxa"/>
            <w:vAlign w:val="bottom"/>
          </w:tcPr>
          <w:p>
            <w:pPr>
              <w:spacing w:after="0"/>
              <w:rPr>
                <w:sz w:val="1"/>
                <w:szCs w:val="1"/>
                <w:color w:val="auto"/>
              </w:rPr>
            </w:pPr>
          </w:p>
        </w:tc>
      </w:tr>
      <w:tr>
        <w:trPr>
          <w:trHeight w:val="142"/>
        </w:trPr>
        <w:tc>
          <w:tcPr>
            <w:tcW w:w="320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3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1,105.3</w:t>
            </w: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1,083.4</w:t>
            </w:r>
          </w:p>
        </w:tc>
        <w:tc>
          <w:tcPr>
            <w:tcW w:w="0" w:type="dxa"/>
            <w:vAlign w:val="bottom"/>
          </w:tcPr>
          <w:p>
            <w:pPr>
              <w:spacing w:after="0"/>
              <w:rPr>
                <w:sz w:val="1"/>
                <w:szCs w:val="1"/>
                <w:color w:val="auto"/>
              </w:rPr>
            </w:pPr>
          </w:p>
        </w:tc>
      </w:tr>
      <w:tr>
        <w:trPr>
          <w:trHeight w:val="171"/>
        </w:trPr>
        <w:tc>
          <w:tcPr>
            <w:tcW w:w="3200" w:type="dxa"/>
            <w:vAlign w:val="bottom"/>
            <w:shd w:val="clear" w:color="auto" w:fill="CCEEFF"/>
          </w:tcPr>
          <w:p>
            <w:pPr>
              <w:spacing w:after="0"/>
              <w:rPr>
                <w:sz w:val="14"/>
                <w:szCs w:val="14"/>
                <w:color w:val="auto"/>
              </w:rPr>
            </w:pPr>
          </w:p>
        </w:tc>
        <w:tc>
          <w:tcPr>
            <w:tcW w:w="39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Stockholders’ Deficit</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Common stock</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deficit</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(311.4)</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(355.6)</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Treasury stock, at cost</w:t>
            </w:r>
          </w:p>
        </w:tc>
        <w:tc>
          <w:tcPr>
            <w:tcW w:w="39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39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(370.3)</w:t>
            </w:r>
          </w:p>
        </w:tc>
        <w:tc>
          <w:tcPr>
            <w:tcW w:w="34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(376.2)</w:t>
            </w:r>
          </w:p>
        </w:tc>
        <w:tc>
          <w:tcPr>
            <w:tcW w:w="0" w:type="dxa"/>
            <w:vAlign w:val="bottom"/>
          </w:tcPr>
          <w:p>
            <w:pPr>
              <w:spacing w:after="0"/>
              <w:rPr>
                <w:sz w:val="1"/>
                <w:szCs w:val="1"/>
                <w:color w:val="auto"/>
              </w:rPr>
            </w:pPr>
          </w:p>
        </w:tc>
      </w:tr>
      <w:tr>
        <w:trPr>
          <w:trHeight w:val="158"/>
        </w:trPr>
        <w:tc>
          <w:tcPr>
            <w:tcW w:w="3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 and Stockholders’ Deficit</w:t>
            </w:r>
          </w:p>
        </w:tc>
        <w:tc>
          <w:tcPr>
            <w:tcW w:w="394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283"/>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735.0</w:t>
            </w:r>
          </w:p>
        </w:tc>
        <w:tc>
          <w:tcPr>
            <w:tcW w:w="34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707.2</w:t>
            </w:r>
          </w:p>
        </w:tc>
        <w:tc>
          <w:tcPr>
            <w:tcW w:w="0" w:type="dxa"/>
            <w:vAlign w:val="bottom"/>
          </w:tcPr>
          <w:p>
            <w:pPr>
              <w:spacing w:after="0"/>
              <w:rPr>
                <w:sz w:val="1"/>
                <w:szCs w:val="1"/>
                <w:color w:val="auto"/>
              </w:rPr>
            </w:pPr>
          </w:p>
        </w:tc>
      </w:tr>
      <w:tr>
        <w:trPr>
          <w:trHeight w:val="340"/>
        </w:trPr>
        <w:tc>
          <w:tcPr>
            <w:tcW w:w="3200" w:type="dxa"/>
            <w:vAlign w:val="bottom"/>
          </w:tcPr>
          <w:p>
            <w:pPr>
              <w:spacing w:after="0"/>
              <w:rPr>
                <w:sz w:val="24"/>
                <w:szCs w:val="24"/>
                <w:color w:val="auto"/>
              </w:rPr>
            </w:pPr>
          </w:p>
        </w:tc>
        <w:tc>
          <w:tcPr>
            <w:tcW w:w="5360" w:type="dxa"/>
            <w:vAlign w:val="bottom"/>
            <w:gridSpan w:val="2"/>
          </w:tcPr>
          <w:p>
            <w:pPr>
              <w:jc w:val="center"/>
              <w:ind w:right="503"/>
              <w:spacing w:after="0"/>
              <w:rPr>
                <w:sz w:val="20"/>
                <w:szCs w:val="20"/>
                <w:color w:val="auto"/>
              </w:rPr>
            </w:pPr>
            <w:r>
              <w:rPr>
                <w:rFonts w:ascii="Times New Roman" w:cs="Times New Roman" w:eastAsia="Times New Roman" w:hAnsi="Times New Roman"/>
                <w:sz w:val="11"/>
                <w:szCs w:val="11"/>
                <w:b w:val="1"/>
                <w:bCs w:val="1"/>
                <w:color w:val="auto"/>
                <w:w w:val="97"/>
              </w:rPr>
              <w:t>SELECTED CONDENSED CONSOLIDATED CASH FLOWS INFORMATION (Unaudited)</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5360" w:type="dxa"/>
            <w:vAlign w:val="bottom"/>
            <w:gridSpan w:val="2"/>
          </w:tcPr>
          <w:p>
            <w:pPr>
              <w:jc w:val="center"/>
              <w:ind w:right="503"/>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620" w:type="dxa"/>
            <w:vAlign w:val="bottom"/>
            <w:tcBorders>
              <w:bottom w:val="single" w:sz="8" w:color="auto"/>
            </w:tcBorders>
            <w:gridSpan w:val="4"/>
          </w:tcPr>
          <w:p>
            <w:pPr>
              <w:jc w:val="right"/>
              <w:ind w:right="702"/>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200" w:type="dxa"/>
            <w:vAlign w:val="bottom"/>
            <w:tcBorders>
              <w:bottom w:val="single" w:sz="8" w:color="CCEEFF"/>
            </w:tcBorders>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44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1"/>
                <w:szCs w:val="11"/>
                <w:b w:val="1"/>
                <w:bCs w:val="1"/>
                <w:color w:val="auto"/>
              </w:rPr>
              <w:t>2021</w:t>
            </w:r>
          </w:p>
        </w:tc>
        <w:tc>
          <w:tcPr>
            <w:tcW w:w="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20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Cash provided by (used in):</w:t>
            </w:r>
          </w:p>
        </w:tc>
        <w:tc>
          <w:tcPr>
            <w:tcW w:w="39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Operating activities</w:t>
            </w:r>
          </w:p>
        </w:tc>
        <w:tc>
          <w:tcPr>
            <w:tcW w:w="5360" w:type="dxa"/>
            <w:vAlign w:val="bottom"/>
            <w:gridSpan w:val="2"/>
          </w:tcPr>
          <w:p>
            <w:pPr>
              <w:jc w:val="right"/>
              <w:ind w:right="1283"/>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w:t>
            </w:r>
          </w:p>
        </w:tc>
        <w:tc>
          <w:tcPr>
            <w:tcW w:w="340" w:type="dxa"/>
            <w:vAlign w:val="bottom"/>
          </w:tcPr>
          <w:p>
            <w:pPr>
              <w:spacing w:after="0"/>
              <w:rPr>
                <w:sz w:val="13"/>
                <w:szCs w:val="13"/>
                <w:color w:val="auto"/>
              </w:rPr>
            </w:pPr>
          </w:p>
        </w:tc>
        <w:tc>
          <w:tcPr>
            <w:tcW w:w="1420" w:type="dxa"/>
            <w:vAlign w:val="bottom"/>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Investing activities</w:t>
            </w:r>
          </w:p>
        </w:tc>
        <w:tc>
          <w:tcPr>
            <w:tcW w:w="3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3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Financing activities</w:t>
            </w:r>
          </w:p>
        </w:tc>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(112.5)</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39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340" w:type="dxa"/>
            <w:vAlign w:val="bottom"/>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increase (decrease) in cash and cash equivalents</w:t>
            </w:r>
          </w:p>
        </w:tc>
        <w:tc>
          <w:tcPr>
            <w:tcW w:w="3940" w:type="dxa"/>
            <w:vAlign w:val="bottom"/>
          </w:tcPr>
          <w:p>
            <w:pPr>
              <w:spacing w:after="0"/>
              <w:rPr>
                <w:sz w:val="12"/>
                <w:szCs w:val="12"/>
                <w:color w:val="auto"/>
              </w:rPr>
            </w:pPr>
          </w:p>
        </w:tc>
        <w:tc>
          <w:tcPr>
            <w:tcW w:w="1420" w:type="dxa"/>
            <w:vAlign w:val="bottom"/>
            <w:tcBorders>
              <w:bottom w:val="single" w:sz="8" w:color="auto"/>
            </w:tcBorders>
          </w:tcPr>
          <w:p>
            <w:pPr>
              <w:jc w:val="right"/>
              <w:ind w:right="1283"/>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340" w:type="dxa"/>
            <w:vAlign w:val="bottom"/>
          </w:tcPr>
          <w:p>
            <w:pPr>
              <w:spacing w:after="0"/>
              <w:rPr>
                <w:sz w:val="12"/>
                <w:szCs w:val="12"/>
                <w:color w:val="auto"/>
              </w:rPr>
            </w:pPr>
          </w:p>
        </w:tc>
        <w:tc>
          <w:tcPr>
            <w:tcW w:w="1420" w:type="dxa"/>
            <w:vAlign w:val="bottom"/>
            <w:tcBorders>
              <w:bottom w:val="single" w:sz="8" w:color="auto"/>
            </w:tcBorders>
          </w:tcPr>
          <w:p>
            <w:pPr>
              <w:jc w:val="right"/>
              <w:ind w:right="128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940" w:type="dxa"/>
            <w:vAlign w:val="bottom"/>
            <w:vMerge w:val="restart"/>
          </w:tcPr>
          <w:p>
            <w:pPr>
              <w:jc w:val="center"/>
              <w:ind w:left="823"/>
              <w:spacing w:after="0"/>
              <w:rPr>
                <w:sz w:val="20"/>
                <w:szCs w:val="20"/>
                <w:color w:val="auto"/>
              </w:rPr>
            </w:pPr>
            <w:r>
              <w:rPr>
                <w:rFonts w:ascii="Times New Roman" w:cs="Times New Roman" w:eastAsia="Times New Roman" w:hAnsi="Times New Roman"/>
                <w:sz w:val="12"/>
                <w:szCs w:val="12"/>
                <w:color w:val="auto"/>
                <w:w w:val="99"/>
              </w:rPr>
              <w:t>7</w:t>
            </w: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2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638"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EXPLANATION AND RECONCILIATION OF NON-GAAP MEASURES</w:t>
      </w:r>
    </w:p>
    <w:p>
      <w:pPr>
        <w:spacing w:after="0" w:line="10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common stockholders, Adjusted diluted earnings per share of common stock and Adjusted EBITDA.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net earnings available to common stockholders and Adjusted diluted earnings per share of common stock</w:t>
      </w:r>
    </w:p>
    <w:p>
      <w:pPr>
        <w:spacing w:after="0" w:line="1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2"/>
          <w:szCs w:val="12"/>
          <w:color w:val="auto"/>
        </w:rPr>
        <w:t>BellRing believes Adjusted net earnings available to common stockholders and Adjusted diluted earnings per share of common stock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net earnings available to common stockholders and Adjusted diluted earnings per share of common stock are adjusted for the following items:</w:t>
      </w:r>
    </w:p>
    <w:p>
      <w:pPr>
        <w:spacing w:after="0" w:line="17" w:lineRule="exact"/>
        <w:rPr>
          <w:sz w:val="20"/>
          <w:szCs w:val="20"/>
          <w:color w:val="auto"/>
        </w:rPr>
      </w:pPr>
    </w:p>
    <w:p>
      <w:pPr>
        <w:ind w:left="420" w:right="6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Separation costs</w:t>
      </w:r>
      <w:r>
        <w:rPr>
          <w:rFonts w:ascii="Times New Roman" w:cs="Times New Roman" w:eastAsia="Times New Roman" w:hAnsi="Times New Roman"/>
          <w:sz w:val="12"/>
          <w:szCs w:val="12"/>
          <w:color w:val="auto"/>
        </w:rPr>
        <w:t>: BellRing has excluded certain expenses incurred in connection with (i) Post’s distribution of 80.1% of its interest in BellRing and (ii) secondary offerings of shares of BellRing common stock previously held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by Post, as the amount and frequency of such expenses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46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Foreign currency gain/loss on intercompany loans</w:t>
      </w:r>
      <w:r>
        <w:rPr>
          <w:rFonts w:ascii="Times New Roman" w:cs="Times New Roman" w:eastAsia="Times New Roman" w:hAnsi="Times New Roman"/>
          <w:sz w:val="12"/>
          <w:szCs w:val="12"/>
          <w:color w:val="auto"/>
        </w:rPr>
        <w:t>: BellRing has excluded the impact of foreign currency fluctuations related to intercompany loans denominated in currencies other than the functional currency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respective legal entity in evaluating BellRing’s performance to allow for more meaningful comparisons of performance to other periods.</w:t>
      </w:r>
    </w:p>
    <w:p>
      <w:pPr>
        <w:ind w:left="420" w:right="4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Mark-to-market adjustments on commodity hedges</w:t>
      </w:r>
      <w:r>
        <w:rPr>
          <w:rFonts w:ascii="Times New Roman" w:cs="Times New Roman" w:eastAsia="Times New Roman" w:hAnsi="Times New Roman"/>
          <w:sz w:val="12"/>
          <w:szCs w:val="12"/>
          <w:color w:val="auto"/>
        </w:rPr>
        <w:t>: BellRing has excluded the impact of mark-to-market adjustments on commodity hedges due to the inherent uncertainty and volatility associated with such amounts based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changes in assumptions with respect to fair value estimates. Additionally, these adjustments are primarily non-cash items and the amount and frequency of such adjustments are not consistent.</w:t>
      </w:r>
    </w:p>
    <w:p>
      <w:pPr>
        <w:ind w:left="420" w:right="180" w:hanging="212"/>
        <w:spacing w:after="0" w:line="273" w:lineRule="auto"/>
        <w:tabs>
          <w:tab w:leader="none" w:pos="42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i w:val="1"/>
          <w:iCs w:val="1"/>
          <w:color w:val="auto"/>
        </w:rPr>
        <w:t>NCI adjustment</w:t>
      </w:r>
      <w:r>
        <w:rPr>
          <w:rFonts w:ascii="Times New Roman" w:cs="Times New Roman" w:eastAsia="Times New Roman" w:hAnsi="Times New Roman"/>
          <w:sz w:val="11"/>
          <w:szCs w:val="11"/>
          <w:color w:val="auto"/>
        </w:rPr>
        <w:t>: BellRing has included an adjustment to reflect the removal of non-GAAP adjustments which are attributable to redeemable NCI in the period prior to the Spin-off in the calculation of Adjusted net earnings</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available to common stockholders and Adjusted diluted earnings per share of common stock, as BellRing believes this adjustment contributes to a more meaningful evaluation of BellRing’s current operating performance.</w:t>
      </w:r>
    </w:p>
    <w:p>
      <w:pPr>
        <w:ind w:left="420" w:right="180" w:hanging="212"/>
        <w:spacing w:after="0" w:line="26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Income tax effect on adjustments</w:t>
      </w:r>
      <w:r>
        <w:rPr>
          <w:rFonts w:ascii="Times New Roman" w:cs="Times New Roman" w:eastAsia="Times New Roman" w:hAnsi="Times New Roman"/>
          <w:sz w:val="12"/>
          <w:szCs w:val="12"/>
          <w:color w:val="auto"/>
        </w:rPr>
        <w:t>: BellRing has included the income tax impact of the non-GAAP adjustments using a rate described in the applicable footnote of the reconciliation tables, as BellRing believes that its GAAP</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effective income tax rate as reported is not representative of the income tax expense impact of the adjustments.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is required to comply with certain covenants and limitations that are based on variations of EBITDA in its financing documents. Management uses Adjusted EBITDA to provide forward-looking guidance and to forecast future results.</w:t>
      </w:r>
    </w:p>
    <w:p>
      <w:pPr>
        <w:spacing w:after="0" w:line="91"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2"/>
          <w:szCs w:val="12"/>
          <w:color w:val="auto"/>
        </w:rPr>
        <w:t>Adjusted EBITDA reflects adjustments for income tax expense, interest expense, net and depreciation and amortization, and the following adjustments discussed above: separation costs, foreign currency gain/loss on intercompany loans and mark-to-market adjustments on commodity hedges. Additionally, Adjusted EBITDA reflects adjustments for the following items:</w:t>
      </w:r>
    </w:p>
    <w:p>
      <w:pPr>
        <w:spacing w:after="0" w:line="1" w:lineRule="exact"/>
        <w:rPr>
          <w:sz w:val="20"/>
          <w:szCs w:val="20"/>
          <w:color w:val="auto"/>
        </w:rPr>
      </w:pPr>
    </w:p>
    <w:p>
      <w:pPr>
        <w:ind w:left="420" w:right="40" w:hanging="212"/>
        <w:spacing w:after="0" w:line="253" w:lineRule="auto"/>
        <w:tabs>
          <w:tab w:leader="none" w:pos="41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Stock-based compensation</w:t>
      </w:r>
      <w:r>
        <w:rPr>
          <w:rFonts w:ascii="Times New Roman" w:cs="Times New Roman" w:eastAsia="Times New Roman" w:hAnsi="Times New Roman"/>
          <w:sz w:val="12"/>
          <w:szCs w:val="12"/>
          <w:color w:val="auto"/>
        </w:rPr>
        <w:t>: BellRing’s compensation strategy includes the use of BellRing stock-based compensation to attract and retain executives and employees by aligning their long-term compensation interests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BellRing’s stockholders’ investment interests. BellRing’s director compensation strategy includes an election by any director who earns retainers in which the director may elect to defer compensation granted as a director to BellRing common stock, earning a match on the deferral, both of which are stock-settled upon the director’s retirement from the BellRing board of directors.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does not contribute to meaningful comparisons of BellRing’s operating performance to other periods.</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260"/>
          </w:cols>
          <w:pgMar w:left="300" w:top="641" w:right="339" w:bottom="1440" w:gutter="0" w:footer="0" w:header="0"/>
        </w:sectPr>
      </w:pPr>
    </w:p>
    <w:bookmarkStart w:id="11" w:name="page12"/>
    <w:bookmarkEnd w:id="11"/>
    <w:p>
      <w:pPr>
        <w:ind w:left="220" w:hanging="212"/>
        <w:spacing w:after="0" w:line="283" w:lineRule="auto"/>
        <w:tabs>
          <w:tab w:leader="none" w:pos="2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Net earnings attributable to redeemable noncontrolling interest</w:t>
      </w:r>
      <w:r>
        <w:rPr>
          <w:rFonts w:ascii="Times New Roman" w:cs="Times New Roman" w:eastAsia="Times New Roman" w:hAnsi="Times New Roman"/>
          <w:sz w:val="12"/>
          <w:szCs w:val="12"/>
          <w:color w:val="auto"/>
        </w:rPr>
        <w:t>: BellRing has included adjustments for the portion of its consolidated net earnings which were allocated to redeemable NCI for the period prior to the Spin-off,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allowing for the calculation of Adjusted EBITDA to include 100% of BellRing as BellRing’s management evaluates BellRing’s operating performance on a basis that includes 100% of BellRing.</w:t>
      </w:r>
    </w:p>
    <w:p>
      <w:pPr>
        <w:spacing w:after="0" w:line="3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0940"/>
          </w:cols>
          <w:pgMar w:left="500" w:top="640" w:right="45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NET EARNINGS AVAILABLE TO COMMON STOCKHOLDERS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TO ADJUSTED NET EARNINGS AVAILABLE TO COMMON STOCKHOLDERS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40" w:type="dxa"/>
            <w:vAlign w:val="bottom"/>
          </w:tcPr>
          <w:p>
            <w:pPr>
              <w:spacing w:after="0"/>
              <w:rPr>
                <w:sz w:val="12"/>
                <w:szCs w:val="12"/>
                <w:color w:val="auto"/>
              </w:rPr>
            </w:pPr>
          </w:p>
        </w:tc>
        <w:tc>
          <w:tcPr>
            <w:tcW w:w="3540" w:type="dxa"/>
            <w:vAlign w:val="bottom"/>
            <w:gridSpan w:val="2"/>
          </w:tcPr>
          <w:p>
            <w:pPr>
              <w:jc w:val="right"/>
              <w:ind w:right="2342"/>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8"/>
        </w:trPr>
        <w:tc>
          <w:tcPr>
            <w:tcW w:w="4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1140" w:type="dxa"/>
            <w:vAlign w:val="bottom"/>
            <w:tcBorders>
              <w:bottom w:val="single" w:sz="8" w:color="auto"/>
            </w:tcBorders>
          </w:tcPr>
          <w:p>
            <w:pPr>
              <w:spacing w:after="0"/>
              <w:rPr>
                <w:sz w:val="12"/>
                <w:szCs w:val="12"/>
                <w:color w:val="auto"/>
              </w:rPr>
            </w:pPr>
          </w:p>
        </w:tc>
      </w:tr>
      <w:tr>
        <w:trPr>
          <w:trHeight w:val="134"/>
        </w:trPr>
        <w:tc>
          <w:tcPr>
            <w:tcW w:w="4740" w:type="dxa"/>
            <w:vAlign w:val="bottom"/>
            <w:tcBorders>
              <w:bottom w:val="single" w:sz="8" w:color="CCEEFF"/>
            </w:tcBorders>
          </w:tcPr>
          <w:p>
            <w:pPr>
              <w:spacing w:after="0"/>
              <w:rPr>
                <w:sz w:val="11"/>
                <w:szCs w:val="11"/>
                <w:color w:val="auto"/>
              </w:rPr>
            </w:pPr>
          </w:p>
        </w:tc>
        <w:tc>
          <w:tcPr>
            <w:tcW w:w="240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2022</w:t>
            </w:r>
          </w:p>
        </w:tc>
        <w:tc>
          <w:tcPr>
            <w:tcW w:w="72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 Available to Common Stockholders</w:t>
            </w:r>
          </w:p>
        </w:tc>
        <w:tc>
          <w:tcPr>
            <w:tcW w:w="240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00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8.2</w:t>
            </w:r>
          </w:p>
        </w:tc>
      </w:tr>
      <w:tr>
        <w:trPr>
          <w:trHeight w:val="153"/>
        </w:trPr>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Dilutive impact of net earnings attributable to NCI</w:t>
            </w:r>
          </w:p>
        </w:tc>
        <w:tc>
          <w:tcPr>
            <w:tcW w:w="2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0.1</w:t>
            </w:r>
          </w:p>
        </w:tc>
      </w:tr>
      <w:tr>
        <w:trPr>
          <w:trHeight w:val="142"/>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 Available to Common Stockholders for Diluted Earnings per Share</w:t>
            </w:r>
          </w:p>
        </w:tc>
        <w:tc>
          <w:tcPr>
            <w:tcW w:w="24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w:t>
            </w:r>
          </w:p>
        </w:tc>
        <w:tc>
          <w:tcPr>
            <w:tcW w:w="3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8.3</w:t>
            </w:r>
          </w:p>
        </w:tc>
      </w:tr>
      <w:tr>
        <w:trPr>
          <w:trHeight w:val="171"/>
        </w:trPr>
        <w:tc>
          <w:tcPr>
            <w:tcW w:w="47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24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47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Separation costs</w:t>
            </w:r>
          </w:p>
        </w:tc>
        <w:tc>
          <w:tcPr>
            <w:tcW w:w="2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2.0</w:t>
            </w:r>
          </w:p>
        </w:tc>
      </w:tr>
      <w:tr>
        <w:trPr>
          <w:trHeight w:val="153"/>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24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53"/>
        </w:trPr>
        <w:tc>
          <w:tcPr>
            <w:tcW w:w="47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Foreign currency (gain) loss on intercompany loans</w:t>
            </w:r>
          </w:p>
        </w:tc>
        <w:tc>
          <w:tcPr>
            <w:tcW w:w="2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0.2</w:t>
            </w:r>
          </w:p>
        </w:tc>
      </w:tr>
      <w:tr>
        <w:trPr>
          <w:trHeight w:val="153"/>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NCI adjustment</w:t>
            </w:r>
          </w:p>
        </w:tc>
        <w:tc>
          <w:tcPr>
            <w:tcW w:w="24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0.1</w:t>
            </w:r>
          </w:p>
        </w:tc>
      </w:tr>
      <w:tr>
        <w:trPr>
          <w:trHeight w:val="142"/>
        </w:trPr>
        <w:tc>
          <w:tcPr>
            <w:tcW w:w="474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24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2.0</w:t>
            </w:r>
          </w:p>
        </w:tc>
      </w:tr>
      <w:tr>
        <w:trPr>
          <w:trHeight w:val="153"/>
        </w:trPr>
        <w:tc>
          <w:tcPr>
            <w:tcW w:w="474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2400" w:type="dxa"/>
            <w:vAlign w:val="bottom"/>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3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42"/>
        </w:trPr>
        <w:tc>
          <w:tcPr>
            <w:tcW w:w="4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Net Earnings Available to Common Stockholders</w:t>
            </w:r>
          </w:p>
        </w:tc>
        <w:tc>
          <w:tcPr>
            <w:tcW w:w="2400" w:type="dxa"/>
            <w:vAlign w:val="bottom"/>
          </w:tcPr>
          <w:p>
            <w:pPr>
              <w:spacing w:after="0"/>
              <w:rPr>
                <w:sz w:val="12"/>
                <w:szCs w:val="12"/>
                <w:color w:val="auto"/>
              </w:rPr>
            </w:pPr>
          </w:p>
        </w:tc>
        <w:tc>
          <w:tcPr>
            <w:tcW w:w="1140" w:type="dxa"/>
            <w:vAlign w:val="bottom"/>
            <w:tcBorders>
              <w:bottom w:val="single" w:sz="8" w:color="auto"/>
            </w:tcBorders>
          </w:tcPr>
          <w:p>
            <w:pPr>
              <w:jc w:val="right"/>
              <w:ind w:right="100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44.9</w:t>
            </w:r>
          </w:p>
        </w:tc>
        <w:tc>
          <w:tcPr>
            <w:tcW w:w="340" w:type="dxa"/>
            <w:vAlign w:val="bottom"/>
          </w:tcPr>
          <w:p>
            <w:pPr>
              <w:spacing w:after="0"/>
              <w:rPr>
                <w:sz w:val="12"/>
                <w:szCs w:val="12"/>
                <w:color w:val="auto"/>
              </w:rPr>
            </w:pPr>
          </w:p>
        </w:tc>
        <w:tc>
          <w:tcPr>
            <w:tcW w:w="74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10.1</w:t>
            </w:r>
          </w:p>
        </w:tc>
      </w:tr>
      <w:tr>
        <w:trPr>
          <w:trHeight w:val="20"/>
        </w:trPr>
        <w:tc>
          <w:tcPr>
            <w:tcW w:w="4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right="180" w:firstLine="9"/>
        <w:spacing w:after="0" w:line="250" w:lineRule="auto"/>
        <w:tabs>
          <w:tab w:leader="none" w:pos="121"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For the period subsequent to the Spin-off (October 1, 2022 through December 31, 2022), income tax effect on adjustments was calculated on all items, except for separation costs, using a rate of 24.0%. For the period prior to the Spin-off (October 1, 2021 through December 31, 2021), income tax effect on adjustments was calculated on all items, except for separation costs and NCI adjustment, using a rate of 7.0%, which represents the effective income tax rate on BellRing’s distributive share from BellRing LLC. For the period prior to the Spin-off, income tax effect for NCI adjustment was calculated using a rate of 0.0%. For all periods, income tax effect for separation costs was calculated using a rate of 8.0%.</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DILUTED EARNINGS PER SHARE OF COMMON STOCK</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TO ADJUSTED DILUTED EARNINGS PER SHARE OF COMMON STOCK (Unaudited)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14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1140" w:type="dxa"/>
            <w:vAlign w:val="bottom"/>
            <w:tcBorders>
              <w:bottom w:val="single" w:sz="8" w:color="auto"/>
            </w:tcBorders>
          </w:tcPr>
          <w:p>
            <w:pPr>
              <w:spacing w:after="0"/>
              <w:rPr>
                <w:sz w:val="12"/>
                <w:szCs w:val="12"/>
                <w:color w:val="auto"/>
              </w:rPr>
            </w:pPr>
          </w:p>
        </w:tc>
      </w:tr>
      <w:tr>
        <w:trPr>
          <w:trHeight w:val="134"/>
        </w:trPr>
        <w:tc>
          <w:tcPr>
            <w:tcW w:w="714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2022</w:t>
            </w:r>
          </w:p>
        </w:tc>
        <w:tc>
          <w:tcPr>
            <w:tcW w:w="72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Diluted Earnings per share of Common Stock</w:t>
            </w:r>
          </w:p>
        </w:tc>
        <w:tc>
          <w:tcPr>
            <w:tcW w:w="1140" w:type="dxa"/>
            <w:vAlign w:val="bottom"/>
            <w:shd w:val="clear" w:color="auto" w:fill="CCEEFF"/>
          </w:tcPr>
          <w:p>
            <w:pPr>
              <w:jc w:val="right"/>
              <w:ind w:right="100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0.33</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0.21</w:t>
            </w:r>
          </w:p>
        </w:tc>
      </w:tr>
      <w:tr>
        <w:trPr>
          <w:trHeight w:val="180"/>
        </w:trPr>
        <w:tc>
          <w:tcPr>
            <w:tcW w:w="7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5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71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Separation costs</w:t>
            </w:r>
          </w:p>
        </w:tc>
        <w:tc>
          <w:tcPr>
            <w:tcW w:w="1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0.05</w:t>
            </w:r>
          </w:p>
        </w:tc>
      </w:tr>
      <w:tr>
        <w:trPr>
          <w:trHeight w:val="153"/>
        </w:trPr>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1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53"/>
        </w:trPr>
        <w:tc>
          <w:tcPr>
            <w:tcW w:w="71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Foreign currency (gain) loss on intercompany loans</w:t>
            </w:r>
          </w:p>
        </w:tc>
        <w:tc>
          <w:tcPr>
            <w:tcW w:w="1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3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0.01</w:t>
            </w:r>
          </w:p>
        </w:tc>
      </w:tr>
      <w:tr>
        <w:trPr>
          <w:trHeight w:val="142"/>
        </w:trPr>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1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0.05</w:t>
            </w:r>
          </w:p>
        </w:tc>
      </w:tr>
      <w:tr>
        <w:trPr>
          <w:trHeight w:val="153"/>
        </w:trPr>
        <w:tc>
          <w:tcPr>
            <w:tcW w:w="714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114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714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Adjusted Diluted Earnings per share of Common Stock</w:t>
            </w:r>
          </w:p>
        </w:tc>
        <w:tc>
          <w:tcPr>
            <w:tcW w:w="1140" w:type="dxa"/>
            <w:vAlign w:val="bottom"/>
            <w:tcBorders>
              <w:top w:val="single" w:sz="8" w:color="auto"/>
              <w:bottom w:val="single" w:sz="8" w:color="auto"/>
            </w:tcBorders>
            <w:shd w:val="clear" w:color="auto" w:fill="CCEEFF"/>
          </w:tcPr>
          <w:p>
            <w:pPr>
              <w:jc w:val="right"/>
              <w:ind w:right="1002"/>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0.33</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60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bottom w:val="single" w:sz="8" w:color="auto"/>
            </w:tcBorders>
            <w:shd w:val="clear" w:color="auto" w:fill="CCEEFF"/>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0.26</w:t>
            </w:r>
          </w:p>
        </w:tc>
      </w:tr>
    </w:tbl>
    <w:p>
      <w:pPr>
        <w:spacing w:after="0" w:line="160" w:lineRule="exact"/>
        <w:rPr>
          <w:sz w:val="20"/>
          <w:szCs w:val="20"/>
          <w:color w:val="auto"/>
        </w:rPr>
      </w:pPr>
    </w:p>
    <w:p>
      <w:pPr>
        <w:jc w:val="both"/>
        <w:ind w:right="180" w:firstLine="9"/>
        <w:spacing w:after="0" w:line="250" w:lineRule="auto"/>
        <w:tabs>
          <w:tab w:leader="none" w:pos="121" w:val="left"/>
        </w:tabs>
        <w:numPr>
          <w:ilvl w:val="0"/>
          <w:numId w:val="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For the period subsequent to the Spin-off (October 1, 2022 through December 31, 2022), income tax effect on adjustments was calculated on all items, except for separation costs, using a rate of 24.0%. For the period prior to the Spin-off (October 1, 2021 through December 31, 2021), income tax effect on adjustments was calculated on all items, except for separation costs and NCI adjustment, using a rate of 7.0%, which represents the effective income tax rate on BellRing’s distributive share from BellRing LLC. For the period prior to the Spin-off, income tax effect for NCI adjustment was calculated using a rate of 0.0%. For all periods, income tax effect for separation costs was calculated using a rate of 8.0%.</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220"/>
          </w:cols>
          <w:pgMar w:left="340" w:top="64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26"/>
        </w:trPr>
        <w:tc>
          <w:tcPr>
            <w:tcW w:w="3240" w:type="dxa"/>
            <w:vAlign w:val="bottom"/>
          </w:tcPr>
          <w:p>
            <w:pPr>
              <w:spacing w:after="0"/>
              <w:rPr>
                <w:sz w:val="11"/>
                <w:szCs w:val="11"/>
                <w:color w:val="auto"/>
              </w:rPr>
            </w:pPr>
          </w:p>
        </w:tc>
        <w:tc>
          <w:tcPr>
            <w:tcW w:w="4940" w:type="dxa"/>
            <w:vAlign w:val="bottom"/>
            <w:gridSpan w:val="2"/>
          </w:tcPr>
          <w:p>
            <w:pPr>
              <w:jc w:val="center"/>
              <w:ind w:right="142"/>
              <w:spacing w:after="0"/>
              <w:rPr>
                <w:sz w:val="20"/>
                <w:szCs w:val="20"/>
                <w:color w:val="auto"/>
              </w:rPr>
            </w:pPr>
            <w:r>
              <w:rPr>
                <w:rFonts w:ascii="Times New Roman" w:cs="Times New Roman" w:eastAsia="Times New Roman" w:hAnsi="Times New Roman"/>
                <w:sz w:val="11"/>
                <w:szCs w:val="11"/>
                <w:b w:val="1"/>
                <w:bCs w:val="1"/>
                <w:color w:val="auto"/>
                <w:w w:val="97"/>
              </w:rPr>
              <w:t>RECONCILIATION OF NET EARNINGS AVAILABLE TO COMMON STOCKHOLDERS</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35"/>
        </w:trPr>
        <w:tc>
          <w:tcPr>
            <w:tcW w:w="3240" w:type="dxa"/>
            <w:vAlign w:val="bottom"/>
          </w:tcPr>
          <w:p>
            <w:pPr>
              <w:spacing w:after="0"/>
              <w:rPr>
                <w:sz w:val="11"/>
                <w:szCs w:val="11"/>
                <w:color w:val="auto"/>
              </w:rPr>
            </w:pPr>
          </w:p>
        </w:tc>
        <w:tc>
          <w:tcPr>
            <w:tcW w:w="4940" w:type="dxa"/>
            <w:vAlign w:val="bottom"/>
            <w:gridSpan w:val="2"/>
          </w:tcPr>
          <w:p>
            <w:pPr>
              <w:jc w:val="center"/>
              <w:ind w:right="142"/>
              <w:spacing w:after="0"/>
              <w:rPr>
                <w:sz w:val="20"/>
                <w:szCs w:val="20"/>
                <w:color w:val="auto"/>
              </w:rPr>
            </w:pPr>
            <w:r>
              <w:rPr>
                <w:rFonts w:ascii="Times New Roman" w:cs="Times New Roman" w:eastAsia="Times New Roman" w:hAnsi="Times New Roman"/>
                <w:sz w:val="11"/>
                <w:szCs w:val="11"/>
                <w:b w:val="1"/>
                <w:bCs w:val="1"/>
                <w:color w:val="auto"/>
                <w:w w:val="98"/>
              </w:rPr>
              <w:t>TO ADJUSTED EBITDA (Unaudited)</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42"/>
        </w:trPr>
        <w:tc>
          <w:tcPr>
            <w:tcW w:w="3240" w:type="dxa"/>
            <w:vAlign w:val="bottom"/>
          </w:tcPr>
          <w:p>
            <w:pPr>
              <w:spacing w:after="0"/>
              <w:rPr>
                <w:sz w:val="12"/>
                <w:szCs w:val="12"/>
                <w:color w:val="auto"/>
              </w:rPr>
            </w:pPr>
          </w:p>
        </w:tc>
        <w:tc>
          <w:tcPr>
            <w:tcW w:w="4940" w:type="dxa"/>
            <w:vAlign w:val="bottom"/>
            <w:gridSpan w:val="2"/>
          </w:tcPr>
          <w:p>
            <w:pPr>
              <w:jc w:val="center"/>
              <w:ind w:right="162"/>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55"/>
        </w:trPr>
        <w:tc>
          <w:tcPr>
            <w:tcW w:w="32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1200" w:type="dxa"/>
            <w:vAlign w:val="bottom"/>
            <w:tcBorders>
              <w:bottom w:val="single" w:sz="8" w:color="auto"/>
            </w:tcBorders>
          </w:tcPr>
          <w:p>
            <w:pPr>
              <w:spacing w:after="0"/>
              <w:rPr>
                <w:sz w:val="13"/>
                <w:szCs w:val="13"/>
                <w:color w:val="auto"/>
              </w:rPr>
            </w:pPr>
          </w:p>
        </w:tc>
      </w:tr>
      <w:tr>
        <w:trPr>
          <w:trHeight w:val="134"/>
        </w:trPr>
        <w:tc>
          <w:tcPr>
            <w:tcW w:w="3240" w:type="dxa"/>
            <w:vAlign w:val="bottom"/>
            <w:tcBorders>
              <w:bottom w:val="single" w:sz="8" w:color="CCEEFF"/>
            </w:tcBorders>
          </w:tcPr>
          <w:p>
            <w:pPr>
              <w:spacing w:after="0"/>
              <w:rPr>
                <w:sz w:val="11"/>
                <w:szCs w:val="11"/>
                <w:color w:val="auto"/>
              </w:rPr>
            </w:pPr>
          </w:p>
        </w:tc>
        <w:tc>
          <w:tcPr>
            <w:tcW w:w="376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2022</w:t>
            </w:r>
          </w:p>
        </w:tc>
        <w:tc>
          <w:tcPr>
            <w:tcW w:w="76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 Available to Common Stockholders</w:t>
            </w:r>
          </w:p>
        </w:tc>
        <w:tc>
          <w:tcPr>
            <w:tcW w:w="37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042"/>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44.2</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8.2</w:t>
            </w:r>
          </w:p>
        </w:tc>
      </w:tr>
      <w:tr>
        <w:trPr>
          <w:trHeight w:val="153"/>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3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14.3</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2.9</w:t>
            </w:r>
          </w:p>
        </w:tc>
      </w:tr>
      <w:tr>
        <w:trPr>
          <w:trHeight w:val="15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37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16.7</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8.4</w:t>
            </w:r>
          </w:p>
        </w:tc>
      </w:tr>
      <w:tr>
        <w:trPr>
          <w:trHeight w:val="153"/>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5.3</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5.3</w:t>
            </w:r>
          </w:p>
        </w:tc>
      </w:tr>
      <w:tr>
        <w:trPr>
          <w:trHeight w:val="15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37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3.5</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2.0</w:t>
            </w:r>
          </w:p>
        </w:tc>
      </w:tr>
      <w:tr>
        <w:trPr>
          <w:trHeight w:val="153"/>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Separation costs</w:t>
            </w:r>
          </w:p>
        </w:tc>
        <w:tc>
          <w:tcPr>
            <w:tcW w:w="3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0.3</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2.0</w:t>
            </w:r>
          </w:p>
        </w:tc>
      </w:tr>
      <w:tr>
        <w:trPr>
          <w:trHeight w:val="15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37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1.2</w:t>
            </w: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(0.3)</w:t>
            </w:r>
          </w:p>
        </w:tc>
      </w:tr>
      <w:tr>
        <w:trPr>
          <w:trHeight w:val="153"/>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Foreign currency (gain) loss on intercompany loans</w:t>
            </w:r>
          </w:p>
        </w:tc>
        <w:tc>
          <w:tcPr>
            <w:tcW w:w="3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(0.6)</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0.2</w:t>
            </w:r>
          </w:p>
        </w:tc>
      </w:tr>
      <w:tr>
        <w:trPr>
          <w:trHeight w:val="15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earnings attributable to redeemable noncontrolling interest</w:t>
            </w:r>
          </w:p>
        </w:tc>
        <w:tc>
          <w:tcPr>
            <w:tcW w:w="37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31.1</w:t>
            </w:r>
          </w:p>
        </w:tc>
      </w:tr>
      <w:tr>
        <w:trPr>
          <w:trHeight w:val="158"/>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3760" w:type="dxa"/>
            <w:vAlign w:val="bottom"/>
            <w:tcBorders>
              <w:bottom w:val="single" w:sz="8" w:color="CCEEFF"/>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1042"/>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color w:val="auto"/>
              </w:rPr>
              <w:t>84.9</w:t>
            </w:r>
          </w:p>
        </w:tc>
        <w:tc>
          <w:tcPr>
            <w:tcW w:w="34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color w:val="auto"/>
              </w:rPr>
              <w:t>59.8</w:t>
            </w:r>
          </w:p>
        </w:tc>
      </w:tr>
      <w:tr>
        <w:trPr>
          <w:trHeight w:val="169"/>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 as a percentage of Net Sales</w:t>
            </w:r>
          </w:p>
        </w:tc>
        <w:tc>
          <w:tcPr>
            <w:tcW w:w="37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23.4 %</w:t>
            </w:r>
          </w:p>
        </w:tc>
        <w:tc>
          <w:tcPr>
            <w:tcW w:w="3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220"/>
          </w:cols>
          <w:pgMar w:left="340" w:top="749" w:right="339" w:bottom="1440"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6"/>
    </w:lvl>
  </w:abstractNum>
  <w:abstractNum w:abstractNumId="6">
    <w:nsid w:val="7545E146"/>
    <w:multiLevelType w:val="hybridMultilevel"/>
    <w:lvl w:ilvl="0">
      <w:lvlJc w:val="left"/>
      <w:lvlText w:val="%1."/>
      <w:numFmt w:val="lowerLetter"/>
      <w:start w:val="7"/>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2023-02-06T16:18:31Z</dcterms:created>
  <dcterms:modified xsi:type="dcterms:W3CDTF">2023-02-06T16:18:31Z</dcterms:modified>
</cp:coreProperties>
</file>