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852170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877570</wp:posOffset>
            </wp:positionV>
            <wp:extent cx="6094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______________________</w:t>
      </w:r>
    </w:p>
    <w:p>
      <w:pPr>
        <w:spacing w:after="0" w:line="7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Securities Exchange Act of 1934</w:t>
      </w:r>
    </w:p>
    <w:p>
      <w:pPr>
        <w:spacing w:after="0" w:line="15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Report (Date of earliest event reported): November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9870" cy="763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BellRing Brands, Inc.</w:t>
      </w:r>
    </w:p>
    <w:p>
      <w:pPr>
        <w:spacing w:after="0" w:line="1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440" w:right="499" w:bottom="1440" w:gutter="0" w:footer="0" w:header="0"/>
        </w:sectPr>
      </w:pPr>
    </w:p>
    <w:p>
      <w:pPr>
        <w:spacing w:after="0" w:line="41"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83-4096323</w:t>
      </w:r>
    </w:p>
    <w:p>
      <w:pPr>
        <w:spacing w:after="0" w:line="71" w:lineRule="exact"/>
        <w:rPr>
          <w:sz w:val="24"/>
          <w:szCs w:val="24"/>
          <w:color w:val="auto"/>
        </w:rPr>
      </w:pPr>
    </w:p>
    <w:p>
      <w:pPr>
        <w:sectPr>
          <w:pgSz w:w="11900" w:h="16838" w:orient="portrait"/>
          <w:cols w:equalWidth="0" w:num="3">
            <w:col w:w="3780" w:space="720"/>
            <w:col w:w="2540" w:space="720"/>
            <w:col w:w="3320"/>
          </w:cols>
          <w:pgMar w:left="320" w:top="1440" w:right="49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220" w:space="720"/>
            <w:col w:w="2340" w:space="720"/>
            <w:col w:w="4080"/>
          </w:cols>
          <w:pgMar w:left="320" w:top="1440" w:right="499" w:bottom="1440" w:gutter="0" w:footer="0" w:header="0"/>
          <w:type w:val="continuous"/>
        </w:sectPr>
      </w:pPr>
    </w:p>
    <w:p>
      <w:pPr>
        <w:spacing w:after="0" w:line="170"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63144</w:t>
      </w:r>
    </w:p>
    <w:p>
      <w:pPr>
        <w:spacing w:after="0" w:line="72" w:lineRule="exact"/>
        <w:rPr>
          <w:sz w:val="24"/>
          <w:szCs w:val="24"/>
          <w:color w:val="auto"/>
        </w:rPr>
      </w:pPr>
    </w:p>
    <w:p>
      <w:pPr>
        <w:sectPr>
          <w:pgSz w:w="11900" w:h="16838" w:orient="portrait"/>
          <w:cols w:equalWidth="0" w:num="4">
            <w:col w:w="3080" w:space="720"/>
            <w:col w:w="940" w:space="720"/>
            <w:col w:w="1800" w:space="720"/>
            <w:col w:w="3100"/>
          </w:cols>
          <w:pgMar w:left="320" w:top="1440" w:right="49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40" w:lineRule="exact"/>
        <w:rPr>
          <w:sz w:val="24"/>
          <w:szCs w:val="24"/>
          <w:color w:val="auto"/>
        </w:rPr>
      </w:pPr>
    </w:p>
    <w:p>
      <w:pPr>
        <w:sectPr>
          <w:pgSz w:w="11900" w:h="16838" w:orient="portrait"/>
          <w:cols w:equalWidth="0" w:num="2">
            <w:col w:w="7120" w:space="720"/>
            <w:col w:w="3240"/>
          </w:cols>
          <w:pgMar w:left="320" w:top="1440"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9"/>
          <w:szCs w:val="19"/>
          <w:b w:val="1"/>
          <w:bCs w:val="1"/>
          <w:color w:val="auto"/>
        </w:rPr>
        <w:t>(314) 644-7600</w:t>
      </w:r>
    </w:p>
    <w:p>
      <w:pPr>
        <w:spacing w:after="0" w:line="19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1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2680" w:type="dxa"/>
            <w:vAlign w:val="bottom"/>
            <w:gridSpan w:val="2"/>
          </w:tcPr>
          <w:p>
            <w:pPr>
              <w:jc w:val="center"/>
              <w:ind w:right="1380"/>
              <w:spacing w:after="0"/>
              <w:rPr>
                <w:sz w:val="20"/>
                <w:szCs w:val="20"/>
                <w:color w:val="auto"/>
              </w:rPr>
            </w:pPr>
            <w:r>
              <w:rPr>
                <w:rFonts w:ascii="Arial" w:cs="Arial" w:eastAsia="Arial" w:hAnsi="Arial"/>
                <w:sz w:val="18"/>
                <w:szCs w:val="18"/>
                <w:color w:val="auto"/>
                <w:w w:val="90"/>
              </w:rPr>
              <w:t>Title of each class</w:t>
            </w:r>
          </w:p>
        </w:tc>
        <w:tc>
          <w:tcPr>
            <w:tcW w:w="212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Trading Symbol(s)</w:t>
            </w:r>
          </w:p>
        </w:tc>
        <w:tc>
          <w:tcPr>
            <w:tcW w:w="358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196"/>
        </w:trPr>
        <w:tc>
          <w:tcPr>
            <w:tcW w:w="3720" w:type="dxa"/>
            <w:vAlign w:val="bottom"/>
            <w:gridSpan w:val="3"/>
          </w:tcPr>
          <w:p>
            <w:pPr>
              <w:jc w:val="center"/>
              <w:ind w:right="340"/>
              <w:spacing w:after="0" w:line="196" w:lineRule="exact"/>
              <w:rPr>
                <w:sz w:val="20"/>
                <w:szCs w:val="20"/>
                <w:color w:val="auto"/>
              </w:rPr>
            </w:pPr>
            <w:r>
              <w:rPr>
                <w:rFonts w:ascii="Arial" w:cs="Arial" w:eastAsia="Arial" w:hAnsi="Arial"/>
                <w:sz w:val="18"/>
                <w:szCs w:val="18"/>
                <w:b w:val="1"/>
                <w:bCs w:val="1"/>
                <w:color w:val="auto"/>
                <w:w w:val="90"/>
              </w:rPr>
              <w:t>Class A Common Stock, $0.01 par value per</w:t>
            </w:r>
          </w:p>
        </w:tc>
        <w:tc>
          <w:tcPr>
            <w:tcW w:w="340" w:type="dxa"/>
            <w:vAlign w:val="bottom"/>
          </w:tcPr>
          <w:p>
            <w:pPr>
              <w:spacing w:after="0"/>
              <w:rPr>
                <w:sz w:val="17"/>
                <w:szCs w:val="17"/>
                <w:color w:val="auto"/>
              </w:rPr>
            </w:pPr>
          </w:p>
        </w:tc>
        <w:tc>
          <w:tcPr>
            <w:tcW w:w="1780" w:type="dxa"/>
            <w:vAlign w:val="bottom"/>
            <w:gridSpan w:val="2"/>
          </w:tcPr>
          <w:p>
            <w:pPr>
              <w:jc w:val="center"/>
              <w:ind w:right="400"/>
              <w:spacing w:after="0" w:line="196" w:lineRule="exact"/>
              <w:rPr>
                <w:sz w:val="20"/>
                <w:szCs w:val="20"/>
                <w:color w:val="auto"/>
              </w:rPr>
            </w:pPr>
            <w:r>
              <w:rPr>
                <w:rFonts w:ascii="Arial" w:cs="Arial" w:eastAsia="Arial" w:hAnsi="Arial"/>
                <w:sz w:val="18"/>
                <w:szCs w:val="18"/>
                <w:b w:val="1"/>
                <w:bCs w:val="1"/>
                <w:color w:val="auto"/>
                <w:w w:val="96"/>
              </w:rPr>
              <w:t>BRBR</w:t>
            </w:r>
          </w:p>
        </w:tc>
        <w:tc>
          <w:tcPr>
            <w:tcW w:w="400" w:type="dxa"/>
            <w:vAlign w:val="bottom"/>
          </w:tcPr>
          <w:p>
            <w:pPr>
              <w:spacing w:after="0"/>
              <w:rPr>
                <w:sz w:val="17"/>
                <w:szCs w:val="17"/>
                <w:color w:val="auto"/>
              </w:rPr>
            </w:pPr>
          </w:p>
        </w:tc>
        <w:tc>
          <w:tcPr>
            <w:tcW w:w="31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1040" w:type="dxa"/>
            <w:vAlign w:val="bottom"/>
          </w:tcPr>
          <w:p>
            <w:pPr>
              <w:spacing w:after="0"/>
              <w:rPr>
                <w:sz w:val="20"/>
                <w:szCs w:val="20"/>
                <w:color w:val="auto"/>
              </w:rPr>
            </w:pPr>
          </w:p>
        </w:tc>
        <w:tc>
          <w:tcPr>
            <w:tcW w:w="268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87"/>
              </w:rPr>
              <w:t>share</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89"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1367790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219075</wp:posOffset>
            </wp:positionV>
            <wp:extent cx="6026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6150"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245110</wp:posOffset>
            </wp:positionV>
            <wp:extent cx="6026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On November 12, 2020, the Board of Directors (the “Board”) of BellRing Brands, Inc. (the “Company”) approved, effective November 12, 2020 (the “Effective Date”), a $60 million share repurchase authorization over a two-year period beginning on the Effective Date. Repurchases may be made from time to time in the open market, private purchases, through forward, derivative, alternative, accelerated repurchase or automatic purchase transactions, or otherwise. The authorization does not, however, obligate the Company to acquire any particular amount of shares, and repurchases may be suspended or terminated at any time at the Company’s discretion. A press release announcing the approval of the share repurchase authorization is attached as Exhibit 99.1 to this Current Report on Form 8-K and is incorporated herein by reference. The amount and timing of repurchases are subject to a variety of factors including liquidity, share price, market conditions and legal requirements.</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98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400" w:type="dxa"/>
            <w:vAlign w:val="bottom"/>
          </w:tcPr>
          <w:p>
            <w:pPr>
              <w:spacing w:after="0"/>
              <w:rPr>
                <w:sz w:val="24"/>
                <w:szCs w:val="24"/>
                <w:color w:val="auto"/>
              </w:rPr>
            </w:pPr>
          </w:p>
        </w:tc>
        <w:tc>
          <w:tcPr>
            <w:tcW w:w="29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Press Release dated November 12, 2020</w:t>
            </w:r>
          </w:p>
        </w:tc>
        <w:tc>
          <w:tcPr>
            <w:tcW w:w="6080" w:type="dxa"/>
            <w:vAlign w:val="bottom"/>
          </w:tcPr>
          <w:p>
            <w:pPr>
              <w:spacing w:after="0"/>
              <w:rPr>
                <w:sz w:val="24"/>
                <w:szCs w:val="24"/>
                <w:color w:val="auto"/>
              </w:rPr>
            </w:pPr>
          </w:p>
        </w:tc>
      </w:tr>
      <w:tr>
        <w:trPr>
          <w:trHeight w:val="25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400" w:type="dxa"/>
            <w:vAlign w:val="bottom"/>
          </w:tcPr>
          <w:p>
            <w:pPr>
              <w:spacing w:after="0"/>
              <w:rPr>
                <w:sz w:val="21"/>
                <w:szCs w:val="21"/>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Cover Page Interactive Data File (the cover page iXBRL tags are embedded within the Inline XBRL document)</w:t>
            </w:r>
          </w:p>
        </w:tc>
      </w:tr>
      <w:tr>
        <w:trPr>
          <w:trHeight w:val="3274"/>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color w:val="auto"/>
              </w:rPr>
              <w:t>Date: November 12, 2020</w:t>
            </w:r>
          </w:p>
        </w:tc>
        <w:tc>
          <w:tcPr>
            <w:tcW w:w="7320" w:type="dxa"/>
            <w:vAlign w:val="bottom"/>
            <w:gridSpan w:val="2"/>
          </w:tcPr>
          <w:p>
            <w:pPr>
              <w:ind w:left="1820"/>
              <w:spacing w:after="0"/>
              <w:rPr>
                <w:sz w:val="20"/>
                <w:szCs w:val="20"/>
                <w:color w:val="auto"/>
              </w:rPr>
            </w:pPr>
            <w:r>
              <w:rPr>
                <w:rFonts w:ascii="Arial" w:cs="Arial" w:eastAsia="Arial" w:hAnsi="Arial"/>
                <w:sz w:val="18"/>
                <w:szCs w:val="18"/>
                <w:b w:val="1"/>
                <w:bCs w:val="1"/>
                <w:color w:val="auto"/>
              </w:rPr>
              <w:t>BellRing Brands, Inc.</w:t>
            </w:r>
          </w:p>
        </w:tc>
      </w:tr>
      <w:tr>
        <w:trPr>
          <w:trHeight w:val="338"/>
        </w:trPr>
        <w:tc>
          <w:tcPr>
            <w:tcW w:w="3680" w:type="dxa"/>
            <w:vAlign w:val="bottom"/>
          </w:tcPr>
          <w:p>
            <w:pPr>
              <w:spacing w:after="0"/>
              <w:rPr>
                <w:sz w:val="24"/>
                <w:szCs w:val="24"/>
                <w:color w:val="auto"/>
              </w:rPr>
            </w:pPr>
          </w:p>
        </w:tc>
        <w:tc>
          <w:tcPr>
            <w:tcW w:w="2720" w:type="dxa"/>
            <w:vAlign w:val="bottom"/>
          </w:tcPr>
          <w:p>
            <w:pPr>
              <w:ind w:left="1820"/>
              <w:spacing w:after="0"/>
              <w:rPr>
                <w:sz w:val="20"/>
                <w:szCs w:val="20"/>
                <w:color w:val="auto"/>
              </w:rPr>
            </w:pPr>
            <w:r>
              <w:rPr>
                <w:rFonts w:ascii="Arial" w:cs="Arial" w:eastAsia="Arial" w:hAnsi="Arial"/>
                <w:sz w:val="18"/>
                <w:szCs w:val="18"/>
                <w:color w:val="auto"/>
                <w:w w:val="93"/>
              </w:rPr>
              <w:t>(Registrant)</w:t>
            </w:r>
          </w:p>
        </w:tc>
        <w:tc>
          <w:tcPr>
            <w:tcW w:w="4600" w:type="dxa"/>
            <w:vAlign w:val="bottom"/>
          </w:tcPr>
          <w:p>
            <w:pPr>
              <w:spacing w:after="0"/>
              <w:rPr>
                <w:sz w:val="24"/>
                <w:szCs w:val="24"/>
                <w:color w:val="auto"/>
              </w:rPr>
            </w:pPr>
          </w:p>
        </w:tc>
      </w:tr>
      <w:tr>
        <w:trPr>
          <w:trHeight w:val="675"/>
        </w:trPr>
        <w:tc>
          <w:tcPr>
            <w:tcW w:w="3680" w:type="dxa"/>
            <w:vAlign w:val="bottom"/>
          </w:tcPr>
          <w:p>
            <w:pPr>
              <w:spacing w:after="0"/>
              <w:rPr>
                <w:sz w:val="24"/>
                <w:szCs w:val="24"/>
                <w:color w:val="auto"/>
              </w:rPr>
            </w:pPr>
          </w:p>
        </w:tc>
        <w:tc>
          <w:tcPr>
            <w:tcW w:w="2720" w:type="dxa"/>
            <w:vAlign w:val="bottom"/>
          </w:tcPr>
          <w:p>
            <w:pPr>
              <w:ind w:left="18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Craig L. Rosenthal</w:t>
            </w:r>
          </w:p>
        </w:tc>
      </w:tr>
      <w:tr>
        <w:trPr>
          <w:trHeight w:val="317"/>
        </w:trPr>
        <w:tc>
          <w:tcPr>
            <w:tcW w:w="3680" w:type="dxa"/>
            <w:vAlign w:val="bottom"/>
          </w:tcPr>
          <w:p>
            <w:pPr>
              <w:spacing w:after="0"/>
              <w:rPr>
                <w:sz w:val="24"/>
                <w:szCs w:val="24"/>
                <w:color w:val="auto"/>
              </w:rPr>
            </w:pPr>
          </w:p>
        </w:tc>
        <w:tc>
          <w:tcPr>
            <w:tcW w:w="2720" w:type="dxa"/>
            <w:vAlign w:val="bottom"/>
          </w:tcPr>
          <w:p>
            <w:pPr>
              <w:ind w:left="182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Craig L. Rosenthal</w:t>
            </w:r>
          </w:p>
        </w:tc>
      </w:tr>
      <w:tr>
        <w:trPr>
          <w:trHeight w:val="230"/>
        </w:trPr>
        <w:tc>
          <w:tcPr>
            <w:tcW w:w="3680" w:type="dxa"/>
            <w:vAlign w:val="bottom"/>
          </w:tcPr>
          <w:p>
            <w:pPr>
              <w:spacing w:after="0"/>
              <w:rPr>
                <w:sz w:val="20"/>
                <w:szCs w:val="20"/>
                <w:color w:val="auto"/>
              </w:rPr>
            </w:pPr>
          </w:p>
        </w:tc>
        <w:tc>
          <w:tcPr>
            <w:tcW w:w="2720" w:type="dxa"/>
            <w:vAlign w:val="bottom"/>
          </w:tcPr>
          <w:p>
            <w:pPr>
              <w:ind w:left="1820"/>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color w:val="auto"/>
              </w:rPr>
              <w:t>SVP, General Counsel and Secretary</w:t>
            </w:r>
          </w:p>
        </w:tc>
      </w:tr>
    </w:tbl>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499870" cy="720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BellRing Brands Announces Share Repurchase Authorization of $60 Million</w:t>
      </w:r>
    </w:p>
    <w:p>
      <w:pPr>
        <w:spacing w:after="0" w:line="284" w:lineRule="exact"/>
        <w:rPr>
          <w:sz w:val="20"/>
          <w:szCs w:val="20"/>
          <w:color w:val="auto"/>
        </w:rPr>
      </w:pPr>
    </w:p>
    <w:p>
      <w:pPr>
        <w:ind w:right="80"/>
        <w:spacing w:after="0" w:line="310" w:lineRule="auto"/>
        <w:rPr>
          <w:sz w:val="20"/>
          <w:szCs w:val="20"/>
          <w:color w:val="auto"/>
        </w:rPr>
      </w:pPr>
      <w:r>
        <w:rPr>
          <w:rFonts w:ascii="Arial" w:cs="Arial" w:eastAsia="Arial" w:hAnsi="Arial"/>
          <w:sz w:val="17"/>
          <w:szCs w:val="17"/>
          <w:b w:val="1"/>
          <w:bCs w:val="1"/>
          <w:color w:val="auto"/>
        </w:rPr>
        <w:t xml:space="preserve">St. Louis - November 12, 2020 </w:t>
      </w:r>
      <w:r>
        <w:rPr>
          <w:rFonts w:ascii="Arial" w:cs="Arial" w:eastAsia="Arial" w:hAnsi="Arial"/>
          <w:sz w:val="17"/>
          <w:szCs w:val="17"/>
          <w:color w:val="auto"/>
        </w:rPr>
        <w:t>– BellRing Brands, Inc. (NYSE:BRBR) today announced its Board of Directors approved a $60 million share repurchase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authorization over the next two years. Repurchases may be made from time to time in the open market, private purchases, through forward, derivative, alternative, accelerated repurchase or automatic purchase transactions, or otherwise. The authorization does not, however, obligate BellRing to acquire any particular amount of shares, and repurchases may be suspended or terminated at any time at BellRing’s discretion. The amount and timing of repurchases are subject to a variety of factors including liquidity, share price, market conditions and legal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256" w:lineRule="exact"/>
        <w:rPr>
          <w:sz w:val="20"/>
          <w:szCs w:val="20"/>
          <w:color w:val="auto"/>
        </w:rPr>
      </w:pPr>
    </w:p>
    <w:p>
      <w:pPr>
        <w:ind w:right="120"/>
        <w:spacing w:after="0" w:line="303" w:lineRule="auto"/>
        <w:rPr>
          <w:sz w:val="20"/>
          <w:szCs w:val="20"/>
          <w:color w:val="auto"/>
        </w:rPr>
      </w:pPr>
      <w:r>
        <w:rPr>
          <w:rFonts w:ascii="Arial" w:cs="Arial" w:eastAsia="Arial" w:hAnsi="Arial"/>
          <w:sz w:val="17"/>
          <w:szCs w:val="17"/>
          <w:color w:val="auto"/>
        </w:rPr>
        <w:t>Forward-looking statements, within the meaning of Section 27A of the Securities Act and Section 21E of the Securities Exchange Act of 1934, as amended, are made in this press release.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press release. All forward-looking statements are subject to a number of important factors, risks, uncertainties and assumptions that could cause actual results to differ materially from those described in any forward-looking statements. These factors and risks include, but are not limited to, unanticipated developments that prevent, delay or negatively impact the repurchases, the rapidly changing situation related to the COVID-19 pandemic and other financial, operational and legal risks and uncertainties detailed from time to time in BellRing’s cautionary statements contained in its filings with the Securities and Exchange Commission. These forward-looking statements represent BellRing’s judgment as of the date of this press release. BellRing disclaims, however, any intent or obligation to update these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256" w:lineRule="exact"/>
        <w:rPr>
          <w:sz w:val="20"/>
          <w:szCs w:val="20"/>
          <w:color w:val="auto"/>
        </w:rPr>
      </w:pPr>
    </w:p>
    <w:p>
      <w:pPr>
        <w:ind w:right="40"/>
        <w:spacing w:after="0" w:line="288" w:lineRule="auto"/>
        <w:rPr>
          <w:sz w:val="20"/>
          <w:szCs w:val="20"/>
          <w:color w:val="auto"/>
        </w:rPr>
      </w:pPr>
      <w:r>
        <w:rPr>
          <w:rFonts w:ascii="Arial" w:cs="Arial" w:eastAsia="Arial" w:hAnsi="Arial"/>
          <w:sz w:val="18"/>
          <w:szCs w:val="18"/>
          <w:color w:val="auto"/>
        </w:rPr>
        <w:t xml:space="preserve">BellRing Brands, Inc. is a rapidly growing leader in the global convenient nutrition category. Its primary brands,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appeal to a broad range of consumers across all major product forms, including ready-to-drink protein shakes, powders and nutrition bars, and</w:t>
      </w:r>
      <w:r>
        <w:rPr>
          <w:rFonts w:ascii="Arial" w:cs="Arial" w:eastAsia="Arial" w:hAnsi="Arial"/>
          <w:sz w:val="18"/>
          <w:szCs w:val="18"/>
          <w:i w:val="1"/>
          <w:iCs w:val="1"/>
          <w:color w:val="auto"/>
        </w:rPr>
        <w:t xml:space="preserve"> </w:t>
      </w:r>
      <w:r>
        <w:rPr>
          <w:rFonts w:ascii="Arial" w:cs="Arial" w:eastAsia="Arial" w:hAnsi="Arial"/>
          <w:sz w:val="18"/>
          <w:szCs w:val="18"/>
          <w:color w:val="auto"/>
        </w:rPr>
        <w:t>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jennifer.meyer@bellringbrands.com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2020-11-12T16:25:58Z</dcterms:created>
  <dcterms:modified xsi:type="dcterms:W3CDTF">2020-11-12T16:25:58Z</dcterms:modified>
</cp:coreProperties>
</file>