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4000" w:right="1400" w:hanging="2596"/>
        <w:spacing w:after="0" w:line="290" w:lineRule="auto"/>
        <w:tabs>
          <w:tab w:leader="none" w:pos="16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7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6"/>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130,433,808 shares as of April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08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196"/>
        </w:trPr>
        <w:tc>
          <w:tcPr>
            <w:tcW w:w="5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70"/>
        </w:trPr>
        <w:tc>
          <w:tcPr>
            <w:tcW w:w="5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bl>
    <w:p>
      <w:pPr>
        <w:spacing w:after="0" w:line="28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4"/>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4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54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
        </w:trPr>
        <w:tc>
          <w:tcPr>
            <w:tcW w:w="5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824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prepaid expenses and other current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50"/>
        </w:trPr>
        <w:tc>
          <w:tcPr>
            <w:tcW w:w="8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8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60" w:type="dxa"/>
            <w:vAlign w:val="bottom"/>
          </w:tcPr>
          <w:p>
            <w:pPr>
              <w:spacing w:after="0"/>
              <w:rPr>
                <w:sz w:val="16"/>
                <w:szCs w:val="16"/>
                <w:color w:val="auto"/>
              </w:rPr>
            </w:pPr>
          </w:p>
        </w:tc>
        <w:tc>
          <w:tcPr>
            <w:tcW w:w="2080" w:type="dxa"/>
            <w:vAlign w:val="bottom"/>
            <w:gridSpan w:val="4"/>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center"/>
              <w:ind w:right="151"/>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3"/>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convenient nutrition category and is a provider of ready-to-drink (“RTD”) protein shakes, other RTD beverages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subsidiaries.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2023. These unaudited condensed consolidated financial statements should be read in conjunction with such audited consolidated financial statements, which are included in the Company’s Annual Report on Form 10-K for the fiscal year ended September 30, 2023, filed with the SEC on November 21, 2023.</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position, cash flows, stockholders’ equity or related disclosures based on current information.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is effective for fiscal years beginning after December 15, 2023 (i.e., the Company’s annual financial statements for the year ended September 30, 2025) and for interim periods within fiscal years beginning after December 15, 2024 (i.e., the Company’s interim financial statements for the three months ended December 31, 2025), with early adoption permitted. This ASU requires retrospective adoption. The Company is currently evaluating the impact of this standard.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are considered related party transactions as certain of the Company’s directors serve as officers or directors of Post.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MSA Fees and Royalties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payroll processing services and tax compliance services. MSA fees were $0.8 and $1.7 during the three and six months ended March 31, 2024, respectively, and $1.0 and $2.3 during the three and six months ended March 31, 2023, respectively</w:t>
      </w:r>
      <w:r>
        <w:rPr>
          <w:rFonts w:ascii="Times New Roman" w:cs="Times New Roman" w:eastAsia="Times New Roman" w:hAnsi="Times New Roman"/>
          <w:sz w:val="18"/>
          <w:szCs w:val="18"/>
          <w:color w:val="242424"/>
        </w:rPr>
        <w:t>.</w:t>
      </w:r>
      <w:r>
        <w:rPr>
          <w:rFonts w:ascii="Times New Roman" w:cs="Times New Roman" w:eastAsia="Times New Roman" w:hAnsi="Times New Roman"/>
          <w:sz w:val="18"/>
          <w:szCs w:val="18"/>
          <w:color w:val="auto"/>
        </w:rPr>
        <w:t xml:space="preserve"> MSA fees were reported in “Selling, general and administrative expenses” in the Condensed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both the three and six months ended March 31, 2024 and 2023, royalties paid to and received from Post and its subsidiaries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30, 2022, Premier Nutrition Company, LLC (“Premier Nutrition”), a subsidiary of the Company, entered into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In December 2023, in accordance with the terms of the Co-Packing Agreement, Comet began manufacturing RTD shakes for Premier Nutrition.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both the three and six months ended March 31, 2024, purchases of RTD shakes manufactured by Comet were $1.9. There were no purchases of RTD shakes manufactured by Comet during fiscal 2023. In addition, Premier Nutrition incurred $1.0 during the six months ended March 31, 2024 related to start-up costs that are reimbursable to Comet from Premier Nutrition pursuant to the Co-Packing Agreement. No reimbursable start-up costs were incurred by Premier Nutrition during the three months ended March 31, 2024 or the three and six months ended March 31, 2023.</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and September 30, 2023, the Company had current payables with Post of $1.5 and $2.5, respectively, related to RTD shake purchases, MSA fees and reimbursable start-up costs, which were included in “Accounts payable” on the Condensed Consolidated Balance Sheets. Current receivables with Post at both March 31, 2024 and September 30, 2023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70"/>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securities that have been excluded from the calculation of weighted-average shares for diluted earnings per share as they were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5"/>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09"/>
        </w:trPr>
        <w:tc>
          <w:tcPr>
            <w:tcW w:w="6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52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6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NET</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6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March 31, 2024 and September 30, 2023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INTANGIBLE ASSETS, NET</w:t>
            </w: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August 2023, the Company approved a plan to discontinue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In connection with the discontinuance, the Company updated the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to reflect the remaining period in which the Company expects to sell existing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inventory in North America. Accelerated amortization of zero and $17.4 was recorded during the three and six months ended March 31, 2024, respectively, resulting from the updated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which were fully amortized and written off as of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Condensed Consolidated Balance Sheets. The fair value of outstanding borrowings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Revolving Credit Facility (as defined in Note 11) as of September 30, 2023 approximated its carrying value. Based on market rates, the fair value (Level 2) of the Company’s debt, excluding any borrowings under the Revolving Credit Facility, was $866.6 and $830.0 as of March 31, 2024 and September 30, 2023, respectively.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82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ranges from 2.00% to 2.75% depending on the Company’s secured net leverage ratio (as defined in the Credit Agreement), or the adjusted term SOFR rate (as defined in the Credit Agreement) for the applicable interest period plus a margin which ranges from 3.00% to 3.75% depending on the Company’s secured net leverage ratio; (ii) in the case of loans denominated in Euros, the adjusted Eurodollar rate (as defined in the Credit Agreement) for the applicable interest period plus a margin which ranges from 3.00% to 3.75% depending on the Company’s secured net leverage ratio; and (iii) in the case of loans denominated in U.K. Pounds Sterling, the adjusted daily simple RFR (as defined in the Credit Agreement) plus a margin which ranges from 3.00% to 3.75% depending on the Company’s secured net leverage ratio. Facility fees on the daily unused amount of commitments under the Revolving Credit Facility will accrue at rates ranging from 0.25% to 0.375% per annum, depending on the Company’s secured net leverage ratio.</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2024 and 2023, the Company borrowed zero and $115.0 under the Revolving Credit Facility, respectively, and repaid $25.0 and $75.0 under the Revolving Credit Facility, respectively. The interest rate on the utilized portion of the Revolving Credit Facility was 8.42% as of September 30, 2023, and there were no amounts outstanding under the Revolving Credit Facility as of March 31, 2024. The available borrowing capacity under the Revolving Credit Facility was $250.0 and $225.0 as of March 31, 2024 and September 30, 2023, respectively, and there were no outstanding letters of credit as of March 31, 2024 or September 30, 2023.</w:t>
      </w:r>
    </w:p>
    <w:p>
      <w:pPr>
        <w:spacing w:after="0" w:line="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March 31, 2024.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subsidiaries the Company designates as unrestricted subsidiaries) and are secured by security interests in substantially all of the Company’s assets and the assets of its subsidiary guarantors, but excluding, in each case, real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was held beginning in May 2022, and the jury delivered its verdict in favor of plaintiff in June 2022. In August 2022, the Court entered a judgment in that case in favor of plaintiff in the amount of $12.9, which includes statutory damages and prejudgment interest. In October 2022, each plaintiff and Premier Nutrition filed Notices of Appeal to the Ninth Circuit, which appeals are pending. The other eight Related Federal Actions remain pending, and the court has certified individual state classes in each of those cases (except New Mexico).</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anticipated in calendar year 2024.</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In July 2020, the court issued an order certifying a statewide class. Premier Nutrition moved for summary judgment on July 7, 2023, which motion remains pending. Trial is anticipated in calendar year 2024.</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or six months ended March 31, 2024 or 2023. At both March 31, 2024 and September 30, 2023, the Company had an estimated liability of $21.0 related to these matters that was included in “Other current liabilities”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Protein Products Class Litigation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does not allege that any plaintiff or putative class member suffered personal injuries and does not seek any remedies for personal injuries.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Premier Nutrition filed a motion to dismiss this case in August 2023, which motion is pending. The Company intends to vigorously defend the case, including appealing any adverse judgement or award. The Company does not believe that the ultimate resolution of the Protein Products Class Lawsuit will have a material adverse effect on its consolidated financial condition, results of operations or cash flows.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Class Lawsuit was incurred during the three or six months ended March 31, 2024 or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Proposition 65 Notice re Lead in Protein Products</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7, 2023, the Fitzgerald Joseph LLP law firm (the same firm that filed the Protein Products Class Lawsuit) issued a 60-Day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Prop 65 Notice was incurred during the three or six months ended March 31, 2024 or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r>
      <w:tr>
        <w:trPr>
          <w:trHeight w:val="210"/>
        </w:trPr>
        <w:tc>
          <w:tcPr>
            <w:tcW w:w="6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treasury stock” in the Condensed Consolidated Statements of Cash Flows for the six months ended March 31, 2024 excluded $1.5 of repurchases of common stock that did not settle until April 2024 and $0.2 of accrued excise tax that had not been paid as of March 31, 2024. “Purchases of treasury stock” in the Condensed Consolidated Statements of Cash Flows for the six months ended March 31, 2023 excluded $0.3 of accrued excise tax that had not been paid as of March 31, 2023.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2023 and the “Cautionary Statement on Forward-Looking Statements” section included below. The terms “our,” “we,” “us,” the “Company” and “BellRing” refer to BellRing Brands, Inc. and its consolidated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other RTD beverages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fiscal 2023, input cost inflation, including raw material, packaging and manufacturing costs, impacted our supply chain and put downward pressure on profit margins. As a result, we took pricing actions on certain products in the prior fiscal year. During the first half of fiscal 2024, inflationary pressures on protein costs eased while other costs, such as packaging and manufacturing, continued to face inflationary pressures. We expect inflationary pressures on most input costs to increase during the second half of fiscal 2024 compared to the first half of fiscal 2024, and inflation could have a materially adverse impact on our business in the future if inflation rates were to significantly exceed our ability to achieve price increases or cost savings or if such price increases impact demand for our products.</w:t>
      </w:r>
    </w:p>
    <w:p>
      <w:pPr>
        <w:spacing w:after="0" w:line="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11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March</w:t>
            </w:r>
          </w:p>
        </w:tc>
        <w:tc>
          <w:tcPr>
            <w:tcW w:w="240" w:type="dxa"/>
            <w:vAlign w:val="bottom"/>
          </w:tcPr>
          <w:p>
            <w:pPr>
              <w:spacing w:after="0"/>
              <w:rPr>
                <w:sz w:val="16"/>
                <w:szCs w:val="16"/>
                <w:color w:val="auto"/>
              </w:rPr>
            </w:pPr>
          </w:p>
        </w:tc>
        <w:tc>
          <w:tcPr>
            <w:tcW w:w="12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57"/>
        </w:trPr>
        <w:tc>
          <w:tcPr>
            <w:tcW w:w="2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Net sales increased $109.0 million, or 28%, during the three months ended March 31, 2024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$106.0 million, or 34%, driven by 45% higher volumes primarily due to increased promotional activity, which resulted in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net selling prices, and distribution gains.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$2.8 million, or 5%, on 1% higher volumes. Average net selling prices increased in the three months ended March 31, 2024 primarily due to favorable mix. Sales of all other products were up $0.2 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Net sales increased $176.7 million, or 24%, during the six months ended March 31, 2024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$164.2 million, or 26%, driven by 32% higher volumes primarily due to increased promotional activity, which resulted in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net selling prices and distribution gains.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$12.4 million, or 12%, on 14% higher volumes. Volumes increased primarily due to the timing of quarterly shipments in the prior year period and distribution gains. Sales of all other products were up $0.1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profit increased $33.0 million, or 57%, during the three months ended March 31, 2024 compared to the prior year period. This increase was driven by higher net sales (net of increased promotional activity), as previously discussed,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lower net product costs of $34.6 million (primarily due to lower raw material costs). These positive impacts were partially offset by higher employee-related expenses of $7.9 million and higher advertising expense of $3.3 million.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$30.8 million, or 23%, during the six months ended March 31, 2024 compared to the prior year period. This increase was primarily driven by higher net sales (net of increased promotional activity), as previously discussed, and lower net product costs of $42.0 million (driven by lower raw material costs, partially offset by higher manufacturing costs). These positive impacts were partially offset by higher accelerated amortization of $17.4 million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higher employee-related expenses of $13.2 million and higher advertising expense of $4.3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decreased $2.3 million during the three months ended March 31, 2024 compared to the prior year period primarily due to lower borrowings outstanding under our Revolving Credit Facility (as defined in “Liquidity and Capital Resources” within this section). As a result, the weighted-average interest rate on our total outstanding debt decreased to 7.0% for the three months ended March 31, 2024 from 7.3% for the three months ended March 31, 2023.</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decreased $4.1 million during the six months ended March 31, 2024 compared to the prior year period primarily due to lower borrowings outstanding under our Revolving Credit Facility. As a result, the weighted-average interest rate on our total outstanding debt decreased to 7.0% for the six months ended March 31, 2024 from 7.2% for the six months ended March 31, 2023.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within “Notes to Condensed Consolidated Financial Statements” for additional information on our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25.2% and 25.0% for the three months ended March 31, 2024 and 2023, respectively, and 24.9% and 24.7% for the six months ended March 31, 2024 and 2023,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March 31, 2024, we repaid $25.0 million under our revolving credit facility, which is provided under our credit agreement entered into on March 10, 2022 (as amended, the “Credit Agreement”) in an aggregate principal amount of $250.0 million (the “Revolving Credit Facility”). As of March 31, 2024, there were no outstanding borrowings or letters of credit under the Revolving Credit Facility, providing us available borrowing capacity of $250.0 million.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2024, we repurchased 0.6 million shares of our common stock at an average share price of $52.28 per share and at a total cost, including accrued excise tax and broker’s commissions, of $32.5 million.</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and interest payments on our 7.00% senior notes maturing in March 2030 (the “7.00% Senior Notes”). Long-term financing needs include the repayment of our 7.00% Senior Notes.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for fiscal 2024. Additionally, we may seek to repurchase shares of our common stock. Such repurchases, if any, will depend on prevailing market conditions, our liquidity requirements, contractual restrictions and other factors. The amounts involved may be material.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March 31, 2024 increased $70.2 million compared to the prior year period. This increase was primarily due to moderated inventory levels in the current year period (compared to increased inventory levels in the prior year period) and decreased interest payments of $3.2 million due to lower borrowings outstanding under our Revolving Credit Facility. These positive impacts were partially offset by higher receivable levels in the current year period driven by higher net sales and increased tax payments (net of refunds) of $2.1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used in investing activities was $0.5 million for both the six months ended March 31, 2024 and 2023 and related to capital expenditures.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March 31, 2024 was $59.2 million. We paid $30.8 million, including broker’s commissions, for the repurchase of shares of our common stock and repaid $25.0 million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2023</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March 31, 2023 was $30.7 million. We paid $68.5 million, including broker’s commissions, for the repurchase of shares of our common stock and borrowed and repaid $115.0 million and $75.0 million, respectively, under the Revolving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March 31, 2024,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affiliates; and sell assets or merge with other companies. Certain of these covenants are subject to suspension when and if the 7.00% Senior Notes receive investment grade ratings.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more fully described in our Annual Report on Form 10-K for the year ended September 30, 2023, as filed with the Securities and Exchange Commission (the “SEC”) on November 21, 2023. There have been no significant changes to our critical accounting estimates since September 30, 2023.</w:t>
      </w:r>
    </w:p>
    <w:p>
      <w:pPr>
        <w:spacing w:after="0" w:line="17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accounting standards.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our common stock .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third-party contract manufacturers for the manufacturing of most of our products, including one manufacturer for the majority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2023, filed with the SEC on November 21, 2023.</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both March 31, 2024 and September 30, 2023, the Company had outstanding principal value indebtedness of $840.0 million related to its 7.00% Senior Notes. Additionally, the Company had an aggregate principal amount of $25.0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under its Revolving Credit Facility as of September 30, 2023. The Company had no amounts outstanding under its Revolving Credit Facility as of March 31, 2024. Borrowings under the Revolving Credit Facility bear interest at variable rates.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2024 and September 30, 2023, the fair value of the Company’s debt, excluding any borrowings under its Revolving Credit Facility, was $866.6 million and $830.0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increased the fair value of the fixed rate debt by approximately $15 million and $19 million as of March 31, 2024 and September 30, 2023, respectively. A hypothetical 10% increase in interest rates would have had an immaterial impact on both interest expense and interest paid during the three and six months ended March 31, 2024 and 2023. For additional information regarding the Company’s debt, see Note 11 within “Notes to Condensed Consolidated Financial Statements.”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12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March 31, 2024.</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21, 2023, as of and for the year ended September 30, 2023 (the “Annual Report”). As of the date of this Quarterly Report, there have been no material changes to the risk factors previously disclosed in the Annual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March 31, 2024 and our common stock repurchase authorization.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76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6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167,430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167,430</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$4,941,271</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61,497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61,497</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$1,475,928</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176,515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176,515</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$289,373,098</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405,442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405,442</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$289,373,098</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 2023, the Company’s Board of Directors approved an $80,000,000 repurchase authorization with respect to shares of the Company’s common stock (the “Prior Authorization”). The Prior Authorization was effective on May 3, 2023 and had an expiration date of May 3, 2025. On February 29, 2024, the Company’s Board of Directors approved a new $300,000,000 repurchase authorization with respect to shares of the Company’s common stock (the “New Authorization”) and cancelled, effective March 11, 2024, the Prior Authorization. The New Authorization was effective on March 11, 2024 and has an expiration date of March 11, 2026. Repurchases may be made from time to time in the open market, private purchases, through forward, derivative, accelerated repurchase or automatic purchase transactions, or otherwise.</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as defined in Rule 16a-1(f) under the Securities Exchange Act of 1934, as amended,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0"/>
          </w:tcPr>
          <w:p>
            <w:pPr>
              <w:spacing w:after="0" w:line="195"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00" w:type="dxa"/>
            <w:vAlign w:val="bottom"/>
            <w:gridSpan w:val="18"/>
          </w:tcPr>
          <w:p>
            <w:pPr>
              <w:spacing w:after="0" w:line="169"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8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BellRing Brands, Inc. Certificate of Incorporation (Incorporated by reference to Exhibit 3.1 to the Company’s Second Form</w:t>
              </w:r>
            </w:hyperlink>
          </w:p>
        </w:tc>
      </w:tr>
      <w:tr>
        <w:trPr>
          <w:trHeight w:val="155"/>
        </w:trPr>
        <w:tc>
          <w:tcPr>
            <w:tcW w:w="130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8-K filed on March 10, 2022)</w:t>
              </w:r>
            </w:hyperlink>
          </w:p>
        </w:tc>
        <w:tc>
          <w:tcPr>
            <w:tcW w:w="678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BellRing Brands, Inc. Bylaws (Incorporated by reference to Exhibit 3.2 to the Company’s Second Form 8-K filed on March</w:t>
              </w:r>
            </w:hyperlink>
          </w:p>
        </w:tc>
      </w:tr>
      <w:tr>
        <w:trPr>
          <w:trHeight w:val="156"/>
        </w:trPr>
        <w:tc>
          <w:tcPr>
            <w:tcW w:w="13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39">
              <w:r>
                <w:rPr>
                  <w:rFonts w:ascii="Times New Roman" w:cs="Times New Roman" w:eastAsia="Times New Roman" w:hAnsi="Times New Roman"/>
                  <w:sz w:val="18"/>
                  <w:szCs w:val="18"/>
                  <w:color w:val="0000FF"/>
                  <w:w w:val="98"/>
                </w:rPr>
                <w:t>10, 2022)</w:t>
              </w:r>
            </w:hyperlink>
          </w:p>
        </w:tc>
        <w:tc>
          <w:tcPr>
            <w:tcW w:w="1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56"/>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Exhibit 4.2 is referenced in Exhibit 4.1 to such filing)</w:t>
              </w:r>
            </w:hyperlink>
          </w:p>
        </w:tc>
        <w:tc>
          <w:tcPr>
            <w:tcW w:w="51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6"/>
        </w:trPr>
        <w:tc>
          <w:tcPr>
            <w:tcW w:w="1300" w:type="dxa"/>
            <w:vAlign w:val="bottom"/>
          </w:tcPr>
          <w:p>
            <w:pPr>
              <w:spacing w:after="0"/>
              <w:rPr>
                <w:sz w:val="13"/>
                <w:szCs w:val="13"/>
                <w:color w:val="auto"/>
              </w:rPr>
            </w:pPr>
          </w:p>
        </w:tc>
        <w:tc>
          <w:tcPr>
            <w:tcW w:w="88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Act of 2002, dated May 7, 2024</w:t>
            </w: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5"/>
        </w:trPr>
        <w:tc>
          <w:tcPr>
            <w:tcW w:w="130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2002, dated May 7, 2024</w:t>
            </w:r>
          </w:p>
        </w:tc>
        <w:tc>
          <w:tcPr>
            <w:tcW w:w="160" w:type="dxa"/>
            <w:vAlign w:val="bottom"/>
            <w:gridSpan w:val="8"/>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6"/>
        </w:trPr>
        <w:tc>
          <w:tcPr>
            <w:tcW w:w="1300" w:type="dxa"/>
            <w:vAlign w:val="bottom"/>
          </w:tcPr>
          <w:p>
            <w:pPr>
              <w:spacing w:after="0"/>
              <w:rPr>
                <w:sz w:val="13"/>
                <w:szCs w:val="13"/>
                <w:color w:val="auto"/>
              </w:rPr>
            </w:pPr>
          </w:p>
        </w:tc>
        <w:tc>
          <w:tcPr>
            <w:tcW w:w="88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 dated May 7, 2024</w:t>
            </w:r>
          </w:p>
        </w:tc>
        <w:tc>
          <w:tcPr>
            <w:tcW w:w="220" w:type="dxa"/>
            <w:vAlign w:val="bottom"/>
            <w:gridSpan w:val="10"/>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980" w:hanging="900"/>
        <w:spacing w:after="0" w:line="231"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March 31, 2024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980" w:hanging="900"/>
        <w:spacing w:after="0" w:line="234" w:lineRule="auto"/>
        <w:tabs>
          <w:tab w:leader="none" w:pos="13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March 31, 2024,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9" w:lineRule="exact"/>
        <w:rPr>
          <w:sz w:val="20"/>
          <w:szCs w:val="20"/>
          <w:color w:val="auto"/>
        </w:rPr>
      </w:pPr>
    </w:p>
    <w:p>
      <w:pPr>
        <w:ind w:left="1060" w:right="1200" w:hanging="1034"/>
        <w:spacing w:after="0" w:line="237"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that constitute confidential information have been redacted in accordance with Regulation S-K, Item 601(b)(10).</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2024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80"/>
          </w:cols>
          <w:pgMar w:left="320" w:top="121" w:right="3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920" w:hanging="652"/>
        <w:spacing w:after="0" w:line="266" w:lineRule="auto"/>
        <w:tabs>
          <w:tab w:leader="none" w:pos="3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2024,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5" w:name="page26"/>
    <w:bookmarkEnd w:id="25"/>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2024,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36" Type="http://schemas.openxmlformats.org/officeDocument/2006/relationships/hyperlink" Target="https://www.sec.gov/Archives/edgar/data/1772016/000119312521308736/d232418dex21.htm" TargetMode="External"/><Relationship Id="rId37" Type="http://schemas.openxmlformats.org/officeDocument/2006/relationships/hyperlink" Target="https://www.sec.gov/Archives/edgar/data/1772016/000119312522055719/d405795dex21.htm" TargetMode="External"/><Relationship Id="rId38" Type="http://schemas.openxmlformats.org/officeDocument/2006/relationships/hyperlink" Target="https://www.sec.gov/Archives/edgar/data/1772016/000119312522072132/d319129dex31.htm" TargetMode="External"/><Relationship Id="rId39" Type="http://schemas.openxmlformats.org/officeDocument/2006/relationships/hyperlink" Target="https://www.sec.gov/Archives/edgar/data/1772016/000119312522072132/d319129dex32.htm" TargetMode="External"/><Relationship Id="rId40" Type="http://schemas.openxmlformats.org/officeDocument/2006/relationships/hyperlink" Target="https://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2024-05-07T12:24:29Z</dcterms:created>
  <dcterms:modified xsi:type="dcterms:W3CDTF">2024-05-07T12:24:29Z</dcterms:modified>
</cp:coreProperties>
</file>