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02"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-177800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17" w:lineRule="exact"/>
        <w:rPr>
          <w:sz w:val="24"/>
          <w:szCs w:val="24"/>
          <w:color w:val="auto"/>
        </w:rPr>
      </w:pPr>
    </w:p>
    <w:p>
      <w:pPr>
        <w:jc w:val="center"/>
        <w:ind w:left="4080" w:right="1560" w:hanging="2516"/>
        <w:spacing w:after="0" w:line="246" w:lineRule="auto"/>
        <w:tabs>
          <w:tab w:leader="none" w:pos="1779" w:val="left"/>
        </w:tabs>
        <w:numPr>
          <w:ilvl w:val="1"/>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2021</w:t>
      </w:r>
    </w:p>
    <w:p>
      <w:pPr>
        <w:ind w:left="55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 w:lineRule="exact"/>
        <w:rPr>
          <w:rFonts w:ascii="MS PGothic" w:cs="MS PGothic" w:eastAsia="MS PGothic" w:hAnsi="MS PGothic"/>
          <w:sz w:val="18"/>
          <w:szCs w:val="18"/>
          <w:color w:val="auto"/>
        </w:rPr>
      </w:pPr>
    </w:p>
    <w:p>
      <w:pPr>
        <w:ind w:left="1600" w:hanging="200"/>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12065</wp:posOffset>
            </wp:positionV>
            <wp:extent cx="136271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BellRing Brands,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341" w:right="339" w:bottom="1440" w:gutter="0" w:footer="0" w:header="0"/>
        </w:sectPr>
      </w:pPr>
    </w:p>
    <w:p>
      <w:pPr>
        <w:spacing w:after="0" w:line="34"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83-4096323</w:t>
      </w:r>
    </w:p>
    <w:p>
      <w:pPr>
        <w:spacing w:after="0" w:line="50" w:lineRule="exact"/>
        <w:rPr>
          <w:sz w:val="24"/>
          <w:szCs w:val="24"/>
          <w:color w:val="auto"/>
        </w:rPr>
      </w:pPr>
    </w:p>
    <w:p>
      <w:pPr>
        <w:sectPr>
          <w:pgSz w:w="11900" w:h="16838" w:orient="portrait"/>
          <w:cols w:equalWidth="0" w:num="2">
            <w:col w:w="7120" w:space="720"/>
            <w:col w:w="3400"/>
          </w:cols>
          <w:pgMar w:left="320" w:top="341" w:right="33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25" w:lineRule="exact"/>
        <w:rPr>
          <w:sz w:val="24"/>
          <w:szCs w:val="24"/>
          <w:color w:val="auto"/>
        </w:rPr>
      </w:pPr>
    </w:p>
    <w:p>
      <w:pPr>
        <w:sectPr>
          <w:pgSz w:w="11900" w:h="16838" w:orient="portrait"/>
          <w:cols w:equalWidth="0" w:num="2">
            <w:col w:w="6460" w:space="720"/>
            <w:col w:w="40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2503 S. Hanley Road St. Louis, Missouri 63144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60"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(314) 644-7600</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3460" w:type="dxa"/>
            <w:vAlign w:val="bottom"/>
            <w:gridSpan w:val="2"/>
          </w:tcPr>
          <w:p>
            <w:pPr>
              <w:jc w:val="center"/>
              <w:ind w:right="2300"/>
              <w:spacing w:after="0"/>
              <w:rPr>
                <w:sz w:val="20"/>
                <w:szCs w:val="20"/>
                <w:color w:val="auto"/>
              </w:rPr>
            </w:pPr>
            <w:r>
              <w:rPr>
                <w:rFonts w:ascii="Arial" w:cs="Arial" w:eastAsia="Arial" w:hAnsi="Arial"/>
                <w:sz w:val="16"/>
                <w:szCs w:val="16"/>
                <w:color w:val="auto"/>
                <w:w w:val="90"/>
              </w:rPr>
              <w:t>Title of each class</w:t>
            </w:r>
          </w:p>
        </w:tc>
        <w:tc>
          <w:tcPr>
            <w:tcW w:w="2680" w:type="dxa"/>
            <w:vAlign w:val="bottom"/>
            <w:gridSpan w:val="2"/>
          </w:tcPr>
          <w:p>
            <w:pPr>
              <w:jc w:val="center"/>
              <w:ind w:right="1460"/>
              <w:spacing w:after="0"/>
              <w:rPr>
                <w:sz w:val="20"/>
                <w:szCs w:val="20"/>
                <w:color w:val="auto"/>
              </w:rPr>
            </w:pPr>
            <w:r>
              <w:rPr>
                <w:rFonts w:ascii="Arial" w:cs="Arial" w:eastAsia="Arial" w:hAnsi="Arial"/>
                <w:sz w:val="16"/>
                <w:szCs w:val="16"/>
                <w:color w:val="auto"/>
                <w:w w:val="93"/>
              </w:rPr>
              <w:t>Trading Symbol(s)</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50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0"/>
              </w:rPr>
              <w:t>Class A Common Stock, $0.01 par value</w:t>
            </w:r>
          </w:p>
        </w:tc>
        <w:tc>
          <w:tcPr>
            <w:tcW w:w="2680" w:type="dxa"/>
            <w:vAlign w:val="bottom"/>
            <w:gridSpan w:val="2"/>
          </w:tcPr>
          <w:p>
            <w:pPr>
              <w:jc w:val="center"/>
              <w:ind w:right="1440"/>
              <w:spacing w:after="0"/>
              <w:rPr>
                <w:sz w:val="20"/>
                <w:szCs w:val="20"/>
                <w:color w:val="auto"/>
              </w:rPr>
            </w:pPr>
            <w:r>
              <w:rPr>
                <w:rFonts w:ascii="Arial" w:cs="Arial" w:eastAsia="Arial" w:hAnsi="Arial"/>
                <w:sz w:val="16"/>
                <w:szCs w:val="16"/>
                <w:b w:val="1"/>
                <w:bCs w:val="1"/>
                <w:color w:val="auto"/>
                <w:w w:val="95"/>
              </w:rPr>
              <w:t>BRBR</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6"/>
        </w:trPr>
        <w:tc>
          <w:tcPr>
            <w:tcW w:w="5000" w:type="dxa"/>
            <w:vAlign w:val="bottom"/>
            <w:gridSpan w:val="3"/>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80" w:type="dxa"/>
            <w:vAlign w:val="bottom"/>
          </w:tcPr>
          <w:p>
            <w:pPr>
              <w:spacing w:after="0"/>
              <w:rPr>
                <w:sz w:val="22"/>
                <w:szCs w:val="22"/>
                <w:color w:val="auto"/>
              </w:rPr>
            </w:pPr>
          </w:p>
        </w:tc>
      </w:tr>
    </w:tbl>
    <w:p>
      <w:pPr>
        <w:spacing w:after="0" w:line="61" w:lineRule="exact"/>
        <w:rPr>
          <w:sz w:val="24"/>
          <w:szCs w:val="24"/>
          <w:color w:val="auto"/>
        </w:rPr>
      </w:pPr>
    </w:p>
    <w:p>
      <w:pPr>
        <w:ind w:right="260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92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6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6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ind w:right="220"/>
        <w:spacing w:after="0" w:line="21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The aggregate market value of the registrant’s Class A Common Stock held by non-affiliates of the registrant as of March 31, 2021, the last business day of the registrant’s most recently completed second fiscal quarter, was $932,841,252</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Class A Common Stock, $0.01 par value outstanding as of November 15, 2021: 39,563,168</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Class B Common Stock, $0.01 par value outstanding as of November 15, 2021: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Certain portions of the registrant’s definitive proxy statement for its 2022 annual meeting of stockholders, to be filed with the Securities and Exchange Commission within 120 days after September 30, 2021,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80" w:type="dxa"/>
            <w:vAlign w:val="bottom"/>
            <w:gridSpan w:val="30"/>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gridSpan w:val="9"/>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89"/>
        </w:trPr>
        <w:tc>
          <w:tcPr>
            <w:tcW w:w="20" w:type="dxa"/>
            <w:vAlign w:val="bottom"/>
            <w:shd w:val="clear" w:color="auto" w:fill="CCEEFF"/>
          </w:tcPr>
          <w:p>
            <w:pPr>
              <w:spacing w:after="0"/>
              <w:rPr>
                <w:sz w:val="16"/>
                <w:szCs w:val="16"/>
                <w:color w:val="auto"/>
              </w:rPr>
            </w:pPr>
          </w:p>
        </w:tc>
        <w:tc>
          <w:tcPr>
            <w:tcW w:w="3960" w:type="dxa"/>
            <w:vAlign w:val="bottom"/>
            <w:gridSpan w:val="17"/>
            <w:shd w:val="clear" w:color="auto" w:fill="CCEEFF"/>
          </w:tcPr>
          <w:p>
            <w:pPr>
              <w:spacing w:after="0" w:line="189" w:lineRule="exact"/>
              <w:rPr>
                <w:rFonts w:ascii="Arial" w:cs="Arial" w:eastAsia="Arial" w:hAnsi="Arial"/>
                <w:sz w:val="18"/>
                <w:szCs w:val="18"/>
                <w:color w:val="0000FF"/>
                <w:w w:val="90"/>
              </w:rPr>
            </w:pPr>
            <w:hyperlink w:anchor="page2">
              <w:r>
                <w:rPr>
                  <w:rFonts w:ascii="Arial" w:cs="Arial" w:eastAsia="Arial" w:hAnsi="Arial"/>
                  <w:sz w:val="18"/>
                  <w:szCs w:val="18"/>
                  <w:color w:val="0000FF"/>
                  <w:w w:val="90"/>
                </w:rPr>
                <w:t>Cautionary Statement on Forward-Looking Statements</w:t>
              </w:r>
            </w:hyperlink>
          </w:p>
        </w:tc>
        <w:tc>
          <w:tcPr>
            <w:tcW w:w="6000" w:type="dxa"/>
            <w:vAlign w:val="bottom"/>
            <w:gridSpan w:val="12"/>
            <w:shd w:val="clear" w:color="auto" w:fill="CCEEFF"/>
          </w:tcPr>
          <w:p>
            <w:pPr>
              <w:spacing w:after="0"/>
              <w:rPr>
                <w:sz w:val="16"/>
                <w:szCs w:val="16"/>
                <w:color w:val="auto"/>
              </w:rPr>
            </w:pPr>
          </w:p>
        </w:tc>
        <w:tc>
          <w:tcPr>
            <w:tcW w:w="960" w:type="dxa"/>
            <w:vAlign w:val="bottom"/>
            <w:gridSpan w:val="4"/>
            <w:shd w:val="clear" w:color="auto" w:fill="CCEEFF"/>
          </w:tcPr>
          <w:p>
            <w:pPr>
              <w:jc w:val="center"/>
              <w:ind w:left="670"/>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Summary of Risk Factors</w:t>
              </w:r>
            </w:hyperlink>
          </w:p>
        </w:tc>
        <w:tc>
          <w:tcPr>
            <w:tcW w:w="6000" w:type="dxa"/>
            <w:vAlign w:val="bottom"/>
            <w:gridSpan w:val="12"/>
          </w:tcPr>
          <w:p>
            <w:pPr>
              <w:spacing w:after="0"/>
              <w:rPr>
                <w:sz w:val="16"/>
                <w:szCs w:val="16"/>
                <w:color w:val="auto"/>
              </w:rPr>
            </w:pPr>
          </w:p>
        </w:tc>
        <w:tc>
          <w:tcPr>
            <w:tcW w:w="960" w:type="dxa"/>
            <w:vAlign w:val="bottom"/>
            <w:gridSpan w:val="4"/>
          </w:tcPr>
          <w:p>
            <w:pPr>
              <w:jc w:val="center"/>
              <w:ind w:left="6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76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w w:val="98"/>
              </w:rPr>
              <w:t>PART I</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w:t>
              </w:r>
            </w:hyperlink>
          </w:p>
        </w:tc>
        <w:tc>
          <w:tcPr>
            <w:tcW w:w="8840" w:type="dxa"/>
            <w:vAlign w:val="bottom"/>
            <w:gridSpan w:val="25"/>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Business</w:t>
              </w:r>
            </w:hyperlink>
          </w:p>
        </w:tc>
        <w:tc>
          <w:tcPr>
            <w:tcW w:w="960" w:type="dxa"/>
            <w:vAlign w:val="bottom"/>
            <w:gridSpan w:val="4"/>
          </w:tcPr>
          <w:p>
            <w:pPr>
              <w:jc w:val="center"/>
              <w:ind w:left="67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Item 1A.</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Risk Factors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14</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w w:val="92"/>
              </w:rPr>
            </w:pPr>
            <w:hyperlink w:anchor="page40">
              <w:r>
                <w:rPr>
                  <w:rFonts w:ascii="Arial" w:cs="Arial" w:eastAsia="Arial" w:hAnsi="Arial"/>
                  <w:sz w:val="18"/>
                  <w:szCs w:val="18"/>
                  <w:color w:val="0000FF"/>
                  <w:w w:val="92"/>
                </w:rPr>
                <w:t>Item 1B.</w:t>
              </w:r>
            </w:hyperlink>
          </w:p>
        </w:tc>
        <w:tc>
          <w:tcPr>
            <w:tcW w:w="480" w:type="dxa"/>
            <w:vAlign w:val="bottom"/>
          </w:tcPr>
          <w:p>
            <w:pPr>
              <w:spacing w:after="0"/>
              <w:rPr>
                <w:sz w:val="16"/>
                <w:szCs w:val="16"/>
                <w:color w:val="auto"/>
              </w:rPr>
            </w:pPr>
          </w:p>
        </w:tc>
        <w:tc>
          <w:tcPr>
            <w:tcW w:w="8840" w:type="dxa"/>
            <w:vAlign w:val="bottom"/>
            <w:gridSpan w:val="25"/>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Unresolved Staff Comments</w:t>
              </w:r>
            </w:hyperlink>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Item 2.</w:t>
              </w:r>
            </w:hyperlink>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Properties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Item 3.</w:t>
              </w:r>
            </w:hyperlink>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30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760" w:type="dxa"/>
            <w:vAlign w:val="bottom"/>
            <w:gridSpan w:val="8"/>
            <w:shd w:val="clear" w:color="auto" w:fill="CCEEFF"/>
          </w:tcPr>
          <w:p>
            <w:pPr>
              <w:jc w:val="center"/>
              <w:ind w:right="3940"/>
              <w:spacing w:after="0"/>
              <w:rPr>
                <w:sz w:val="20"/>
                <w:szCs w:val="20"/>
                <w:color w:val="auto"/>
              </w:rPr>
            </w:pPr>
            <w:r>
              <w:rPr>
                <w:rFonts w:ascii="Arial" w:cs="Arial" w:eastAsia="Arial" w:hAnsi="Arial"/>
                <w:sz w:val="18"/>
                <w:szCs w:val="18"/>
                <w:b w:val="1"/>
                <w:bCs w:val="1"/>
                <w:color w:val="auto"/>
              </w:rPr>
              <w:t>PART II</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Item 5.</w:t>
              </w:r>
            </w:hyperlink>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Market for Registrant’s Common Equity, Related Stockholder Matters and Issuer Purchases of Equity Securities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Item 6.</w:t>
              </w:r>
            </w:hyperlink>
          </w:p>
        </w:tc>
        <w:tc>
          <w:tcPr>
            <w:tcW w:w="600" w:type="dxa"/>
            <w:vAlign w:val="bottom"/>
            <w:gridSpan w:val="3"/>
          </w:tcPr>
          <w:p>
            <w:pPr>
              <w:spacing w:after="0"/>
              <w:rPr>
                <w:sz w:val="16"/>
                <w:szCs w:val="16"/>
                <w:color w:val="auto"/>
              </w:rPr>
            </w:pPr>
          </w:p>
        </w:tc>
        <w:tc>
          <w:tcPr>
            <w:tcW w:w="8060" w:type="dxa"/>
            <w:vAlign w:val="bottom"/>
            <w:gridSpan w:val="24"/>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[Reserved]</w:t>
              </w:r>
            </w:hyperlink>
          </w:p>
        </w:tc>
        <w:tc>
          <w:tcPr>
            <w:tcW w:w="780" w:type="dxa"/>
            <w:vAlign w:val="bottom"/>
          </w:tcPr>
          <w:p>
            <w:pPr>
              <w:spacing w:after="0"/>
              <w:rPr>
                <w:sz w:val="16"/>
                <w:szCs w:val="16"/>
                <w:color w:val="auto"/>
              </w:rPr>
            </w:pPr>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41</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Item 7.</w:t>
              </w:r>
            </w:hyperlink>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7A.</w:t>
              </w:r>
            </w:hyperlink>
          </w:p>
        </w:tc>
        <w:tc>
          <w:tcPr>
            <w:tcW w:w="8840" w:type="dxa"/>
            <w:vAlign w:val="bottom"/>
            <w:gridSpan w:val="25"/>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50</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Item 8.</w:t>
              </w:r>
            </w:hyperlink>
          </w:p>
        </w:tc>
        <w:tc>
          <w:tcPr>
            <w:tcW w:w="600" w:type="dxa"/>
            <w:vAlign w:val="bottom"/>
            <w:gridSpan w:val="3"/>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Financial Statements and Supplementary Data</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81">
              <w:r>
                <w:rPr>
                  <w:rFonts w:ascii="Arial" w:cs="Arial" w:eastAsia="Arial" w:hAnsi="Arial"/>
                  <w:sz w:val="18"/>
                  <w:szCs w:val="18"/>
                  <w:color w:val="0000FF"/>
                  <w:w w:val="90"/>
                </w:rPr>
                <w:t>Item 9.</w:t>
              </w:r>
            </w:hyperlink>
          </w:p>
        </w:tc>
        <w:tc>
          <w:tcPr>
            <w:tcW w:w="600" w:type="dxa"/>
            <w:vAlign w:val="bottom"/>
            <w:gridSpan w:val="3"/>
          </w:tcPr>
          <w:p>
            <w:pPr>
              <w:spacing w:after="0"/>
              <w:rPr>
                <w:sz w:val="16"/>
                <w:szCs w:val="16"/>
                <w:color w:val="auto"/>
              </w:rPr>
            </w:pPr>
          </w:p>
        </w:tc>
        <w:tc>
          <w:tcPr>
            <w:tcW w:w="8840" w:type="dxa"/>
            <w:vAlign w:val="bottom"/>
            <w:gridSpan w:val="25"/>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Changes in and Disagreements With Accountants on Accounting and Financial Disclosure</w:t>
              </w:r>
            </w:hyperlink>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79</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Item 9A.</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Controls and Procedures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79</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rFonts w:ascii="Arial" w:cs="Arial" w:eastAsia="Arial" w:hAnsi="Arial"/>
                <w:sz w:val="18"/>
                <w:szCs w:val="18"/>
                <w:color w:val="0000FF"/>
                <w:w w:val="92"/>
              </w:rPr>
            </w:pPr>
            <w:hyperlink w:anchor="page81">
              <w:r>
                <w:rPr>
                  <w:rFonts w:ascii="Arial" w:cs="Arial" w:eastAsia="Arial" w:hAnsi="Arial"/>
                  <w:sz w:val="18"/>
                  <w:szCs w:val="18"/>
                  <w:color w:val="0000FF"/>
                  <w:w w:val="92"/>
                </w:rPr>
                <w:t>Item 9B.</w:t>
              </w:r>
            </w:hyperlink>
          </w:p>
        </w:tc>
        <w:tc>
          <w:tcPr>
            <w:tcW w:w="480" w:type="dxa"/>
            <w:vAlign w:val="bottom"/>
          </w:tcPr>
          <w:p>
            <w:pPr>
              <w:spacing w:after="0"/>
              <w:rPr>
                <w:sz w:val="16"/>
                <w:szCs w:val="16"/>
                <w:color w:val="auto"/>
              </w:rPr>
            </w:pPr>
          </w:p>
        </w:tc>
        <w:tc>
          <w:tcPr>
            <w:tcW w:w="1760" w:type="dxa"/>
            <w:vAlign w:val="bottom"/>
            <w:gridSpan w:val="10"/>
          </w:tcPr>
          <w:p>
            <w:pPr>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Other Information</w:t>
              </w:r>
            </w:hyperlink>
          </w:p>
        </w:tc>
        <w:tc>
          <w:tcPr>
            <w:tcW w:w="7080" w:type="dxa"/>
            <w:vAlign w:val="bottom"/>
            <w:gridSpan w:val="15"/>
          </w:tcPr>
          <w:p>
            <w:pPr>
              <w:spacing w:after="0"/>
              <w:rPr>
                <w:sz w:val="16"/>
                <w:szCs w:val="16"/>
                <w:color w:val="auto"/>
              </w:rPr>
            </w:pPr>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79</w:t>
              </w:r>
            </w:hyperlink>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5"/>
        </w:trPr>
        <w:tc>
          <w:tcPr>
            <w:tcW w:w="20" w:type="dxa"/>
            <w:vAlign w:val="bottom"/>
            <w:shd w:val="clear" w:color="auto" w:fill="CCEEFF"/>
          </w:tcPr>
          <w:p>
            <w:pPr>
              <w:spacing w:after="0"/>
              <w:rPr>
                <w:sz w:val="24"/>
                <w:szCs w:val="24"/>
                <w:color w:val="auto"/>
              </w:rPr>
            </w:pPr>
          </w:p>
        </w:tc>
        <w:tc>
          <w:tcPr>
            <w:tcW w:w="1120" w:type="dxa"/>
            <w:vAlign w:val="bottom"/>
            <w:gridSpan w:val="4"/>
            <w:shd w:val="clear" w:color="auto" w:fill="CCEEFF"/>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Item 9C.</w:t>
              </w:r>
            </w:hyperlink>
          </w:p>
        </w:tc>
        <w:tc>
          <w:tcPr>
            <w:tcW w:w="8840" w:type="dxa"/>
            <w:vAlign w:val="bottom"/>
            <w:gridSpan w:val="25"/>
            <w:shd w:val="clear" w:color="auto" w:fill="CCEEFF"/>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 xml:space="preserve">Disclosure Regarding Foreign Jurisdictions </w:t>
              </w:r>
            </w:hyperlink>
            <w:r>
              <w:rPr>
                <w:rFonts w:ascii="Arial" w:cs="Arial" w:eastAsia="Arial" w:hAnsi="Arial"/>
                <w:sz w:val="18"/>
                <w:szCs w:val="18"/>
                <w:color w:val="0000FF"/>
              </w:rPr>
              <w:t xml:space="preserve">That </w:t>
            </w:r>
            <w:hyperlink w:anchor="page81">
              <w:r>
                <w:rPr>
                  <w:rFonts w:ascii="Arial" w:cs="Arial" w:eastAsia="Arial" w:hAnsi="Arial"/>
                  <w:sz w:val="18"/>
                  <w:szCs w:val="18"/>
                  <w:color w:val="0000FF"/>
                </w:rPr>
                <w:t>Prevent Inspections</w:t>
              </w:r>
            </w:hyperlink>
          </w:p>
        </w:tc>
        <w:tc>
          <w:tcPr>
            <w:tcW w:w="960" w:type="dxa"/>
            <w:vAlign w:val="bottom"/>
            <w:gridSpan w:val="4"/>
            <w:shd w:val="clear" w:color="auto" w:fill="CCEEFF"/>
          </w:tcPr>
          <w:p>
            <w:pPr>
              <w:jc w:val="center"/>
              <w:ind w:left="69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80</w:t>
              </w:r>
            </w:hyperlink>
          </w:p>
        </w:tc>
        <w:tc>
          <w:tcPr>
            <w:tcW w:w="300" w:type="dxa"/>
            <w:vAlign w:val="bottom"/>
            <w:shd w:val="clear" w:color="auto" w:fill="CCEEFF"/>
          </w:tcPr>
          <w:p>
            <w:pPr>
              <w:spacing w:after="0"/>
              <w:rPr>
                <w:sz w:val="24"/>
                <w:szCs w:val="24"/>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760" w:type="dxa"/>
            <w:vAlign w:val="bottom"/>
            <w:gridSpan w:val="8"/>
            <w:shd w:val="clear" w:color="auto" w:fill="CCEEFF"/>
          </w:tcPr>
          <w:p>
            <w:pPr>
              <w:jc w:val="center"/>
              <w:ind w:right="3960"/>
              <w:spacing w:after="0"/>
              <w:rPr>
                <w:sz w:val="20"/>
                <w:szCs w:val="20"/>
                <w:color w:val="auto"/>
              </w:rPr>
            </w:pPr>
            <w:r>
              <w:rPr>
                <w:rFonts w:ascii="Arial" w:cs="Arial" w:eastAsia="Arial" w:hAnsi="Arial"/>
                <w:sz w:val="18"/>
                <w:szCs w:val="18"/>
                <w:b w:val="1"/>
                <w:bCs w:val="1"/>
                <w:color w:val="auto"/>
              </w:rPr>
              <w:t>PART III</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10.</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Directors, Executive Officers and Corporate Governance</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Item 11.</w:t>
              </w:r>
            </w:hyperlink>
          </w:p>
        </w:tc>
        <w:tc>
          <w:tcPr>
            <w:tcW w:w="520" w:type="dxa"/>
            <w:vAlign w:val="bottom"/>
            <w:gridSpan w:val="2"/>
          </w:tcPr>
          <w:p>
            <w:pPr>
              <w:spacing w:after="0"/>
              <w:rPr>
                <w:sz w:val="16"/>
                <w:szCs w:val="16"/>
                <w:color w:val="auto"/>
              </w:rPr>
            </w:pPr>
          </w:p>
        </w:tc>
        <w:tc>
          <w:tcPr>
            <w:tcW w:w="4080" w:type="dxa"/>
            <w:vAlign w:val="bottom"/>
            <w:gridSpan w:val="17"/>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Executive Compensation</w:t>
              </w:r>
            </w:hyperlink>
          </w:p>
        </w:tc>
        <w:tc>
          <w:tcPr>
            <w:tcW w:w="4760" w:type="dxa"/>
            <w:vAlign w:val="bottom"/>
            <w:gridSpan w:val="8"/>
          </w:tcPr>
          <w:p>
            <w:pPr>
              <w:spacing w:after="0"/>
              <w:rPr>
                <w:sz w:val="16"/>
                <w:szCs w:val="16"/>
                <w:color w:val="auto"/>
              </w:rPr>
            </w:pPr>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12.</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Security Ownership of Certain Beneficial Owners and Management and Related Stockholder Matters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3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13.</w:t>
              </w:r>
            </w:hyperlink>
          </w:p>
        </w:tc>
        <w:tc>
          <w:tcPr>
            <w:tcW w:w="8840" w:type="dxa"/>
            <w:vAlign w:val="bottom"/>
            <w:gridSpan w:val="25"/>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Certain Relationships and Related Transactions, and Director Independence</w:t>
              </w:r>
            </w:hyperlink>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Item 14.</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Principal Accountant Fees and Services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81</w:t>
              </w:r>
            </w:hyperlink>
          </w:p>
        </w:tc>
        <w:tc>
          <w:tcPr>
            <w:tcW w:w="300" w:type="dxa"/>
            <w:vAlign w:val="bottom"/>
            <w:shd w:val="clear" w:color="auto" w:fill="CCEEFF"/>
          </w:tcPr>
          <w:p>
            <w:pPr>
              <w:spacing w:after="0"/>
              <w:rPr>
                <w:sz w:val="18"/>
                <w:szCs w:val="18"/>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760" w:type="dxa"/>
            <w:vAlign w:val="bottom"/>
            <w:gridSpan w:val="8"/>
            <w:shd w:val="clear" w:color="auto" w:fill="CCEEFF"/>
          </w:tcPr>
          <w:p>
            <w:pPr>
              <w:jc w:val="center"/>
              <w:ind w:right="3960"/>
              <w:spacing w:after="0"/>
              <w:rPr>
                <w:sz w:val="20"/>
                <w:szCs w:val="20"/>
                <w:color w:val="auto"/>
              </w:rPr>
            </w:pPr>
            <w:r>
              <w:rPr>
                <w:rFonts w:ascii="Arial" w:cs="Arial" w:eastAsia="Arial" w:hAnsi="Arial"/>
                <w:sz w:val="18"/>
                <w:szCs w:val="18"/>
                <w:b w:val="1"/>
                <w:bCs w:val="1"/>
                <w:color w:val="auto"/>
              </w:rPr>
              <w:t>PART IV</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Item 15.</w:t>
              </w:r>
            </w:hyperlink>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Exhibits and Financial Statement Schedules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82</w:t>
              </w:r>
            </w:hyperlink>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gridSpan w:val="4"/>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Item 16.</w:t>
              </w:r>
            </w:hyperlink>
          </w:p>
        </w:tc>
        <w:tc>
          <w:tcPr>
            <w:tcW w:w="8840" w:type="dxa"/>
            <w:vAlign w:val="bottom"/>
            <w:gridSpan w:val="25"/>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Form 10-K Summary</w:t>
              </w:r>
            </w:hyperlink>
          </w:p>
        </w:tc>
        <w:tc>
          <w:tcPr>
            <w:tcW w:w="960" w:type="dxa"/>
            <w:vAlign w:val="bottom"/>
            <w:gridSpan w:val="4"/>
          </w:tcPr>
          <w:p>
            <w:pPr>
              <w:jc w:val="center"/>
              <w:ind w:left="690"/>
              <w:spacing w:after="0" w:line="189"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84</w:t>
              </w:r>
            </w:hyperlink>
          </w:p>
        </w:tc>
        <w:tc>
          <w:tcPr>
            <w:tcW w:w="3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40" w:type="dxa"/>
            <w:vAlign w:val="bottom"/>
            <w:gridSpan w:val="25"/>
            <w:shd w:val="clear" w:color="auto" w:fill="CCEEFF"/>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Signatures</w:t>
              </w:r>
            </w:hyperlink>
          </w:p>
        </w:tc>
        <w:tc>
          <w:tcPr>
            <w:tcW w:w="960" w:type="dxa"/>
            <w:vAlign w:val="bottom"/>
            <w:gridSpan w:val="4"/>
            <w:shd w:val="clear" w:color="auto" w:fill="CCEEFF"/>
          </w:tcPr>
          <w:p>
            <w:pPr>
              <w:jc w:val="center"/>
              <w:ind w:left="690"/>
              <w:spacing w:after="0" w:line="189" w:lineRule="exact"/>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3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are made throughout this report, including statements regarding the effect of the COVID-19 pandemic on our business and our continuing response to the COVID-19 pandemic and the proposed transaction between Post Holdings, Inc. (“Post”) and us for the distribution of a significant portion of Post’s interest in us to Post’s shareholders, including the amount of our equity Post intends to distribute, the form of the distribution and the expected timing of the completion of the proposed transaction.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7" w:lineRule="exact"/>
        <w:rPr>
          <w:sz w:val="20"/>
          <w:szCs w:val="20"/>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sales from our ready-to-drink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United States (“U.S.”) and global capital and credit markets, changes in interest rates, volatility in the market value of derivatives and fluctuations in foreign currency exchange rates;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us, our obligations under various agreements with Post, including under the tax receivable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conflicting interests or the appearance of conflicting interests resulting from certain of our directors also serving as officers or directors of Post;</w:t>
      </w:r>
    </w:p>
    <w:p>
      <w:pPr>
        <w:spacing w:after="0" w:line="140"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proposed distribution by Post of a significant portion of its ownership interest in our Company, including that it is subject to various conditions and may not occur, our inability to take certain actions because such actions could jeopardize the tax-free status of the proposed distribution and our possible responsibility for U.S. federal tax liabilities related to the proposed distribution;</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Item 1A of this report.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a variety of risks and uncertainties, including industry and operating risks, financial and economic risks, legal and regulatory risks, risks related to our relationship with Post Holdings, Inc. (“Post”), risks related to ownership of our Class A common stock and certain general risks, which could have a material adverse effect on our business, financial condition, results of operation and cash flows. Risks that we deem material are described in Item 1A, “Risk Factors” in this report. These risks include, but are not limited to, the following:</w:t>
      </w:r>
    </w:p>
    <w:p>
      <w:pPr>
        <w:spacing w:after="0" w:line="79"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health developments and economic uncertainty resulting from the COVID-19 pandemic have adversely impacted, are adversely impacting and could continue to adversely impact, our financial and operational performance.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of our supply chain, including as a result of the COVID-19 pandemic, and changes in weather conditions could have an adverse effect on our business, financial condition, results of operations and cash flows.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dependent on a limited number of third party contract manufacturers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behaviors and develop and offer products to meet these preferences.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Consolidation in our distribution channels, and competitive, economic and other pressures facing our customers, may hurt our profit margins.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and profit growth are dependent upon our ability to expand existing market penetration and enter into new markets.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 significant reduction of purchases by or bankruptcy of a major customer may adversely affect our business, financial condition, results of operations and cash flows.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 may have an adverse impact on our financial condition, results of operations and cash flows.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substantial debt and high leverage, which could have a negative impact on our financing options and liquidity position and could adversely affect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borrowing costs and access to capital and credit markets could be adversely affected by a downgrade or potential downgrade of our credit ratings.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 or unfavorable economic conditions, including as a result of the COVID-19 pandemic, could limit consumer and customer demand for our products.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and global capital and credit market issues, including those that have arisen as a result of the COVID-19 pandemic, could negatively affect our liquidity, increase our costs of borrowing and disrupt the operations of our suppliers and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proposed distribution by Post of a significant portion of its ownership interest in our Company is subject to various conditions and may not occur.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Post Distribution Transaction (as defined below) is consummated, we will be subject to a variety of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 controls our Company and has the ability to control the direction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Post’s interests may conflict with our interests and the interests of our other stockholders. Conflicts of interest or</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disputes between Post and our Company could be resolved in a manner unfavorable to our Company and our other stockholders.</w:t>
      </w:r>
    </w:p>
    <w:p>
      <w:pPr>
        <w:spacing w:after="0" w:line="117"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Company has overlapping directors and management with Post, which may lead to conflicting interests or the appearance of conflicting interests.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could prevent us from benefiting from corporate opportunities that might otherwise have been available to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take certain actions because such actions could jeopardize the tax-free status of the Post Distribution Transaction, and such restrictions could be significant.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Post Distribution Transaction is consummated, we may be responsible for U.S. federal tax liabilities that relate to the Post Distribution Transaction.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agreements with Post require us to indemnify Post for certain tax liabilities.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with Post and BellRing Brands, LLC (“BellRing LLC”) requires us to make cash payments to Post for certain tax benefits we may realize in the future, and these payments could be substantial.</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and future litigation and claims may impair our reputation or lead us to incur significant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subject us to additional risks.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failures, cybersecurity incidents and corruption of our data privacy protections could disrupt our operations and negatively impact our business.</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pursue acquisitions or other strategic transactions, we may not be able to successfully consummate favorable transactions or successfully integrate acquired businesses.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sales or distributions of shares of our Class A Common Stock by Post could depress our Class A Common Stock price, impact our operations or result in a change in control of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operating results may differ significantly from our guidance and our forward-looking statements.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substantial portion of our total outstanding shares of Class A Common Stock may be sold into the market at any time, including as a result of the Post Distribution Transaction. These sales could cause the market price of our Class A Common Stock to drop significantly, even if our business is doing well.</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BellRing Inc.’s only material asset is its interest in BellRing LLC, and accordingly, BellRing Inc. depends on distributions from BellRing LLC to pay taxes and expenses, including payments under the tax receivable agreement. BellRing LLC’s ability to make such distributions may be subject to various limitations and restrictions.</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(such as COVID-19) could adversely impact our business, financial condition, results of operations and cash flows.</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risks and uncertainties not presently known to us or that we currently deem immaterial also may impair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BellRing Inc. received net proceeds from the IPO of approximately $524.4 million, after deducting underwriting discounts and commissions, all of which were contributed to BellRing Brands, LLC, a Delaware limited liability company and BellRing Inc.’s subsidiary (“BellRing LLC”), in exchange for 39.4 million BellRing LLC non-voting membership units (the “BellRing LLC units”). For additional information regarding our history and our organizational structure following the IPO, see “Our History” and “Our Organizational Structure” below in this section.</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Unless otherwise indicated or the context otherwise requires, all references in this report to “BellRing,” “we,” “our,” “us,” “the Company” and “our Company” refer to (1) after the completion of our IPO, BellRing Inc. and its subsidiaries, including BellRing LLC, Premier Nutrition Company, LLC (“Premier Nutrition”), Dymatize Enterprises, LLC (“Dymatize”), Supreme Protein,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 (“Active Nutrition International”), and (2) prior to the completion of our IPO, the active nutrition business of Post Holdings, Inc. (“Post”), which, effective as of Post’s quarter ended June 30, 2015, had been comprised of the operations and business of Premier Nutrition, Dymatize, Supreme Protein, LLC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included Active Nutrition International, and all references in this report to BellRing Inc. or BellRing LLC refer only to such particular entity.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target a broad range of consumers and compete in all major product forms, including ready-to-drink (“RTD”) protein shakes, other RTD beverages and powders. Our products are distributed across a diverse network of channels including club, food, drug and mass (“FDM”), eCommerce, specialty and convenience.</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have organically grown our net sales from $854.4 million in our year ended September 30, 2019 to $1,247.1 million in our year ended September 30, 2021. Over the same period, net earnings including redeemable noncontrolling interest declined from $123.1 million in our year ended September 30, 2019 to $114.4 million in our year ended September 30, 2021 primarily due to incremental interest expense and accelerated amortization related to the discontinuance of our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BellRing Inc. was incorporated in the State of Delaware on March 20, 2019 in connection with our IPO. Upon completion of a series of transactions in connection with the IPO (the “formation transactions”), BellRing LLC became the holder of Post’s active nutrition business, which, effective as of Post’s quarter ended June 30, 2015, and until the completion of our IPO, had been comprised of Premier Nutrition, Dymatize,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its year ended September 30, 2013, Post acquired Premier Nutrition, which, at the time, was a marketer and distributor of high-quality protein shakes and nutrition bars under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nutritional supplements under the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brand. Premier Nutrition, Inc. was founded in 1997, and Joint Juice, Inc. was founded in 1999. In 2011, Joint Juice, Inc. acquired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related assets from Premier Nutrition, Inc. via a corporate restructuring, and the resulting entity assumed the name Premier Nutrition Corporation. Effective September 30, 2019, Premier Nutrition Corporation converted to a limited liability company and changed its corporate name to Premier Nutrition Company, LLC.</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its year ended September 30, 2014, Post acquired Dymatize,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and nutrition bars under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 Dymatize was founded in 1994 and purchased the S</w:t>
      </w:r>
      <w:r>
        <w:rPr>
          <w:rFonts w:ascii="Arial" w:cs="Arial" w:eastAsia="Arial" w:hAnsi="Arial"/>
          <w:sz w:val="18"/>
          <w:szCs w:val="18"/>
          <w:i w:val="1"/>
          <w:iCs w:val="1"/>
          <w:color w:val="auto"/>
        </w:rPr>
        <w:t>upreme Protein</w:t>
      </w:r>
      <w:r>
        <w:rPr>
          <w:rFonts w:ascii="Arial" w:cs="Arial" w:eastAsia="Arial" w:hAnsi="Arial"/>
          <w:sz w:val="18"/>
          <w:szCs w:val="18"/>
          <w:color w:val="auto"/>
        </w:rPr>
        <w:t xml:space="preserve"> brand in 2012.</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its year ended September 30, 2015, Post acquired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was founded in 1986.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IPO and completion of the formation transactions:</w:t>
      </w:r>
    </w:p>
    <w:p>
      <w:pPr>
        <w:spacing w:after="0" w:line="117" w:lineRule="exact"/>
        <w:rPr>
          <w:sz w:val="20"/>
          <w:szCs w:val="20"/>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Premier Nutrition, Dymatize, Supreme Protein, LLC and Active Nutrition International, the entities that formerly comprised the active nutrition business of Post, became direct or indirect subsidiaries of BellRing LLC.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BellRing Inc. became a holding company, and has no material assets other than its ownership of BellRing LLC units.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right="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members of BellRing LLC consist of Post and BellRing Inc. As of September 30, 2021, Post owns 71.2% of the economic interests in BellRing LLC, and BellRing Inc. (and, indirectly, the holders of our Class A Common Stock) owns 28.8% of the economic interests in BellRing LLC.</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Post holds one share of BellRing Inc. Class B common stock, $0.01 par value per share (the “Class B Common Stock”). For so long as Post or its affiliates (other than us) directly own more than 50% of BellRing LLC units, the share of Class B Common Stock represents 67% and the outstanding shares of Class A Common Stock represent 33%, respectively, of the combined voting power of the common stock of BellRing Inc. By virtue of its ownership of the Class B Common Stock, Post controls BellRing Inc.</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BellRing Inc. holds the voting membership unit of BellRing LLC (which represents the power to appoint and remove the members of the board of managers of BellRing LLC (the “Board of Managers”) and no economic interest in BellRing LLC). BellRing Inc. has the authority to appoint the members of the BellRing LLC Board of Managers and, therefore, controls BellRing LLC.</w:t>
      </w:r>
    </w:p>
    <w:p>
      <w:pPr>
        <w:spacing w:after="0" w:line="7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financial results of BellRing LLC and its subsidiaries are consolidated with BellRing Inc., and a portion of the consolidated net earnings are allocated to the redeemable noncontrolling interest (the “NCI”) to reflect the entitlement of Post to a portion of the consolidated net earnings.</w:t>
      </w:r>
    </w:p>
    <w:p>
      <w:pPr>
        <w:spacing w:after="0" w:line="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within “Notes to Consolidated Financial Statements” included in Part II, Item 8 of this report for more information about the IPO and formation transactions.</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August 2021, Post announced its plan to distribute a significant portion of its ownership interest in BellRing Inc. to its shareholders, and in October 2021, BellRing Inc. and Post announced the signing of a Transaction Agreement and Plan of Merger (the “Transaction Agreement”) between them, BellRing Distribution, LLC, a newly-formed wholly-owned subsidiary of Post (“New BellRing”), and BellRing Merger Sub Corporation, a wholly-owned subsidiary of New BellRing (“Merger Sub”) related to Post’s distribution plan. Pursuant to the Transaction Agreement, Post will contribute its one share of our Class B Common Stock, all of its BellRing LLC units and cash to New BellRing in exchange for all of the then-outstanding equity of New BellRing and New BellRing indebtedness (the “Separation”). New BellRing will convert into a Delaware corporation, and Post will then distribute at least 80.1% of its shares of New BellRing common stock to Post shareholders in a pro-rata distribution, an exchange offer or a combination of both, depending on market conditions. Upon completion of the distribution of New BellRing common stock to Post shareholders (the “Distribution”), Merger Sub will merge with and into BellRing Inc. (the “Merger” and together with the Separation and Distribution, the “Post Distribution Transaction”), with BellRing Inc. as the surviving corporation and a wholly-owned subsidiary of New BellRing. Pursuant to the Merger, each outstanding share of our Class A Common Stock will be converted into one share of New BellRing common stock plus a to-be-determined amount of cash per share. The exact cash consideration will be determined in accordance with the Transaction Agreement based upon several factors, including the amount of New BellRing indebtedness to be issued. Immediately following the Distribution and Merger, it is expected that Post will own no more than 14.2% of the New BellRing common stock and the Post shareholders will own at least 57.0% of the New BellRing common stock. Legacy Class A common stockholders will own approximately 28.8% of the New BellRing common stock, maintaining their current effective ownership interest in our business. The Transaction Agreement also contemplates that Post and New BellRing will enter into certain customary ancillary agreements in connection with the consummation of the Merger. Completion of the transactions is anticipated to occur in the first calendar quarter of 2022, subject to certain customary closing conditions, although there can be no assurance that the transactions will occur within the expected timeframe or at all.</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“Risk Factors” included in Item 1A of this report and Note 18 within “Notes to Consolidated Financial Statements” included in Part II, Item 8 of this report for more information about the above-mentioned transactions.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COVID-19 pandemic has caused and continues to cause global economic disruption and uncertainty, including in our business. We continue to closely monitor the impact of the COVID-19 pandemic and developments related thereto on our business and to remain focused on ensuring the health and safety of our employees, maintaining the continuity of our supply chain to serve customers and consumers and preserving financial liquidity to navigate the uncertainty caused by the COVID-19 pandemic. For discussion regarding the impact of the COVID-19 pandemic on our business and financial results, see “Sales, Marketing and Distribution” below, “Management’s Discussion and Analysis of Financial Condition and Results of Operations” in Item 7 and “Risk Factors” in Item 1A of this report.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operate in the global convenient nutrition category, a rapidly-growing and on-trend category within the food and beverage industry. The United States (the “U.S.”) is our primary market and is the largest and most developed market in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world for our category. We believe the U.S. convenient nutrition category can be broken down into four key consumer need states as defined by our management: everyday nutrition, adult nutrition, sports nutrition and weight management.</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While we believe most brands in the convenient nutrition category are positioned to appeal to consumers primarily in one need state,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 consumed throughout the day as part of a healthy lifestyle.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is focused primarily on sports nutrition, which we define as consumers looking to supplement sports endurance and body building needs.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primary brands, based on fiscal 2021 sales,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Together our brands cover the major product forms in the convenient nutrition category and appeal to a broad range of consumer need states. Our percentage of net sales by brand for our year ended September 30, 2021 were as follows: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83.0%; </w:t>
      </w:r>
      <w:r>
        <w:rPr>
          <w:rFonts w:ascii="Arial" w:cs="Arial" w:eastAsia="Arial" w:hAnsi="Arial"/>
          <w:sz w:val="18"/>
          <w:szCs w:val="18"/>
          <w:i w:val="1"/>
          <w:iCs w:val="1"/>
          <w:color w:val="auto"/>
        </w:rPr>
        <w:t>Dymatize</w:t>
      </w:r>
      <w:r>
        <w:rPr>
          <w:rFonts w:ascii="Arial" w:cs="Arial" w:eastAsia="Arial" w:hAnsi="Arial"/>
          <w:sz w:val="18"/>
          <w:szCs w:val="18"/>
          <w:color w:val="auto"/>
        </w:rPr>
        <w:t>, 12.6%; and other, 4.4%.</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Three product forms accounted for the substantial majority of our fiscal 2021 net sales. In our year ended September 30, 2021, RTD protein shakes and other RTD beverages were 81.3% of our net sales, powders were 14.3% of our net sales and nutrition bars were 3.6% of our net sales.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largest brand,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a leading mainstream, lifestyle brand.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product portfolio consists of RTD protein shakes, refreshing protein beverages and protein powders.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flagship RTD protein shakes are available in 11 flavors and contain 30 grams of protein with only one gram of sugar and 160 calories. They are gluten- and soy-free, low fat and fortified with 24 vitamins and minerals. The brand’s </w:t>
      </w:r>
      <w:r>
        <w:rPr>
          <w:rFonts w:ascii="Arial" w:cs="Arial" w:eastAsia="Arial" w:hAnsi="Arial"/>
          <w:sz w:val="17"/>
          <w:szCs w:val="17"/>
          <w:i w:val="1"/>
          <w:iCs w:val="1"/>
          <w:color w:val="auto"/>
        </w:rPr>
        <w:t xml:space="preserve">Premier Protein with Oats </w:t>
      </w:r>
      <w:r>
        <w:rPr>
          <w:rFonts w:ascii="Arial" w:cs="Arial" w:eastAsia="Arial" w:hAnsi="Arial"/>
          <w:sz w:val="17"/>
          <w:szCs w:val="17"/>
          <w:color w:val="auto"/>
        </w:rPr>
        <w:t>shake line adds more balanced nutrition with 20 grams of protein plus 7 grams of fiber and can be enjoyed both hot and cold.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RTD protein shakes are formulated to deliver great-tasting, leading protein levels while maintaining one of the leanest nutritional profiles in the category (as measured by sugar and calorie content). </w:t>
      </w:r>
      <w:r>
        <w:rPr>
          <w:rFonts w:ascii="Arial" w:cs="Arial" w:eastAsia="Arial" w:hAnsi="Arial"/>
          <w:sz w:val="17"/>
          <w:szCs w:val="17"/>
          <w:i w:val="1"/>
          <w:iCs w:val="1"/>
          <w:color w:val="auto"/>
        </w:rPr>
        <w:t>Premier Protein</w:t>
      </w:r>
      <w:r>
        <w:rPr>
          <w:rFonts w:ascii="Arial" w:cs="Arial" w:eastAsia="Arial" w:hAnsi="Arial"/>
          <w:sz w:val="17"/>
          <w:szCs w:val="17"/>
          <w:color w:val="auto"/>
        </w:rPr>
        <w:t>’s powder portfolio consists of 100% whey protein products. We believe the product profile appeals to consumers across age ranges in all four need states.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is a market leader targeting fitness enthusiasts who value the brand for its science-based product development, athletic performance focus and great taste. The brand’s portfolio includes an assortment of sports nutrition products, including protein powders. The majority of </w:t>
      </w:r>
      <w:r>
        <w:rPr>
          <w:rFonts w:ascii="Arial" w:cs="Arial" w:eastAsia="Arial" w:hAnsi="Arial"/>
          <w:sz w:val="17"/>
          <w:szCs w:val="17"/>
          <w:i w:val="1"/>
          <w:iCs w:val="1"/>
          <w:color w:val="auto"/>
        </w:rPr>
        <w:t>Dymatize</w:t>
      </w:r>
      <w:r>
        <w:rPr>
          <w:rFonts w:ascii="Arial" w:cs="Arial" w:eastAsia="Arial" w:hAnsi="Arial"/>
          <w:sz w:val="17"/>
          <w:szCs w:val="17"/>
          <w:color w:val="auto"/>
        </w:rPr>
        <w:t>’s sales are generated through protein powders. Our protein powder portfolio consists of three primary products:</w:t>
      </w:r>
      <w:r>
        <w:rPr>
          <w:rFonts w:ascii="Arial" w:cs="Arial" w:eastAsia="Arial" w:hAnsi="Arial"/>
          <w:sz w:val="17"/>
          <w:szCs w:val="17"/>
          <w:i w:val="1"/>
          <w:iCs w:val="1"/>
          <w:color w:val="auto"/>
        </w:rPr>
        <w:t xml:space="preserve"> ISO.100 </w:t>
      </w:r>
      <w:r>
        <w:rPr>
          <w:rFonts w:ascii="Arial" w:cs="Arial" w:eastAsia="Arial" w:hAnsi="Arial"/>
          <w:sz w:val="17"/>
          <w:szCs w:val="17"/>
          <w:color w:val="auto"/>
        </w:rPr>
        <w:t>made with hydrolyzed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100% Whey Protein Isolate, </w:t>
      </w:r>
      <w:r>
        <w:rPr>
          <w:rFonts w:ascii="Arial" w:cs="Arial" w:eastAsia="Arial" w:hAnsi="Arial"/>
          <w:sz w:val="17"/>
          <w:szCs w:val="17"/>
          <w:i w:val="1"/>
          <w:iCs w:val="1"/>
          <w:color w:val="auto"/>
        </w:rPr>
        <w:t>Elite 100% Whey</w:t>
      </w:r>
      <w:r>
        <w:rPr>
          <w:rFonts w:ascii="Arial" w:cs="Arial" w:eastAsia="Arial" w:hAnsi="Arial"/>
          <w:sz w:val="17"/>
          <w:szCs w:val="17"/>
          <w:color w:val="auto"/>
        </w:rPr>
        <w:t xml:space="preserve"> and </w:t>
      </w:r>
      <w:r>
        <w:rPr>
          <w:rFonts w:ascii="Arial" w:cs="Arial" w:eastAsia="Arial" w:hAnsi="Arial"/>
          <w:sz w:val="17"/>
          <w:szCs w:val="17"/>
          <w:i w:val="1"/>
          <w:iCs w:val="1"/>
          <w:color w:val="auto"/>
        </w:rPr>
        <w:t>Super Mass Gainer. ISO.100</w:t>
      </w:r>
      <w:r>
        <w:rPr>
          <w:rFonts w:ascii="Arial" w:cs="Arial" w:eastAsia="Arial" w:hAnsi="Arial"/>
          <w:sz w:val="17"/>
          <w:szCs w:val="17"/>
          <w:color w:val="auto"/>
        </w:rPr>
        <w:t xml:space="preserve">, the brand’s flagship product, has a global reach with sales in more than seventy countries. In addition to powders,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offers a suite of products to meet the needs of athletes, including pre-workout and post-workout recovery products.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are sold in a variety of retail channels including specialty, FDM, club and online.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customers are predominantly club stores, FDM customers, online retailers, specialty retailers, convenience stores and distributors. We sell our products domestically and in more than seventy countries globally. Our U.S. business represented 88.3% of our net sales in our year ended September 30, 2021 and our international business represented 11.7% of our net sales in our year ended September 30, 2021.</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largest customers, Costco and Walmart (which includes its affiliates, including Sam’s Club), accounted for approximately 65.3% of our net sales in our year ended September 30, 2021. No other customer accounted for more than 10% of our fiscal 2021 net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U.S., we utilize a direct sales force in multiple channels, including club, FDM, convenience, specialty and eCommerce. We also sell through a broker network for customers in the convenience, grocery and mass channels, and through distributors for the specialty channel. In international markets, we sell our products through a combination of direct sales to retailers and to third party distributors. We utilize a direct sales force in key markets in the European Union (the “E.U.”) for multiple channels, including FDM, convenience, specialty and eCommerce. We also sell through distributors in the specialty channel.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b w:val="1"/>
          <w:bCs w:val="1"/>
          <w:i w:val="1"/>
          <w:iCs w:val="1"/>
          <w:color w:val="auto"/>
        </w:rPr>
        <w:t>Premier Protein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’s marketing strategy is aimed at accelerating the brand’s positioning as a lifestyle brand for mainstream consumers.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’s marketing initiatives are focused on increasing awareness to drive product trial and adoption as well as expanding household penetration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among this group of consumers.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employs a broad media strategy, which includes digital media, search marketing, television, in-store marketing and demos and online dedicated programming. As part of its marketing strategy,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Arial" w:cs="Arial" w:eastAsia="Arial" w:hAnsi="Arial"/>
          <w:sz w:val="17"/>
          <w:szCs w:val="17"/>
          <w:i w:val="1"/>
          <w:iCs w:val="1"/>
          <w:color w:val="auto"/>
        </w:rPr>
        <w:t>Premier Protein</w:t>
      </w:r>
      <w:r>
        <w:rPr>
          <w:rFonts w:ascii="Arial" w:cs="Arial" w:eastAsia="Arial" w:hAnsi="Arial"/>
          <w:sz w:val="17"/>
          <w:szCs w:val="17"/>
          <w:color w:val="auto"/>
        </w:rPr>
        <w:t>.</w:t>
      </w:r>
    </w:p>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’s core fitness-focused consumers. The brand also utilizes a social media influencer model, “Team Dymatize,” engaging with athletes. This team promotes product usage via personal social media channels to drive awareness for the brand among its target demographic.</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products are distributed through a network of third party common carriers.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Demand for our products is impacted by changes in consumer behaviors and preferences, and we have experienced, and expect to continue to experience, changes in consumer consumption patterns as a result of the COVID-19 pandemic and the measures that have been and are being taken by governments, businesses, including us, and the public at large to limit the spread, variants and resurgences of COVID-19. Our products generally experienced a decline in sales starting in March 2020, returned to growth rates in line with their pre-pandemic levels during the fourth quarter of fiscal 2020 and remained strong in fiscal 2021. We continue to actively monitor the COVID-19 pandemic and its impact on our business; however, we are unable to accurately predict the future impact that the COVID-19 pandemic will have due to various uncertainties, including the duration, severity and spread of COVID-19, actions that may be taken by governmental authorities in response to the pandemic, the availability and adoption of effective treatments and vaccines, changes in consumer behaviors and preferences and the impact on our supply chain, operations, workforce and the financial markets. For further discussion regarding the impact of the COVID-19 pandemic on our business refer to the “COVID-19 Pandemic” section above, “Management’s Discussion and Analysis of Financial Condition and Results of Operations” in Item 7 and “Risk Factors” in Item 1A of this report. For additional discussion, refer to “Cautionary Statement on Forward-Looking Statements”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continue to improve and expand our product offerings with new flavors, ingredients, packaging and process development technologies. We leverage our dedicated market research, consumer insights and innovation teams, supplemented by leading design firms, product development companies, third party flavor houses and consultants.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Raw Materials</w:t>
      </w:r>
      <w:r>
        <w:rPr>
          <w:rFonts w:ascii="Arial" w:cs="Arial" w:eastAsia="Arial" w:hAnsi="Arial"/>
          <w:sz w:val="16"/>
          <w:szCs w:val="16"/>
          <w:color w:val="auto"/>
        </w:rPr>
        <w:t>. Raw materials used in our business consist of ingredients and packaging materials purchased from local, regional and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Our principal ingredients include milk-based, whey-based and soy-based proteins, protein blends, sweeteners and vitamin and mineral blends. Our primary packaging materials include aseptic foil and plastic lined cardboard cartons, flexible and rigid plastic film and containers, beverage packaging and corrugate. We purchase our raw materials in accordance with rigorous standards to assure food quality and safety. Supply availability and prices paid for raw materials can fluctuate widely due to external factors, such as pandemics (including the COVID-19 pandemic) and other outbreaks of contagious diseases, weather conditions, labor disputes, governmental programs, regulations and trade and tariff policies, industry consolidation, economic climate, energy shortages, transportation delays, commodity market prices, currency fluctuations and other unforeseen circumstances. We continuously monitor supply and cost trends of these raw materials to enable us to obtain ingredients and packaging needed for our products.</w:t>
      </w:r>
    </w:p>
    <w:p>
      <w:pPr>
        <w:spacing w:after="0" w:line="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the terms of an agreement with a significant protein powder supplier, Premier Nutrition is required to purchase a minimum periodic volume of protein powder and has the right (but not the obligation) to order quantities in excess of such minimum amount provided the supplier has the capacity and the ability to produce such additional quantities. The agreement also contains detailed provisions regarding the product specifications and quality standards for the raw materials to be provided by the supplier, the rights of a party in the event the other party does not comply with its obligations under the agreement and other customary contractual terms and conditions. The agreement expires on October 30, 2024.</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Electricity and steam are used in the facilities that manufacture our products. In addition, considerable amounts of diesel fuel are used in connection with the distribution of our products.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We primarily engage third party contract manufacturers in North America and the E.U. to produce our products. We receive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our third party contract manufacturers for an agreed-upon tolling charge for each item produced as well as other minor costs. Most of our relationships with our contract manufacturing partners include minimum volume commitments, whereby the third party contract manufacturer has committed to produce, and we have committed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purchase, a minimum quantity of product. We own a manufacturing plant in Voerde, Germany that supplies nutrition bars and gels primarily for the E.U., Switzerland and the U.K.</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regularly monitor the capacity and performance of our third party contract manufacturing partners and suppliers and qualify new contract manufacturing partners and suppliers as needed. Given the growth profile of our primary products, we continuously plan for incremental capacity and review additional strategic alternatives to support our business.</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From three separate and geographically diverse manufacturing locations, our largest third party contract manufacturer provided approximately 67.5%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for our year ended September 30, 2021. Under the terms of a manufacturing agreement with the third party contract manufacturer, Premier Nutrition is required to purchase a minimum annual order volume of RTD protein shakes and has the right (but not the obligation) to order quantities in excess of a monthly minimum amount provided the third party contract manufacturer has the capacity and the ability to produce such additional quantities. In addition, under the terms of the manufacturing agreement, the third party contract manufacturer has committed to produce an annual minimum volume of RTD protein shakes. The manufacturing agreement also contains detailed provisions regarding the product specifications and quality standards for the products to be manufactured and packaged by the third party contract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w:t>
      </w:r>
    </w:p>
    <w:p>
      <w:pPr>
        <w:spacing w:after="0" w:line="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SMETA 4-pillars (Labour, Environment, Health and Safety, Business Ethics) and OHSAS 18001 (Health and Safety).</w:t>
      </w:r>
    </w:p>
    <w:p>
      <w:pPr>
        <w:spacing w:after="0" w:line="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third party contract manufacturers to our customers’ distribution centers.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one third party warehouse location in Germany, which receives products from our production facility located in Voerde, Germany or directly from our third party contract manufacturers. Our branded products are distributed from third party warehouses to customer distribution centers or retail stores or are exported to international customers.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convenient nutrition category in which we operate is highly competitive and highly sensitive to both pricing and promotion. We compete with other brands, including private label and store brand products, and with many nutritional food and beverage players. We have numerous competitors of varying sizes, including manufacturers of other branded food and beverage products, as well as manufacturers of private label products. Some of our competitors have substantially more financial, marketing and other resources than us.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Our principal strategies for competing in our industry include strong and impactful marketing to build awareness of our products, effective customer relationship management, category insights, superior product quality and food safety, product innovation, an efficient supply chain and competitive pricing. We expect the industry we operate in to remain highly competitive for the foreseeable future.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experience seasonal fluctuations in our sales and earnings before interest and taxes (“EBIT”) margins because of consumer spending patterns and timing of our key retailers’ promotional activity. Historically, our first quarter of the fiscal year is seasonally low for net sales for all brands driven by a slowdown of consumption of our products during the holiday season. Sales are typically higher throughout the remainder of the fiscal year as a result of stronger consumer demand in our second quarter of the fiscal year, promotional activity at key retailers and organic growth of the business. Seasonal fluctuations in our sales and EBIT margins may not be the same in the future as they have been historically. For a discussion of the impact of the COVID-19 pandemic, which impacted sales trends for fiscal 2020 and 2021, refer to “Sales, Marketing and Distribution”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own or have licenses to use a number of trademarks that are critical to the success of our business. Our key trademarks include </w:t>
      </w:r>
      <w:r>
        <w:rPr>
          <w:rFonts w:ascii="Arial" w:cs="Arial" w:eastAsia="Arial" w:hAnsi="Arial"/>
          <w:sz w:val="18"/>
          <w:szCs w:val="18"/>
          <w:i w:val="1"/>
          <w:iCs w:val="1"/>
          <w:color w:val="auto"/>
        </w:rPr>
        <w:t>BellRing</w:t>
      </w:r>
      <w:r>
        <w:rPr>
          <w:rFonts w:ascii="Arial" w:cs="Arial" w:eastAsia="Arial" w:hAnsi="Arial"/>
          <w:sz w:val="18"/>
          <w:szCs w:val="18"/>
          <w:color w:val="auto"/>
        </w:rPr>
        <w:t xml:space="preserve">®, </w:t>
      </w:r>
      <w:r>
        <w:rPr>
          <w:rFonts w:ascii="Arial" w:cs="Arial" w:eastAsia="Arial" w:hAnsi="Arial"/>
          <w:sz w:val="18"/>
          <w:szCs w:val="18"/>
          <w:i w:val="1"/>
          <w:iCs w:val="1"/>
          <w:color w:val="auto"/>
        </w:rPr>
        <w:t>BellRing Brands</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Protein</w:t>
      </w:r>
      <w:r>
        <w:rPr>
          <w:rFonts w:ascii="Arial" w:cs="Arial" w:eastAsia="Arial" w:hAnsi="Arial"/>
          <w:sz w:val="18"/>
          <w:szCs w:val="18"/>
          <w:color w:val="auto"/>
        </w:rPr>
        <w:t>®,</w:t>
      </w:r>
      <w:r>
        <w:rPr>
          <w:rFonts w:ascii="Arial" w:cs="Arial" w:eastAsia="Arial" w:hAnsi="Arial"/>
          <w:sz w:val="18"/>
          <w:szCs w:val="18"/>
          <w:i w:val="1"/>
          <w:iCs w:val="1"/>
          <w:color w:val="auto"/>
        </w:rPr>
        <w:t xml:space="preserve"> Premier Nutrition</w:t>
      </w:r>
      <w:r>
        <w:rPr>
          <w:rFonts w:ascii="Arial" w:cs="Arial" w:eastAsia="Arial" w:hAnsi="Arial"/>
          <w:sz w:val="18"/>
          <w:szCs w:val="18"/>
          <w:color w:val="auto"/>
        </w:rPr>
        <w:t>®,</w:t>
      </w:r>
      <w:r>
        <w:rPr>
          <w:rFonts w:ascii="Arial" w:cs="Arial" w:eastAsia="Arial" w:hAnsi="Arial"/>
          <w:sz w:val="18"/>
          <w:szCs w:val="18"/>
          <w:i w:val="1"/>
          <w:iCs w:val="1"/>
          <w:color w:val="auto"/>
        </w:rPr>
        <w:t xml:space="preserve"> Dymatize</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8"/>
          <w:szCs w:val="18"/>
          <w:color w:val="auto"/>
        </w:rPr>
        <w:t>®,</w:t>
      </w:r>
      <w:r>
        <w:rPr>
          <w:rFonts w:ascii="Arial" w:cs="Arial" w:eastAsia="Arial" w:hAnsi="Arial"/>
          <w:sz w:val="18"/>
          <w:szCs w:val="18"/>
          <w:i w:val="1"/>
          <w:iCs w:val="1"/>
          <w:color w:val="auto"/>
        </w:rPr>
        <w:t xml:space="preserve"> PowerBar</w:t>
      </w:r>
      <w:r>
        <w:rPr>
          <w:rFonts w:ascii="Arial" w:cs="Arial" w:eastAsia="Arial" w:hAnsi="Arial"/>
          <w:sz w:val="18"/>
          <w:szCs w:val="18"/>
          <w:color w:val="auto"/>
        </w:rPr>
        <w:t>® and</w:t>
      </w:r>
      <w:r>
        <w:rPr>
          <w:rFonts w:ascii="Arial" w:cs="Arial" w:eastAsia="Arial" w:hAnsi="Arial"/>
          <w:sz w:val="18"/>
          <w:szCs w:val="18"/>
          <w:i w:val="1"/>
          <w:iCs w:val="1"/>
          <w:color w:val="auto"/>
        </w:rPr>
        <w:t xml:space="preserve"> Joint Juice</w:t>
      </w:r>
      <w:r>
        <w:rPr>
          <w:rFonts w:ascii="Arial" w:cs="Arial" w:eastAsia="Arial" w:hAnsi="Arial"/>
          <w:sz w:val="18"/>
          <w:szCs w:val="18"/>
          <w:color w:val="auto"/>
        </w:rPr>
        <w:t>®, each of which we own,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trademarks that we license from third parties, such as </w:t>
      </w:r>
      <w:r>
        <w:rPr>
          <w:rFonts w:ascii="Arial" w:cs="Arial" w:eastAsia="Arial" w:hAnsi="Arial"/>
          <w:sz w:val="18"/>
          <w:szCs w:val="18"/>
          <w:i w:val="1"/>
          <w:iCs w:val="1"/>
          <w:color w:val="auto"/>
        </w:rPr>
        <w:t>Pebbles</w:t>
      </w:r>
      <w:r>
        <w:rPr>
          <w:rFonts w:ascii="Arial" w:cs="Arial" w:eastAsia="Arial" w:hAnsi="Arial"/>
          <w:sz w:val="18"/>
          <w:szCs w:val="18"/>
          <w:color w:val="auto"/>
        </w:rPr>
        <w:t xml:space="preserve">® and </w:t>
      </w:r>
      <w:r>
        <w:rPr>
          <w:rFonts w:ascii="Arial" w:cs="Arial" w:eastAsia="Arial" w:hAnsi="Arial"/>
          <w:sz w:val="18"/>
          <w:szCs w:val="18"/>
          <w:i w:val="1"/>
          <w:iCs w:val="1"/>
          <w:color w:val="auto"/>
        </w:rPr>
        <w:t>Dunkin</w:t>
      </w:r>
      <w:r>
        <w:rPr>
          <w:rFonts w:ascii="Arial" w:cs="Arial" w:eastAsia="Arial" w:hAnsi="Arial"/>
          <w:sz w:val="18"/>
          <w:szCs w:val="18"/>
          <w:color w:val="auto"/>
        </w:rPr>
        <w:t>®. Our owned trademarks are, in most cases, 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Environmental Matters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state and local agencies 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adoption of the Food Safety Modernization Act in the U.S. and the Safe Foods for Canadians Act in Canada, the FDA and the Canadian Food Inspection Agency are implementing additional regulations focused on prevention of food contamination, more frequent inspection of high-risk facilities, increased record-keeping and improved tracing of food.</w:t>
      </w:r>
    </w:p>
    <w:p>
      <w:pPr>
        <w:spacing w:after="0" w:line="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operations are subject to various federal, state and foreign laws and regulations regarding data privacy, including the General Data Protection Regulation, the E.U.’s retained law version of the General Data Protection Regulation and the California Privacy Rights Act, each of which applies to certain aspects of our business and deal with the collection and use of personal information obtained from data subjects. As a company with international operations, we also are subject to laws, rules and regulations in the U.S. and other countries related to anti-corruption, antitrust and competition and economic sanctions.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approximately 355 employees as of November 1, 2021. Of these employees, approximately 205 are in the U.S., approximately 140 are in Germany and approximately 10 are in other countries. Our people are critical to our success and we prioritize providing a safe, rewarding and respectful workplace where our people are provided with opportunities to pursue career paths based on skills, performance and mindset. We adhere to our Code of Conduct, which sets forth a commitment to our stakeholders, including our employees, to operate with integrity and mutual respect.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committed to maintaining a healthy and safe workplace for our employees. In our Voerde, Germany manufacturing facility, we have a comprehensive safety and risk management system in place that incorporates rigorous safety standards and practices, employee and leadership training to ensure consistent implementation of our safety protocols and periodic internal and external audits to evaluate our compliance with these policies.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Acquisition, Development, Engagement and Retention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Acquiring, developing, engaging and retaining a diverse and talented workforce is key to accomplishing our goals and achieving business results.</w:t>
      </w:r>
    </w:p>
    <w:p>
      <w:pPr>
        <w:spacing w:after="0" w:line="14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taken steps to enhance our talent acquisition processes, including implementing diversity training for recruiters, employee training on interview skills and processes to improve our candidate selection process to promote more diversity among our employees. We also have updated our careers websites and job descriptions and increased community outreach to enable us to reach a wider audience of candidates.</w:t>
      </w:r>
    </w:p>
    <w:p>
      <w:pPr>
        <w:spacing w:after="0" w:line="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Providing development opportunities and resources for our employees is another key factor in our human capital strategy. We offer a variety of training and development programs for employees at all levels of our organization, including monthly development trainings for people leaders of all levels, along with in depth workshops for new managers.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check in with our employees through regular engagement surveys and then act on those survey results, as appropriate. Employee-led groups, opportunities to participate in informal wellness activities and philanthropic work are informed by what our employees identify as important to them. We measure our progress and take additional actions, as needed. We communicate transparently with our employees about the organization to keep our employees informed and engaged.</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strive to develop and implement compensation and benefits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We provide our employees with competitive fixed and/or variable pay and, for eligible employees, we currently provide access to medical, dental and life insurance benefits, disability coverage, a 401(k) plan and employee assistance programs, among other benefits.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Inclusion and Belonging</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recognize the importance of a diverse, equitable and inclusive culture for our employees and we are dedicated to creating an inclusive environment that reflects the communities in which we live and work. We have implemented initiatives to track and improve our performance in these areas. During fiscal 2021, we conducted company-wide workshops on diversity topics, as well as online respectful workplace training for all employees.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COVID-19 Response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fiscal 2021, as the COVID-19 pandemic has persisted, we have continued to prioritize the health, safety and well-being of our employees. Many of the safety measures implemented in fiscal 2020 also were utilized in fiscal 2021. At various points during fiscal 2021, these measures have included, where practicable: practicing social distancing, providing personal protective equipment, encouraging hygiene practices advised by health authorities, restricting business travel and site visitors, increasing ventilation to promote air exchanges, placing air purifying units throughout our offices and implementing remote working for certain office employees. We continue to monitor our practices to remain aligned with federal, state, local and international laws, regulations and guidelines.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make available, free of charge, through our website (www.bellringbrands.com) reports we file with, or furnish to, the Securities and Exchange Commission (the “SEC”), including our annual reports on Forms 10-K, quarterly reports on Forms 10-Q, current reports on Forms 8-K and amendments to those reports filed or furnished pursuant to Section 13(a) or 15(d) of the Securities Exchange Act of 1934, as amended, as soon as reasonably practicable after we electronically file such material with, or furnish such material to, the SEC. The SEC maintains an internet site containing these reports, proxy and information statements and other information regarding issuers that file electronically with the SEC at http://www.sec.gov. Our Corporate Governance Guidelines, our Code of Conduct and the charters of the Audit and Corporate Governance and Compensation Committees of our Board of Directors also are available on our website, where they can be printed free of charge. All of these documents also are available to stockholders at no charge upon request sent to BellRing’s corporate secretary (2503 S. Hanley Road, St. Louis, Missouri 63144-2503, Telephone: 314-644-7600). The information and other content contained on our website are not part of (or incorporated by reference in) this report or any other document we file with the SEC.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section below provides information regarding our executive officers as of November 19, 2021:</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Robert V. Vitale</w:t>
      </w:r>
      <w:r>
        <w:rPr>
          <w:rFonts w:ascii="Arial" w:cs="Arial" w:eastAsia="Arial" w:hAnsi="Arial"/>
          <w:sz w:val="16"/>
          <w:szCs w:val="16"/>
          <w:color w:val="auto"/>
        </w:rPr>
        <w:t>, age 55, has served as our Executive Chairman since September 2019 and serves as our co-principal executive officer. Mr. Vitale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President and Chief Executive Officer of 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is a member of the board of directors of 8th Avenue Food &amp; Provisions, Inc., a private brand-centric consumer products holding company owned by Post and other third parties. Mr. Vitale also has been the president and chief investment officer of Post Holdings Partnering Corporation, a publicly-traded affiliate of Post that is a special purpose acquisition company formed for the purpose of effecting a partnering transaction with one or more businesses, since January 2021, and has served on the board of directors of Energizer Holdings, Inc., a publicly traded manufacturer and distributor of primary batteries, portable lights and auto care, appearance, performance, refrigerant and fragrance products, since August 2017. Mr. Vitale earned his undergraduate degree from St. Louis University and his MBA from Washington University.</w:t>
      </w:r>
    </w:p>
    <w:p>
      <w:pPr>
        <w:spacing w:after="0" w:line="6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Darcy H. Davenport</w:t>
      </w:r>
      <w:r>
        <w:rPr>
          <w:rFonts w:ascii="Arial" w:cs="Arial" w:eastAsia="Arial" w:hAnsi="Arial"/>
          <w:sz w:val="16"/>
          <w:szCs w:val="16"/>
          <w:color w:val="auto"/>
        </w:rPr>
        <w:t>, age 48, has served as our President and Chief Executive Officer since September 2019, has served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the completion of our IPO and serves as our co-principal executive officer. Until the completion of the IPO, Ms. Davenport served as President of Post’s active nutrition business since October 2017 and as President of Premier Nutrition, which became a subsidiary of BellRing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earned her undergraduate degree from Princeton University and her MBA from New York University’s Leonard N. Stern School of Business.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Douglas J. Cornille</w:t>
      </w:r>
      <w:r>
        <w:rPr>
          <w:rFonts w:ascii="Arial" w:cs="Arial" w:eastAsia="Arial" w:hAnsi="Arial"/>
          <w:sz w:val="17"/>
          <w:szCs w:val="17"/>
          <w:color w:val="auto"/>
        </w:rPr>
        <w:t>, age 49, has served as Senior Vice President, Marketing of Premier Nutrition, which became a subsidiary of BellRing Inc. upon</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our IPO,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R. Lee Partin</w:t>
      </w:r>
      <w:r>
        <w:rPr>
          <w:rFonts w:ascii="Arial" w:cs="Arial" w:eastAsia="Arial" w:hAnsi="Arial"/>
          <w:sz w:val="18"/>
          <w:szCs w:val="18"/>
          <w:color w:val="auto"/>
        </w:rPr>
        <w:t>, age 68, has served as Senior Vice President, Sales of Premier Nutrition, which became a subsidiary of BellRing Inc. upon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IPO,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 - School of Business.</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Paul A. Rode</w:t>
      </w:r>
      <w:r>
        <w:rPr>
          <w:rFonts w:ascii="Arial" w:cs="Arial" w:eastAsia="Arial" w:hAnsi="Arial"/>
          <w:sz w:val="17"/>
          <w:szCs w:val="17"/>
          <w:color w:val="auto"/>
        </w:rPr>
        <w:t>, age 51, has served as our Chief Financial Officer since September 2019 and serves as our principal financial officer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officer. Mr. Rode served as Chief Financial Officer of Post’s active nutrition business from May 2015 until the completion of our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Craig L. Rosenthal</w:t>
      </w:r>
      <w:r>
        <w:rPr>
          <w:rFonts w:ascii="Arial" w:cs="Arial" w:eastAsia="Arial" w:hAnsi="Arial"/>
          <w:sz w:val="17"/>
          <w:szCs w:val="17"/>
          <w:color w:val="auto"/>
        </w:rPr>
        <w:t>, age 50, has served as our Senior Vice President, General Counsel and Secretary since August 2019. Prior to joining BellRing Inc.,</w:t>
      </w:r>
      <w:r>
        <w:rPr>
          <w:rFonts w:ascii="Arial" w:cs="Arial" w:eastAsia="Arial" w:hAnsi="Arial"/>
          <w:sz w:val="17"/>
          <w:szCs w:val="17"/>
          <w:i w:val="1"/>
          <w:iCs w:val="1"/>
          <w:color w:val="auto"/>
        </w:rPr>
        <w:t xml:space="preserve"> </w:t>
      </w:r>
      <w:r>
        <w:rPr>
          <w:rFonts w:ascii="Arial" w:cs="Arial" w:eastAsia="Arial" w:hAnsi="Arial"/>
          <w:sz w:val="17"/>
          <w:szCs w:val="17"/>
          <w:color w:val="auto"/>
        </w:rPr>
        <w:t>Mr. Rosenthal was an attorney at Husch Blackwell LLP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Previously,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Rosenthal was an attorney at Husch &amp; Eppenberger LLC (now Husch Blackwell LLP). Mr. Rosenthal earned his undergraduate degree from the University of Missouri-Columbia and juris doctorate from Washington University School of Law.</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Robin Singh, </w:t>
      </w:r>
      <w:r>
        <w:rPr>
          <w:rFonts w:ascii="Arial" w:cs="Arial" w:eastAsia="Arial" w:hAnsi="Arial"/>
          <w:sz w:val="18"/>
          <w:szCs w:val="18"/>
          <w:color w:val="auto"/>
        </w:rPr>
        <w:t>age 52, has served as Senior Vice President, Operations of Premier Nutrition, which became a subsidiary of BellRing Inc.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our IPO, since March 2019. Prior to joining 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 - Richard Ivey School of Business and the University of Guelph, Ontario.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the information discussed elsewhere in this report, the following risks and uncertainties, some of which have occurred and any of which may occur in the future, could have a material adverse effect on our business, financial condition, results of operations and cash flows. Although the risks below are organized by heading, and each risk is described separately, many of the risks are interrelated. Additional risks and uncertainties not presently known to us or that we currently deem immaterial also may impair our business, financial condition, results of operations and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Operating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Global health developments and economic uncertainty resulting from the COVID-19 pandemic have adversely impacted, are adversely impacting and could continue to adversely impact, our financial and operational performance.</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public health crisis caused by the COVID-19 pandemic and the measures that have been and are being taken by governments, businesses, including us, and the public at large to directly and indirectly respond to and limit the spread, variants and resurgences of COVID-19 have had, are having and could continue to have certain impacts on our financial and operational performance, including the following:</w:t>
      </w:r>
    </w:p>
    <w:p>
      <w:pPr>
        <w:spacing w:after="0" w:line="57" w:lineRule="exact"/>
        <w:rPr>
          <w:sz w:val="20"/>
          <w:szCs w:val="20"/>
          <w:color w:val="auto"/>
        </w:rPr>
      </w:pPr>
    </w:p>
    <w:p>
      <w:pPr>
        <w:jc w:val="both"/>
        <w:ind w:left="660" w:hanging="328"/>
        <w:spacing w:after="0" w:line="30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experienced, and we expect that we will continue to experience, temporary workforce or other disruptions in our supply chain, including our third party contract manufacturers, as a result of the COVID-19 pandemic, including employee absenteeism and labor shortages, which have negatively impacted and we expect will continue to negatively impact our and our third party contract manufacturers’ ability to manufacture, and our ability to deliver, our products. We have had to, and expect to have future needs to, place one or more of our products on allocation.</w:t>
      </w:r>
    </w:p>
    <w:p>
      <w:pPr>
        <w:spacing w:after="0" w:line="49"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and could continue to experience, shifts in consumption of our products due to reduced on-the-go usage occasions resulting from permanent and temporary business closures, shelter-in-place regulations or recommendations and changes in consumer behavior in response to the COVID-19 pandemic. Due to these food consumption shifts, during fiscal 2020, we saw reduced consumption of our products. If the COVID-19 pandemic persists or intensifies, the negative impacts on consumption of our products could recur, be more prolonged or may become more severe.</w:t>
      </w:r>
    </w:p>
    <w:p>
      <w:pPr>
        <w:spacing w:after="0" w:line="7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the COVID-19 pandemic on our operations and the operations of third parties in our supply chain has included, and we expect in the future will include, increases in the cost, or reductions in the availability and timely delivery of, ingredients, packaging and other materials used to manufacture our products, operational delays, increases in the cost of freight and lack of adequate manufacturing capacity and has resulted in, and we expect will result in additional, interruptions in our supply chain. In addition, failure of third parties on which we rely (raw materials suppliers, third party contract manufacturers, distributors, contractors, external business partners and commercial banks) to meet their obligations to us or disruptions of their ability to do so could adversely impact our business, financial condition, results of operations and cash flows.</w:t>
      </w:r>
    </w:p>
    <w:p>
      <w:pPr>
        <w:spacing w:after="0" w:line="56"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and may continue to incur, increased operating costs, including facility reconfiguration costs to enhance social distancing, purchases of equipment and supplies that are in high demand and costs to engage third party resources, as a result of the COVID-19 pandemic. In addition, we have incurred, and may continue to incur, additional expenses to comply with new requirements imposed by governmental authorities in response to the COVID-19 pandemic.</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and volatility in consumer purchasing and consumption patterns may increase demand for our products (such as occurred for certain of our products beginning in the second quarter of fiscal 2021 and which we expect to continue into fiscal 2022), which in certain cases exceeded, and could in the future exceed, our production capacity or otherwise strain our supply chain and resulted in, and could in the future result in, one or more of our products being placed on allocation.</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perceptions of our Company’s response to the COVID-19 pandemic, and any perceived quality or health concerns (whether or not valid) regarding our products, could affect our brand value.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policy changes in markets in which we manufacture, sell or distribute our products (including quarantines, import or export restrictions, price controls, governmental or regulatory actions, closures or other restrictions or unemployment or other benefits) could adversely impact our business, financial condition, results of operations and cash flows.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Deteriorating economic conditions resulting from the COVID-19 pandemic, including economic slowdowns or recessions or significant disruptions or volatility in financial markets, could limit our ability to satisfy our debt obligations or impact the cost or availability of additional capital.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in response to the COVID-19 pandemic may result in investigations, legal claims or litigation against us.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business disruptions and uncertainties related to the COVID-19 pandemic for a sustained period of time could result in additional delays or modifications to our strategic plans and other initiatives and hinder our ability to achieve anticipated cost savings and productivity initiatives on planned timelines.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trade promotion activities could adversely impact our business, financial condition, results of operations and cash flows.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These and other impacts have caused, and may continue to cause, an adverse effect on our business, financial condition, results of operations and cash flows that have been and may continue to be material. In addition, such impacts of the COVID-19 pandemic have heightened, or in some cases manifested, other risks set forth below, any of which could have a material effect on us. Although restrictions on mobility have been reduced or in some cases lifted, the COVID-19 pandemic continues, and we expect will continue, to impact our business. This situation is changing rapidly and additional impacts may arise that we are not aware of as of the date hereof. The extent and potential short and long term impact of the COVID-19 pandemic on our business, financial condition, results of operations and cash flows, which could be material, will depend on future developments, including the duration, severity and spread of COVID-19, actions that have and may be taken by governmental authorities in response to the pandemic, the availability and adoption of effective treatments and vaccines, changing consumer behaviors and the impact on our supply chain, operations, workforce and the financial markets, all of which remain highly uncertain and cannot be predicted.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substantial amount of our net sales is derived from our RTD protein shakes. Sales of our RTD protein shakes represented approximately 80.2% of our net sales in our year ended September 30, 2021.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(including as a result of the COVID-19 pandemic), or our failure or inability to provide sufficient investment to support and market those products as needed to maintain or grow their competitive position or to achieve more widespread market acceptance.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convenient nutrition category in which we operate is highly competitive. We compete with other brands in the convenient nutrition category and with many nutritional food and beverage players, as well as manufacturers of private label and store brand products. Many of our competitors offer products similar to our products, or a wider range of products than we offer, and may offer their products at more competitive prices than we do. Competition in our industry is based on, among other things, product quality, taste, functional benefits, nutritional value and ingredients, convenience, brand loyalty and positioning, product variety, product packaging, shelf space, price, promotional activities and the ability to identify and satisfy dynamic, emerging consumer preferences. 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of our supply chain, including as a result of the COVID-19 pandemic, and changes in weather conditions could have an adverse effect on our business, financial condition, results of operations and cash flows.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ability to make, move and sell products in coordination with our suppliers, third party contract manufacturers and distributors is critical to our success. Damage or disruption to our collective supply, manufacturing or distribution capabilities resulting from weather, freight carrier availability, any potential effects of climate change, natural disaster, pandemics (such as the COVID-19 pandemic) or other outbreaks of contagious diseases, governmental restrictions or mandates, labor shortages, border closures, freight carrier availability, agricultural diseases, fires or evacuations related thereto, explosions, cyber incidents, terrorism, strikes or other labor unrest, repairs or enhancements at facilities manufacturing or delivering our products or other reasons could impair our ability to source inputs or manufacture, sell or timely deliver our products.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Changes in weather conditions and natural disasters, such as fires, floods, droughts, frosts, hurricanes, earthquakes, tornadoes, insect infestations and plant disease, also may affect the cost and supply of commodities used as raw materials, including milk-based, whey-based and soy-based proteins, protein blends, sweeteners and vitamin and mineral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For example, for our year ended September 30, 2021, approximately 67.5%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came from our largest third party contract manufacturer, with approximately 38.3% of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 supply manufactured at its Joplin, Missouri facility. In 2011, a major tornado struck Joplin, Missouri, but our supply of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Joplin, Missouri facility was not impacted.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 comes primarily from three of its locations. Competitors can be affected differently by weather conditions and natural disasters depending on the location of their suppliers and operations.</w:t>
      </w:r>
    </w:p>
    <w:p>
      <w:pPr>
        <w:spacing w:after="0" w:line="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previously discussed, during fiscal 2020 and 2021, the COVID-19 pandemic has impacted, and we expect will continue to impact, our operations, including disruptions in our supply chain. During the COVID-19 pandemic, demand for certain of our products has in certain cases exceeded our production capacity and we expect will continue to do so in the future or otherwise strain our supply chain. We continue to actively monitor the COVID-19 pandemic and its impact on our supply chain and operations; however, we are unable to accurately predict the future impact that the COVID-19 pandemic will have due to various uncertainties, including the ultimate geographic spread of the virus, the severity of the virus, variants of the virus, the duration of the outbreak, actions that may be taken by governmental authorities, the availability and adoption of effective treatments and vaccines and changes in consumer behaviors.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w:t>
      </w:r>
    </w:p>
    <w:p>
      <w:pPr>
        <w:spacing w:after="0" w:line="5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For our year ended September 30, 2021, approximately 67.5%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manufacturer and approximately 38.3% from a single facility of that manufacturer. Although we have added additional third party contract manufacturers of our </w:t>
      </w:r>
      <w:r>
        <w:rPr>
          <w:rFonts w:ascii="Arial" w:cs="Arial" w:eastAsia="Arial" w:hAnsi="Arial"/>
          <w:sz w:val="16"/>
          <w:szCs w:val="16"/>
          <w:i w:val="1"/>
          <w:iCs w:val="1"/>
          <w:color w:val="auto"/>
        </w:rPr>
        <w:t>Premier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Protein </w:t>
      </w:r>
      <w:r>
        <w:rPr>
          <w:rFonts w:ascii="Arial" w:cs="Arial" w:eastAsia="Arial" w:hAnsi="Arial"/>
          <w:sz w:val="16"/>
          <w:szCs w:val="16"/>
          <w:color w:val="auto"/>
        </w:rPr>
        <w:t>RTD shakes to our third party contract manufacturing network, our number of third party contract manufacturers is still limited and if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our third party contract manufacturers is unable to meet our supply requirements, it could have a material adverse impact on our business, financial condition, results of operations and cash flows. We are currently in litigation with a former third party contract manufacturer, which we had expected to produce less than 10% of our RTD protein shakes for our year ended September 30, 2019, that resulted in our termination of our agreement with it. Also, if we experience significant increases in demand for our products, as we did beginning in the second quarter of fiscal 2021 and which we expect to continue into fiscal 2022, we and these third party contract manufacturers may not be able to obtain in a timely manner the equipment, ingredients (including whey protein) or packaging materials required to manufacture our products (including, in particular,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11 ounce size and </w:t>
      </w:r>
      <w:r>
        <w:rPr>
          <w:rFonts w:ascii="Arial" w:cs="Arial" w:eastAsia="Arial" w:hAnsi="Arial"/>
          <w:sz w:val="16"/>
          <w:szCs w:val="16"/>
          <w:i w:val="1"/>
          <w:iCs w:val="1"/>
          <w:color w:val="auto"/>
        </w:rPr>
        <w:t xml:space="preserve">Dymatize </w:t>
      </w:r>
      <w:r>
        <w:rPr>
          <w:rFonts w:ascii="Arial" w:cs="Arial" w:eastAsia="Arial" w:hAnsi="Arial"/>
          <w:sz w:val="16"/>
          <w:szCs w:val="16"/>
          <w:color w:val="auto"/>
        </w:rPr>
        <w:t>powders) and allocate sufficient capacity to us in order to meet our requirements, fill our orders in a timely manner or meet our quality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we may experience operational difficulties with any of these third party contract manufacturers, such as limitations on production capacity, failure to meet our quantity requirements, including as a result of pandemics (such as the COVID-19 pandemic) or other outbreaks of contagious diseases, increases in manufacturing costs, errors in complying with product specifications, insufficient quality control and failure to meet production deadlines.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 Additionally, our business could be adversely affected if any of these third parties fail to comply with governmental regulations applicable to the manufacturing of our products or if any of these third parties cease doing business with us or go out of business.</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manufacturers are unable to fulfill their minimum volume obligations under our agreements or cannot produce sufficient amount of product to meet consumer demand. For example, due to better than expected volume growth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in both the second half of fiscal 2018 and, along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powders, in the second half of fiscal 2021, each of which we expect to continue into fiscal 2022, delays in planned incremental production capacity by our third party contract manufacturer network and (in the case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powders) whey protein availability, our customer demand exceeded our available capacity and resulted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inventory below acceptable levels at September 30, 2018 and </w:t>
      </w:r>
      <w:r>
        <w:rPr>
          <w:rFonts w:ascii="Arial" w:cs="Arial" w:eastAsia="Arial" w:hAnsi="Arial"/>
          <w:sz w:val="18"/>
          <w:szCs w:val="18"/>
          <w:i w:val="1"/>
          <w:iCs w:val="1"/>
          <w:color w:val="auto"/>
        </w:rPr>
        <w:t>Premier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RTD shakes and</w:t>
      </w:r>
      <w:r>
        <w:rPr>
          <w:rFonts w:ascii="Arial" w:cs="Arial" w:eastAsia="Arial" w:hAnsi="Arial"/>
          <w:sz w:val="18"/>
          <w:szCs w:val="18"/>
          <w:i w:val="1"/>
          <w:iCs w:val="1"/>
          <w:color w:val="auto"/>
        </w:rPr>
        <w:t xml:space="preserve"> Dymatize </w:t>
      </w:r>
      <w:r>
        <w:rPr>
          <w:rFonts w:ascii="Arial" w:cs="Arial" w:eastAsia="Arial" w:hAnsi="Arial"/>
          <w:sz w:val="18"/>
          <w:szCs w:val="18"/>
          <w:color w:val="auto"/>
        </w:rPr>
        <w:t>powders inventories below acceptable levels at September 30, 2021. If we need to replace an existing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manufacturer, our products may not be available when required on acceptable terms, or at all. Also, if demand for our products is significantly below our expectations, we may be obligated to pay penalties to our third party contract manufacturers for failing to purchase contracted minimum purchase quantities.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reliance on a limited number of suppliers for certain equipment, ingredients and packaging materials, the price and availability of ingredients and packaging materials, higher freight costs and higher energy costs could negatively impact our business, financial condition, results of operations and cash flows.</w:t>
      </w:r>
    </w:p>
    <w:p>
      <w:pPr>
        <w:spacing w:after="0" w:line="76"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We rely on a limited number of third party suppliers to provide certain equipment, ingredients and packaging materials used in our business. The primary ingredients used in our business include milk-based, whey-based and soy-based proteins, protein blends, sweeteners and vitamin and mineral blends, and one supplier provides the majority of our milk-based protein. The supply and price of these ingredients are subject to market conditions and are influenced by many factors beyond our control, including labor shortages, pandemics (such as the COVID-19 pandemic) or other outbreaks of contagious diseases, animal feed costs, weather patterns affecting ingredient production, governmental programs and regulations, insects, plant diseases and inflation. Our primary packaging materials include aseptic foil and plastic lined cardboard cartons, flexible and rigid plastic film and containers, beverage packaging and corrugate. We utilize a sole supplier for the aseptic packaging for, and our third party contract manufacturers use equipment from the same sole supplier to manufacture,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supply and price of these inputs are subject to market conditions and are impacted by many factors beyond our control, including labor shortages, pandemics (such as the COVID-19 pandemic) and other outbreaks of contagious diseases weather conditions, natural disasters, governmental programs, regulations and trade and tariff policies, insects, plant diseases, inflation and increased demand. Our freight costs have increased and may continue to increase due to factors such as labor shortages, increased fuel costs, limited carrier availability, increased compliance costs associated with new or changing government regulations, pandemics (such as the COVID-19 pandemic) or other outbreaks of contagious diseases and inflation. Higher prices for natural gas, propane, electricity and fuel also may increase our ingredient, production and delivery costs. Historically, the prices of certain of our raw materials, energy and other supplies used in our business have fluctuated widely and this volatility has been heightened during the COVID-19 pandemic. In addition, we have experienced and expect in the future to experience shortages of certain of our raw materials, which result in us paying increased costs for such inputs and impact our ability to produce our products.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prices charged for our products may not reflect changes in our input costs at the time they occur, or at all. Accordingly, changes in input costs may limit our ability to maintain existing margins and may have a material adverse effect on our business, financial condition, results of operations and cash flows. While we try to manage the impact of increases in certain of these costs by locking in prices on quantities required to meet our anticipated production requirements,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identify changing consumer and customer preferences and behaviors and develop and offer products to meet these preferences.</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12529"/>
        </w:rPr>
        <w:t>Consumer and customer preferences and behaviors evolve over time due to a variety of factors. The success of our business depends on our ability to identify these changing preferences and behaviors</w:t>
      </w:r>
      <w:r>
        <w:rPr>
          <w:rFonts w:ascii="Arial" w:cs="Arial" w:eastAsia="Arial" w:hAnsi="Arial"/>
          <w:sz w:val="17"/>
          <w:szCs w:val="17"/>
          <w:color w:val="000000"/>
        </w:rPr>
        <w:t>, to distinguish between short-term trends and long-term changes in such preferences and behaviors,</w:t>
      </w:r>
      <w:r>
        <w:rPr>
          <w:rFonts w:ascii="Arial" w:cs="Arial" w:eastAsia="Arial" w:hAnsi="Arial"/>
          <w:sz w:val="17"/>
          <w:szCs w:val="17"/>
          <w:color w:val="212529"/>
        </w:rPr>
        <w:t xml:space="preserve"> and to continue to develop and offer products that appeal to consumers and customers through the sales channels that they prefer. Consumer preference and behavior changes include dietary trends, attention to different nutritional aspects of foods and beverages, consumer in-home and on-the-go consumption patterns, preferences for certain sales channels, concerns regarding the health effects of certain foods and beverages, attention to sourcing practices relating to ingredients, animal welfare concerns, environmental concerns regarding packaging and attention to other social and governance aspects of our Company and operations. Several of our customers have announced goals to transition to recyclable, compostable or reusable packaging. These changing preferences and requirements could require us to use specially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sourced ingredients and packaging types that may be more difficult to source or entail a higher cost or incremental capital investment which we may not be able to pass on to customers.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Consumers are increasingly shopping through eCommerce websites and mobile commerce applications, particularly during the COVID-19 pandemic, and this trend is significantly altering the retail landscape in our category. If we are unable to effectively compete in the expanding eCommerce market or develop the data analytics capabilities needed to generate actionable commercial insights, our business performance may be impacted, which may negatively impact our financial condition, results of operations and cash flows.</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w:t>
      </w:r>
    </w:p>
    <w:p>
      <w:pPr>
        <w:spacing w:after="0" w:line="7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Although we strive to respond to consumer or customer preferences and social expectations, we may not be successful in these efforts. Any significant changes in consumer or customer preferences or our inability to anticipate or react, or effectively introduce new products in response, to such changes could result in reduced demand for our products, which could negatively impact our business, financial condition, results of operations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or our suppliers’ or third party contract manufacturers’ business practices, our products, packaging or ingredients,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Negative perceptions of the food and beverage industry as a whole, or the convenient nutrition category, may heighten attention from consumers, third parties, the media, governments, stockholders and other stakeholders to such factors and could adversely affect our brand image. The growing use of social and digital media by consumers, us and third parties increases the speed and extent that information or misinformation and opinions can be shared. Negative posts or comments about us, our brands, products or packaging or the food and beverage industry generally on social or digital media (whether factual or not) or security breaches related to use of our social media could seriously damage our brands and reputation. If we do not maintain favorable perceptions of our products and our brands, or if we experience a loss of consumer confidence in our brands, our business, financial condition, results of operations and cash flows could be adversely impacted.</w:t>
      </w:r>
    </w:p>
    <w:p>
      <w:pPr>
        <w:spacing w:after="0" w:line="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in our distribution channels, and competitive, economic and other pressures facing our customers, may hurt our profit margins.</w:t>
      </w:r>
    </w:p>
    <w:p>
      <w:pPr>
        <w:spacing w:after="0" w:line="14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including as a result of the COVID-19 pandemic, would have a material adverse effect on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and profit growth are dependent upon our ability to expand existing market penetration and enter into new markets.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12529"/>
        </w:rPr>
        <w:t>Successful growth depends on our ability to add new customers, enter into new markets, expand the number of products sold through existing customers and enhance our product portfolio</w:t>
      </w:r>
      <w:r>
        <w:rPr>
          <w:rFonts w:ascii="Arial" w:cs="Arial" w:eastAsia="Arial" w:hAnsi="Arial"/>
          <w:sz w:val="18"/>
          <w:szCs w:val="18"/>
          <w:color w:val="000000"/>
        </w:rPr>
        <w:t>. This growth would include expanding the number of our products retailers offer for sale, our product</w:t>
      </w:r>
      <w:r>
        <w:rPr>
          <w:rFonts w:ascii="Arial" w:cs="Arial" w:eastAsia="Arial" w:hAnsi="Arial"/>
          <w:sz w:val="18"/>
          <w:szCs w:val="18"/>
          <w:color w:val="212529"/>
        </w:rPr>
        <w:t xml:space="preserve"> </w:t>
      </w:r>
      <w:r>
        <w:rPr>
          <w:rFonts w:ascii="Arial" w:cs="Arial" w:eastAsia="Arial" w:hAnsi="Arial"/>
          <w:sz w:val="18"/>
          <w:szCs w:val="18"/>
          <w:color w:val="000000"/>
        </w:rPr>
        <w:t xml:space="preserve">placement and our ability to secure additional shelf or retail space for our products, as well as increased access to online platforms to sell our products. The expansion of our business depends on our ability to obtain new, or expand our business with existing, customers, such as club, FDM, eCommerce, convenience and specialty customers. Our failure </w:t>
      </w:r>
      <w:r>
        <w:rPr>
          <w:rFonts w:ascii="Arial" w:cs="Arial" w:eastAsia="Arial" w:hAnsi="Arial"/>
          <w:sz w:val="18"/>
          <w:szCs w:val="18"/>
          <w:color w:val="212529"/>
        </w:rPr>
        <w:t>to successfully add new customers, enter into new markets, expand the number of products sold through</w:t>
      </w:r>
      <w:r>
        <w:rPr>
          <w:rFonts w:ascii="Arial" w:cs="Arial" w:eastAsia="Arial" w:hAnsi="Arial"/>
          <w:sz w:val="18"/>
          <w:szCs w:val="18"/>
          <w:color w:val="000000"/>
        </w:rPr>
        <w:t xml:space="preserve"> </w:t>
      </w:r>
      <w:r>
        <w:rPr>
          <w:rFonts w:ascii="Arial" w:cs="Arial" w:eastAsia="Arial" w:hAnsi="Arial"/>
          <w:sz w:val="18"/>
          <w:szCs w:val="18"/>
          <w:color w:val="212529"/>
        </w:rPr>
        <w:t xml:space="preserve">existing customers and enhance our product portfolio </w:t>
      </w:r>
      <w:r>
        <w:rPr>
          <w:rFonts w:ascii="Arial" w:cs="Arial" w:eastAsia="Arial" w:hAnsi="Arial"/>
          <w:sz w:val="18"/>
          <w:szCs w:val="18"/>
          <w:color w:val="000000"/>
        </w:rPr>
        <w:t>could have a material adverse effect on our business, financial condition, results of operations and</w:t>
      </w:r>
      <w:r>
        <w:rPr>
          <w:rFonts w:ascii="Arial" w:cs="Arial" w:eastAsia="Arial" w:hAnsi="Arial"/>
          <w:sz w:val="18"/>
          <w:szCs w:val="18"/>
          <w:color w:val="212529"/>
        </w:rPr>
        <w:t xml:space="preserve"> </w:t>
      </w:r>
      <w:r>
        <w:rPr>
          <w:rFonts w:ascii="Arial" w:cs="Arial" w:eastAsia="Arial" w:hAnsi="Arial"/>
          <w:sz w:val="18"/>
          <w:szCs w:val="18"/>
          <w:color w:val="000000"/>
        </w:rPr>
        <w:t>cash flows.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products become contaminated or adulterated, or if they are misbranded or mislabeled, we might need to recall or withdraw those items and we may experience product liability claims.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Selling food products, beverages and nutritional supplements involves a number of legal and other risks, including contamination, spoilage, degradation, tampering, mislabeling or other adulteration. Additionally, many of the raw materials used to make certain of our products, particularly milk-based protein and nuts, are vulnerable to spoilage and contamination by naturally occurring molds and pathogens, such as salmonella, and pests. These pathogens may survive in our products as a result of improper handling by customers or consumers. We do not have control over handling procedures once our products have been shipped for distribution. We may need to recall or withdraw some or all of our products if they become damaged, contaminated, adulterated, mislabeled or misbranded, whether caused by us or someone in our manufacturing or supply chain. A recall or withdrawal could result in destruction of product ingredients and inventory, negative publicity, temporary plant closings for us or our third party contract manufacturers, supply chain interruption, substantial costs of compliance or remediation, fines and increased scrutiny by federal, state and foreign regulatory agencies. New scientific discoveries regarding microbes and food manufacturing may bring additional risks and latent liability.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Although we have various insurance programs in place and may have rights to indemnification in certain situations, any of these events or a loss of consumer confidence could have an adverse effect on our business, financial condition, results of operations and cash flows.</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 limited number of customer accounts represents a large percentage of our combined net sales. Our largest customers, Costco and Walmart and its affiliates (which includes Sam’s Club), accounted for approximately 65.3% of our net sales in our year ended September 30, 2021.</w:t>
      </w:r>
    </w:p>
    <w:p>
      <w:pPr>
        <w:spacing w:after="0" w:line="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success of our business depends, in part, on our ability to maintain our level of sales and product distribution through the club, FDM, eCommerce, specialty and convenience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including in response to shifts in consumer purchasing or traffic trends attributable to the COVID-19 pandemic or otherwise, sell another brand on an exclusive or priority basis or change the manner of doing business with us could reduce our revenues and materially adversely affect our business, financial condition, results of operations and cash flows. Our customers also may offer branded and private label products that compete directly with our products for retail shelf space and consumer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purchases. Accordingly, there is a risk that our customers may give higher priority to their own products or to the products of our competitors.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growth has placed, and we expect that our continued growth may place, a significant demand on our management, personnel, systems and resources. Our continued growth will require an increased investment by us in our third party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additional risks.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financial and operational performance. These risks include:</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changes in local regulatory requirements that impact our ability to sell our products in that country;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unfavorable foreign exchange controls and currency exchange rates, including those that may occur as a result of the COVID-19 pandemic;</w:t>
      </w:r>
    </w:p>
    <w:p>
      <w:pPr>
        <w:spacing w:after="0" w:line="12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associated with cross-border product distribution, including those that have been caused or may in the future be caused by the COVID-19 pandemic;</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outbreak of a contagious disease, such as COVID-19, which may cause us or our distributors, third party contract manufacturers, vendors 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political and economic uncertainty and volatility and other events, including social unrest, government shutdowns, terrorist activity, acts of war and travel restrictions, outside of the U.S.;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U.S. laws and regulations affecting operations outside of the U.S., including anti-corruption regulations (such as the U.S. Foreign Corrupt Practices Act), and changes to such laws and regulations;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treaties, antitrust and competition laws, data privacy laws (including the E.U.’s General Data Protection Regulation), anti-corruption laws (including the U.K. Bribery Act), food safety and marketing laws and other regulatory requirements and a variety of other local, national and multi-national regulations and laws in multiple jurisdictions and changes to such laws and regulations;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changes in foreign tax treaties and policies, changes in the mix of earnings in countries with differing statutory tax rates, changes in the valuation of deferred tax assets and liabilities, changes in tax laws or their interpretations or tax audit implications;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difficulty of enforcing intellectual property and contractual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of uncollectible accounts and longer collection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changes in labor conditions and difficulties in staffing our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difficulty and costs of designing and implementing an effective control environment across geographic regions.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Because we have operations and assets in foreign jurisdictions, as well as a portion of our contracts and revenues denominated in foreign currencies, and our consolidated financial statements are presented in U.S. dollars, we must translate our foreign assets, liabilities, revenues and expenses into U.S. dollars at applicable exchange rates. Consequently, fluctuations in the value of foreign currencies relative to the U.S. dollar may negatively affect the value of these items in our consolidated financial statements. Our principal currency exposures are to the Canadian dollar and the Euro. To the extent we fail to manage our foreign currency exposure adequately, we may suffer losses in value of our net foreign currency investment, and our business, financial condition, results of operations and cash flows may be negatively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size and related estimates may prove to be inaccurate.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are made in good faith and are based on assumptions and estimates we believe to be reasonable, they may not be accurate.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are valuable and any inability to protect them, or termination of our material intellectual property licenses, could reduce the value of our products and brands and have a material adverse effect on our business.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 We also are subject to risks associated with protection of our trademarks and other intellectual property licensed to distributors of our products and of our trade secrets to our third 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market certain of our products pursuant to intellectual property license agreements. These licenses give us the right to use certain names, characters and logos in connection with our products and to sell the products. If we were to breach any material term of these license agreements and not timely cure the breach, the licensor could terminate the agreement. If the licensor were to terminate our rights to use the names, characters and logos for this reason or any other reason, or if a licensor decided not to renew a license agreement upon the expiration of the license term, the loss of such rights could have a material adverse effect on our business.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rely on information technology networks and systems to process, transmit and store operating and financial information, to manage and support a variety of business processes and activities and to comply with regulatory, legal and tax requirements. We also depend upon our information technology infrastructure for digital marketing activities and for electronic communications among our locations, personnel, customers, third party contract manufacturers and suppliers. During the COVID-19 pandemic, the importance of such networks and systems increased while many of our employees were working remotely. Our and our third party manufacturing and distribution facilities and inventory management utilize information technology to increase efficiencies and control costs. Our and our third party vendors’ information technology systems may be vulnerable to a variety of invasions, interruptions or malfunctions due to events beyond our or their control, including, but not limited to, natural disasters, terrorist attacks, telecommunications failures, power outages, computer viruses, ransomware and malware, hardware or software failures, cybersecurity incidents, hackers and other causes. Such invasions, interruptions or malfunctions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w:t>
      </w:r>
    </w:p>
    <w:p>
      <w:pPr>
        <w:spacing w:after="0" w:line="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any of our significant information technology systems suffers severe damage, disruption or shutdown, including by malicious or unintentional actions of contractors or employees or by cyber attacks,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5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also are subject to an evolving body of federal, state and foreign laws, regulations, guidelines and principles regarding data privacy, data protection and data security. Several states as well as foreign governments have laws and regulations dealing with the collection and use of personal information obtained from their data subjects, including the General Data Protection Regulation, the E.U.’s retained version of General Data Protection Regulation and the California Privacy Rights Act, and we could incur substantial penalties or litigation related to violations of such laws and regulations.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reputation and operations.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protein blends, sweeteners and vitamin and mineral blends. In addition, increases in the frequency and severity of extreme weather and natural disasters may result in damage and disruptions to our manufacturing operations and distribution channels or our third party contract manufacturers’ operations, particularly where a product is primarily sourced from a single location. Also, the impacts of these climate changes may cause unpredictable water availability or exacerbate water scarcity. Water is critical to our business, and the lack of available water of acceptable quality may lead to, among other things, adverse effects on our operations. The increasing concern over climate change and related environmental sustainability matters also may result in more federal, state, local and foreign legal requirements to reduce or mitigate the effects of greenhouse gases or conserve and replenish water. If such laws are enacted, we may experience significant increases in our costs of operation and delivery. Further, our business could be adversely affected if we are unable to effectively address increased concerns from the media, stockholders and other stakeholders on climate change and related environmental sustainability and governance matters. In addition, any failure to achieve goals we may set with respect to reducing our impact on the environment or perception of a failure to act responsibly with respect to the environment can lead to adverse publicity, which could damage our reputation. As a result, climate change could negatively affect our business, financial condition, results of operations and cash flows.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may evaluate potential acquisitions or other strategic transactions.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 Companies or operations we acquire or joint ventures we enter into may not be profitable or may not achieve the anticipated profitability that justify our investments.</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Economic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substantial debt and high leverage, which could have a negative impact on our financing options and liquidity position and which could adversely affect our business.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significant amount of debt. As of September 30, 2021, we had $609.9 million in aggregate principal amount of total debt. Additionally, our secured revolving credit facility has a remaining borrowing capacity of $200.0 million as of September 30, 2021 (all of which would be secured when drawn).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 particularly if any ratings assigned to our debt securities by ratings organizations were revised downward;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obligations under the terms of our financing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the impact of pandemics (including the COVID-19 pandemic) and other outbreaks of contagious diseases, potential changes in consumer and customer preferences and behaviors, the success of product and marketing innovation and pressure from competitors. If we do not generate enough cash to pay our debt service obligations, we may be required to refinance all or part of our existing debt, sell assets, borrow more money or issue additional equity.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level of indebtedness, we may be able to incur substantially more debt, which could further exacerbate the risks related to our debt leverage, and we may in any event be required to maintain a minimum level of indebtedness.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order to preserve its intended tax treatment in connection with the formation transactions that were undertaken as part of our IPO, we expect that, so long as Post has the ability to control us, Post will require that BellRing LLC maintain a minimum level of outstanding indebtedness equal to approximately $500.0 million, which takes into consideration the estimated amount of undistributed taxable income of BellRing LLC and its subsidiaries allocable to Post for the fiscal year ended September 30, 2021. See “Post controls our Company and has the ability to control the direction of our business” and “Post’s interests may conflict with our interests and the interests of our other stockholders. Conflicts of interest or disputes between Post and our Company could be resolved in a manner unfavorable to our Company and our other stockholders.”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 borrow money or guarantee debt; create liens; pay dividends on or redeem or repurchase stock or other securities; make investments and acquisitions; enter into, or permit to exist, contractual limits on the ability of our subsidiaries to pay dividends to us; enter into new lines of business; enter into transactions with affiliates; and sell assets or merge with other companies.</w:t>
      </w:r>
    </w:p>
    <w:p>
      <w:pPr>
        <w:spacing w:after="0" w:line="7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Various risks, uncertainties and events beyond our control, including the impact of pandemics (including the COVID-19 pandemic) and other outbreaks of contagious diseases,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 Our credit agreement contains customary financial covenants, including a covenant requiring BellRing LLC to maintain a total net leverage ratio (as defined in our credit agreement) not to exceed 6.00:1.00, as measured as of the last day of each fiscal quarter. 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Our ability to generate cash depends on many factors beyond our control, including the impact of the COVID-19 pandemic on our operations.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BellRing LLC’s ability to pay principal and interest on its debt obligations and to fund any planned capital expenditures and other cash needs will depend in part upon the future financial and operating performance of BellRing LLC and its subsidiaries. Prevailing economic conditions and financial, business, competitive, legislative, regulatory and other factors, many of which are beyond our control, including the impact of pandemics (including the COVID-19 pandemic) and other outbreaks of contagious diseases, will affect BellRing LLC’s ability to make these payments.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BellRing LLC is unable to make payments or we are unable to refinance our debt or obtain new financing under these circumstances, we may consider other options, including: sales of assets; sales of equity; reductions or delays of capital expenditures, strategic acquisitions, investments and alliances; or negotiations with our lenders to restructure the applicable debt.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negatively affect our earnings.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2021, the aggregate principal amount of our debt instruments with exposure to interest rate risk was $609.9 million. As a result, higher interest rates will increase the cost of servicing our financial instruments with exposure to interest rate risk and could materially reduce our profitability and cash flows. As of September 30, 2021, each one hundred basis points change in the London Interbank Offered Rate (“LIBOR”) rates would result in an approximate $3.0 million change in the annual cash interest expense, before any principal payment, on our financial instruments with exposure to interest rate risk, including the impact of the $350.0 million in interest rate swap agreements and excluding the impact of any interest rate floors (as defined in our credit agreement).</w:t>
      </w:r>
    </w:p>
    <w:p>
      <w:pPr>
        <w:spacing w:after="0" w:line="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U.K. Financial Conduct Authority (the “FCA”) announced that it intends to phase out LIBOR by the end of 2021; in March 2021, the FCA extended the transition dates of certain LIBOR tenors (including tenors used in BellRing LLC’s credit agreement) to June 30, 2023, after which the LIBOR reference rates will cease to be provided. Certain of our variable rate debt use LIBOR as a benchmark for establishing interest rates. In addition, certain hedging transactions reference LIBOR as a benchmark rate in order to determine the applicable interest rate or payment amount. While BellRing LLC’s credit agreement contains provisions intended to address the anticipated unavailability of LIBOR, it is unclear if alternative rates or benchmarks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will be widely adopted. In the event LIBOR is discontinued, replaced or significantly changed, or ceases to be recognized as an acceptable benchmark, there may be uncertainty or differences in the calculation of the applicable interest rate or payment amount depending on the terms of the governing instrument. This could result in different financial performance for existing transactions, require different hedging strategies and require renegotiation for existing instruments. In addition, the transition from LIBOR could have a significant impact on the overall interest rate environment. While we do not expect the transition from LIBOR and the risks thereto to have a material adverse effect on us, it remains uncertain at this time.</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borrowing costs and access to capital and credit markets could be adversely affected by a downgrade or potential downgrade of our credit ratings.</w:t>
      </w:r>
    </w:p>
    <w:p>
      <w:pPr>
        <w:spacing w:after="0" w:line="1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Rating agencies routinely evaluate us, and their ratings of our long-term and short-term debt are based upon a number of factors, including our cash generating capability, levels of indebtedness, policies with respect to shareholder distributions and financial strength generally, as well as factors beyond our control, such as the then-current state of the economy and our industry generally. Any downgrade of our credit ratings by a credit rating agency, whether as a result of our actions or factors which are beyond our control, can increase our future borrowing costs, impair our ability to access capital and credit markets on terms commercially acceptable to us or at all and result in a reduction in our liquidity. Our borrowing costs and access to capital markets also can be adversely affected if a credit rating agency announces that our ratings are under review for a potential downgrade. An increase in our borrowing costs, limitations on our ability to access the global capital and credit markets or a reduction in our liquidity can adversely affect our financial condition, results of operations and cash flows.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 or unfavorable economic conditions, including as a result of the COVID-19 pandemic, could limit consumer and customer demand for our products or otherwise adversely affect us.</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willingness of consumers to purchase our products depends in part on general or local economic conditions and consumers’ discretionary spending habits. In periods of adverse or uncertain economic conditions, including as a result of the COVID-19 pandemic, consumers may purchase less of our products, purchase more value or private label products or may forgo certain purchases altogether. In addition, our customers may seek to reduce their inventories in response to those economic conditions. In those circumstances, we could experience a reduction in sales. Further, during economic downturns, it may be more difficult to convince consumers to switch to, or continue to use, our brands or convince new users to choose our brands without expensive sampling programs and price promotions. Also, as a result of economic conditions, including as a result of the COVID-19 pandemic, we may be unable to raise our prices sufficiently to protect profit margins. Further, uncertain or unfavorable economic conditions, including as a result of the COVID-19 pandemic, has and could continue to negatively impact the financial stability of our customers or suppliers, which could lead to increased uncollectible receivables or non-performance. Any of these events could have an adverse effect on our business, financial condition, results of operations and cash flows.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including those that have arisen as a result of the COVID-19 pandemic, could negatively affect our liquidity, increase our costs of borrowing and disrupt the operations of our suppliers and customers.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During the COVID-19 pandemic, there have been periods, and there may in the future be periods, of increased volatility and pricing in the capital markets. This and other events affecting the credit markets also have had, and may in the future have, an adverse effect on other financial markets in the U.S., which may make it more difficult or costly for us to raise capital through the issuance of common stock or other equity securities or refinance our existing debt, sell our assets or borrow money, if necessary. Our business also could be negatively impacted if our suppliers or customers experience disruptions resulting from tighter capital and credit markets or a slowdown in the general economy, whether resulting from the COVID-19 pandemic or otherwise.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balance sheet includes intangible assets, including goodwill, trademarks, trade names and other acquired intangibles. Goodwill is expected to contribute indefinitely to our cash flows and is not amortized.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amortization (“EBITDA”) and revenue multiples, changes in discount rates based on changes in cost of capital (interest rates, etc.) or the loss or bankruptcy of a significant customer. These factors, along with other internal and external factors, could have a significant negative impact on our fair value determination, which could then result in a material impairment charge in our results of operations. No impairments were recorded in the years ended September 30, 2021, 2020 and 2019. However, we could have impairments in the future.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implementation of business strategies to reduce costs, or unintended consequences of the implementation of such strategies, may adversely affect our business, financial condition, results of operations and cash flows.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Many of our costs, such as freight, raw materials and energy, are outside of our control. Therefore, we must seek to reduce costs in other areas, such as through operating efficiency. If we are not able to complete projects designed to reduce costs and increase operating efficiency on time or within budget, or if the implementation of these projects results in unintended consequences, such as business disruptions, distraction of management and employees or reduced productivity, our business, financial condition, results of operations and cash flows may be adversely impacted. In addition, if the cost-saving initiatives we have implemented, or any future cost-saving initiatives, do not generate the expected cost savings and synergies, our business, financial condition, results of operations and cash flows may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proposed distribution by Post of a significant portion of its ownership interest in our Company is subject to various conditions and may not occur.</w:t>
      </w:r>
    </w:p>
    <w:p>
      <w:pPr>
        <w:spacing w:after="0" w:line="1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26, 2021, BellRing Inc. and Post entered into the Transaction Agreement with respect to the Post Distribution Transaction, pursuant to which Post will, on the terms and subject to the conditions therein, distribute a significant portion of its ownership interest in our Company. Immediately following the Distribution and Merger, it is expected that Post will own no more than 14.2% of the New BellRing common stock and Post shareholders will own at least 57.0% of the New BellRing common stock. Legacy holders of our Class A Common Stock will own approximately 28.8% of the New BellRing common stock, maintaining their current effective ownership interest in our business. See “Business-Our Organizational Structure” in Item 1 of this report for more information regarding the Post Distribution Transaction.</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obligations of our Company and Post to complete the Post Distribution Transaction are subject to a number of conditions, including, among other things: (a) the approval of the holders of (i) a majority in voting power of the then-outstanding shares of common stock of BellRing and (ii) a majority in voting power of the then-outstanding shares that are not owned, directly or indirectly, by Post, New BellRing or any of their respective affiliates; (b) the absence of any law or order from any court or governmental authority restraining, enjoining or prohibiting the Post Distribution Transaction, (c) receipt of opinions with respect to the intended tax treatment of the Merger, (d) the applicable registration statements of New BellRing having become effective under the Securities Act of 1933, as amended, and (e) the shares of New BellRing common stock to be distributed in the Distribution and issued in the Merger having been approved for listing on the NYSE. No assurance can be given that any of the foregoing conditions or the other conditions set forth in the Transaction Agreement will be met.</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not be able to complete the proposed Post Distribution Transaction on the terms described above or on other acceptable terms or at all because of a number of factors, including, among other things: (a) the occurrence of any event, change or other circumstances that could give rise to the termination of the Transaction Agreement, (b) the failure to obtain adequate financing sources for the New BellRing indebtedness to be issued to Post and to be used to fund the cash portion of the merger consideration payable to our stockholders other than Post and its affiliates, and (c) any other failure of us and Post to meet the conditions described above or other conditions set forth in the Transaction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Post Distribution Transaction is consummated, we will be subject to a variety of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Post Distribution Transaction is consummated, we will be subject to the following risks, among others:</w:t>
      </w:r>
    </w:p>
    <w:p>
      <w:pPr>
        <w:spacing w:after="0" w:line="117"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New BellRing to incur significant indebtedness in connection with the Post Distribution Transaction. After giving effect to the Distribution and the Merger, New BellRing will have pro forma net leverage of up to 4.0x;</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Post Distribution Transaction will require significant amounts of time and effort which could divert management’s attention from the operation and growth of our business and other strategic endeavors;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be required to bear a number of non-recurring costs in connection with the Post Distribution Transaction, including financial, legal and other advisory fees, financing fees, SEC filing fees and expenses, printing expenses and other related charges; and</w:t>
      </w:r>
    </w:p>
    <w:p>
      <w:pPr>
        <w:spacing w:after="0" w:line="62"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a certain period following the consummation of the Post Distribution Transaction, we will no longer benefit from certain services provided by Post to us under a master services agreement, including certain legal, finance, internal audit, treasury, information technology, support, human resources, insurance and tax services. As a result, our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expenses related to such support functions may increase following the consummation of the Post Distribution Transaction.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following the completion of the Post Distribution Transaction, the anticipated operational, financial, strategic and other benefits of such transaction to the Company and our stockholders may not be achieved. An inability to realize the full extent of the anticipated benefits of the Post Distribution Transaction, as well as any delays encountered in the process, could have an adverse effect on our business, financial condition, results of operations and cash flows, and also may negatively affect our ability to successfully execute our growth strategy.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controls our Company and has the ability to control the direction of our business.</w:t>
      </w:r>
    </w:p>
    <w:p>
      <w:pPr>
        <w:spacing w:after="0" w:line="1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Post owns the share of our Class B Common Stock, which, for so long as Post or its affiliates (other than us) directly own more than 50% of the BellRing LLC units, represents 67% of the total voting power of both classes of our outstanding common stock.</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long as Post or its affiliates (other than us) owns more than 50% of the BellRing LLC units, it will be able to control nearly all corporate actions that require a stockholder vote, regardless of the vote of any other stockholder. As a result, Post has the ability to control significant matters involving us, including:</w:t>
      </w:r>
    </w:p>
    <w:p>
      <w:pPr>
        <w:spacing w:after="0" w:line="7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determinations with respect to mergers, business combinations, dispositions of assets or other extraordinary corporate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our Class A Common Stock available for issuance under our equity incentive plans for our prospective and existing employees;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LLC units, Post will have the ability to substantially influence these matters for as long as it owns a significant portion of the voting power.</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an investment in us to decline.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Post Distribution Transaction is consummated, following such transaction, Post will no longer own more than 50% of the BellRing LLC units or a majority voting interest in our Company.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Post, if it has redeemed BellRing LLC units for shares of our Class A Common Stock, generally has the right at any time to sell or otherwise dispose of the shares of our Class A Common Stock that it owns, including the ability to transfer a controlling interest in us to a third party, without the approval of any other stockholder and without providing for a purchase of any other stockholder’s shares of Class A Common Stock. Post and its affiliates may also directly transfer their BellRing LLC units to third parties without the consent or approval of the Board of Managers of BellRing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number of votes to which such share of Class B Common Stock is entitled on all matters in which our stockholders generally are entitled to vote equal to the number of BellRing LLC units held by such third party in the event that Post or its applicable affiliate, as the holder of the share of our Class B Common Stock, holds in the aggregate 50% or less of the BellRing LLC units.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Potential conflicts of interest or disputes may arise between Post and us in a number of areas relating to our past or ongoing relationships, including:</w:t>
      </w:r>
    </w:p>
    <w:p>
      <w:pPr>
        <w:spacing w:after="0" w:line="14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Transaction Agreement and the Post Distribution Transaction;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our IPO;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LLC;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various ancillary agreements that we entered into with Post in connection with our IPO are of varying durations and may be amended upon agreement of the parties. The terms of these agreements were primarily determined by Post, and, therefore, may not be representative of the terms we could have obtained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Company has overlapping directors and management with Post, which may lead to conflicting interests or the appearance of conflicting interests.</w:t>
      </w:r>
    </w:p>
    <w:p>
      <w:pPr>
        <w:spacing w:after="0" w:line="1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our officers and directors also serve as officers or directors of Post. Our officers and members of our Board of Directors have fiduciary duties to our stockholders. Likewise, any such persons who serve in similar capacities at Post have fiduciary duties to Post’s shareholders. Therefore, such persons may have conflicts of interest or the appearance of conflicts of interest with respect to matters involving or affecting us and Post. In addition, some of our officers or members of our Board of Directors may own equity or options to purchase equity in Post. Such ownership interests may create, or appear to create, conflicts of interest when the applicable individuals are faced with decisions that could have different implications for us and Post. The appearance of conflicts of interest created by such overlapping relationships also could impair the confidence of our investors.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amended and restated certificate of incorporation includes certain provisions regulating and defining the conduct of our affairs to the extent that they may involve Post and its directors, officers, employees, agents and affiliates (except that we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Moreover, our amended and restated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take certain actions because such actions could jeopardize the tax-free status of the Post Distribution Transaction, and such restrictions could be significant.</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preserve the tax-free treatment of the Post Distribution Transaction, for the initial two-year period following the Post Distribution Transaction, we are prohibited, except in limited circumstances, from taking or failing to take certain actions that would prevent the spin-off and related transactions from being tax-free, including: (1) issuing any equity securities or securities that could possibly be converted into our equity securities, including as acquisition currency for a merger or acquisition (but excluding certain equity compensation for employees); (2) redeeming or repurchasing our equity securities or New BellRing debt or (3) entering into any transaction pursuant to which our stock would be acquired, whether by merger or otherwise. These restrictions will not apply if we deliver an unqualified “will”-level tax opinion of a nationally recognized accounting firm or law firm (“BellRing Tax Counsel”) that the action will not cause the Post Distribution Transaction to be taxable.</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Post Distribution Transaction is consummated, we may be responsible for U.S. federal income tax liabilities that relate to the Post Distribution Transaction.</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completion of the Post Distribution Transaction is conditioned on the receipt by Post of an opinion of a nationally recognized accounting firm or law firm (“spin-off Tax Counsel” and, together with BellRing Tax Counsel, “Tax Counsel”) to the effect that the Separation should qualify as tax-free under Sections 368(a) and 355 of the Internal Revenue Code (the “Code”) and the Distribution should qualify as a tax-free distribution under Sections 355 and 361 of the Code. The completion of the Post Distribution Transaction is also conditioned on the receipt by us of an opinion of BellRing Tax Counsel to the effect that the Merger will qualify for tax-free treatment under Section 368(a) of the Code. An opinion of Tax Counsel is not binding on the IRS. Accordingly, the IRS may reach conclusions with respect to the Post Distribution Transaction that are different from the conclusions reached in the opinions. The opinions will be based on certain factual statements and representations, which, if incomplete or untrue in any material respect, could alter Tax Counsel’s conclusions. We are not aware of any facts or circumstances that would cause any such factual statements or the opinion of Tax Counsel to be incomplete or untrue.</w:t>
      </w:r>
    </w:p>
    <w:p>
      <w:pPr>
        <w:spacing w:after="0" w:line="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all or a portion of the Post Distribution Transaction does not qualify as a tax-free transaction for any reason, including because any of the factual statements or representations in the legal opinions are incomplete or untrue, Post may recognize a substantial gain for U.S. federal income tax purposes.</w:t>
      </w:r>
    </w:p>
    <w:p>
      <w:pPr>
        <w:spacing w:after="0" w:line="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the spin-off otherwise qualifies as a tax-free transaction for U.S. federal income tax purposes, the distribution will be taxable to Post (but not to Post stockholders) pursuant to Section 355(e) of the Code if there are (or have been) one or more acquisitions (including issuances) of our stock or the stock of Post, representing 50 percent or more, measured by vote or value, of the stock of any such corporation and the acquisition or acquisitions are deemed to be part of a plan or series of related transactions that include the Distribution. Any acquisition of our common stock within two years before or after the Distribution (with exceptions, including public trading by less-than-5 percent stockholders and certain compensatory stock issuances) generally will be presumed to be part of such a plan unless that presumption is rebutted. The resulting tax liability would be substantial.</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agreed not to enter into certain transactions that could cause any portion of the Post Distribution Transaction to be taxable to Post, including under Section 355(e) of the Code. Pursuant to a tax matters agreement with Post, we have also agreed to indemnify Post for any tax liabilities resulting from such transactions or other actions we take, and Post has agreed to indemnify us for any tax liabilities resulting from transactions entered into by Post. These obligations may discourage, delay or prevent a change of control of our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Post require us to indemnify Post for certain tax liabilities.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our IPO, BellRing Inc. and BellRing LLC entered into a tax matters agreement with Post. Under the tax matters agreement, Post is responsible for all taxes for Post’s historical active nutrition business which relate to pre-IPO periods, and BellRing LLC generally is responsible for (i) all taxes imposed with respect to any consolidated, combined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unitary tax return of Post or any of its subsidiaries that includes BellRing LLC or any of its subsidiaries to the extent such taxes relate to post-IPO periods and are attributable to BellRing LLC or any of its subsidiaries, as determined under the tax matters agreement, and (ii) all taxes that relate to post-IPO periods imposed with respect to any consolidated, combined, unitary or separate tax returns of BellRing LLC or any of its subsidiaries, as determined under the tax matters agreement. To the extent Post fails to pay taxes imposed with respect to any consolidated, combined or unitary tax return of Post or any of its subsidiaries that includes BellRing Inc. or any of its subsidiaries, the relevant taxing authority could seek to collect such taxes (including taxes for which Post is responsible under the tax matters agreement) from BellRing Inc. or its subsidiaries.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LLC requires us to make cash payments to Post for certain tax benefits we may realize in the future, and these payments could be substantial.</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Post (or certain of its transferees or assignees) may redeem BellRing LLC units for, at the option of BellRing LLC (as determined by its Board of Managers), shares of our Class A Common Stock or cash pursuant to the amended and restated limited liability company agreement of BellRing LLC (the “BellRing LLC Agreement”). These redemptions, the formation transactions that were undertaken in connection with our IPO and certain actual or deemed distributions from BellRing LLC to Post (or certain of its transferees or assignees) or deemed sales by Post (or certain of its transferees or assignees) to BellRing Inc. or BellRing LLC of BellRing LLC units or assets, may result in increases in our pro rata share of the tax basis of BellRing LLC’s assets that otherwise would not have been available. Such increases in tax basis are likely to increase (for tax purposes) depreciation and amortization deductions allocable to us and therefore reduce the amount of income tax attributable to BellRing LLC’s operations we would otherwise be required to pay in the future and also may decrease gain (or increase loss) otherwise allocable to us from BellRing LLC on future dispositions of certain of BellRing LLC’s assets to the extent the increased tax basis is allocated to those assets. Furthermore, under Section 704(c) of the Code, we will be entitled to certain tax benefits generated by the pre-existing, contributed tax basis in BellRing LLC’s assets in excess of our pro rata share of such basis at the time of the partnership’s formation. The Internal Revenue Service (the “IRS”) may challenge all or part of these tax basis increases and tax benefits and no assurances can be made regarding the availability of these tax basis increases or other tax benefits.</w:t>
      </w:r>
    </w:p>
    <w:p>
      <w:pPr>
        <w:spacing w:after="0" w:line="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connection with our IPO, BellRing Inc. entered into the tax receivable agreement with Post and BellRing LLC. Under the tax receivable agreement, BellRing Inc. is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Inc.), that we realize (or, in some circumstances, we are deemed to realize) as a result of (a) the increase in the tax basis of the assets of BellRing LLC attributable to (i) the redemption of BellRing LLC units by Post (or certain of its transferees or assignees) pursuant to the BellRing LLC Agreement, (ii) deemed sales by Post (or certain of its transferees or assignees) of BellRing LLC units or assets to BellRing Inc. or BellRing LLC, (iii) certain actual or deemed distributions from BellRing LLC to Post (or certain of its transferees or assignees) and (iv) certain formation transactions that were undertaken in connection with our IPO, (b) disproportionate allocations of tax benefits to BellRing Inc. as a result of Section 704(c) of the Code and</w:t>
      </w:r>
    </w:p>
    <w:p>
      <w:pPr>
        <w:spacing w:after="0" w:line="1" w:lineRule="exact"/>
        <w:rPr>
          <w:sz w:val="20"/>
          <w:szCs w:val="20"/>
          <w:color w:val="auto"/>
        </w:rPr>
      </w:pPr>
    </w:p>
    <w:p>
      <w:pPr>
        <w:jc w:val="both"/>
        <w:ind w:firstLine="8"/>
        <w:spacing w:after="0" w:line="286" w:lineRule="auto"/>
        <w:tabs>
          <w:tab w:leader="none" w:pos="2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Inc. to calculate tax benefits. Payments under the tax receivable agreement are not conditioned on Post’s continued ownership of BellRing LLC units or our Class A Common Stock or Class B Common Stock. The payment obligation is a payment obligation of BellRing Inc. and not of BellRing LLC.</w:t>
      </w:r>
    </w:p>
    <w:p>
      <w:pPr>
        <w:spacing w:after="0" w:line="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Post (or its transferees or assignees) may determine to redeem any or all of its BellRing LLC units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LLC at the time of the redemption, the extent to which such redemptions are taxable, the tax rates then applicable and the amount and timing of our income.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not be reimbursed for any payments made to Post under the tax receivable agreement in the event that any tax benefits are disallowed.</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Payments under the tax receivable agreement will be based on the tax reporting positions that we determine, and the IRS or another tax authority may challenge all or part of the tax basis increases, as well as other related tax positions we take, and 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tax receivable agreement provides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LLC units are actually redeemed. Such obligations under the tax receivable agreement, however, would not arise if Post distributes its beneficial retained interest in BellRing LLC by means of a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w:t>
      </w:r>
    </w:p>
    <w:p>
      <w:pPr>
        <w:spacing w:after="0" w:line="6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organizational structure, including the fact that Post owns more than 50% of the voting power of our outstanding common stock and holds its economic interest in BellRing LLC directly, confers certain benefits upon Post that will not benefit the holders of our Class A Common Stock to the same extent as they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Inc.) that we realize (or, in some circumstances, we are deemed to realize) as a result of (a) the increase in the tax basis of assets of BellRing LLC attributable to (i) the redemption of BellRing LLC units by Post (or certain of its transferees or assignees) pursuant to the BellRing LLC Agreement, (ii) deemed sales by Post (or certain of its transferees or assignees) of BellRing LLC units or assets to BellRing Inc., (iii) certain actual or deemed distributions from BellRing LLC to Post (or certain of its transferees or assignees) and (iv) certain formation transactions that were undertaken in connection with our IPO, (b) disproportionate allocations of tax benefits to BellRing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6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event Post is acquired or otherwise experiences a change in control, any acquirer or successor will generally succeed to the rights and obligations of BellRing LLC (including under the tax receivable agreement), and the same considerations described above apply to any such successor parties.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the BellRing LLC Board of Managers elects to make cash payments rather than issue shares of our Class A Common Stock in future redemptions of BellRing LLC units, such cash payments may reduce the amount of overall cash flow that would otherwise be available to us.</w:t>
      </w:r>
    </w:p>
    <w:p>
      <w:pPr>
        <w:spacing w:after="0" w:line="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the terms of the BellRing LLC Agreement, BellRing LLC units may be redeemed at any time for, at the option of BellRing LLC (as determined by its Board of Managers), (i) shares of our Class A Common Stock or (ii) cash (based on the market price of the shares of our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LLC, and also may negatively affect our ability to successfully execute our growth strategy.</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Post generally has the right at any time, if it has redeemed BellRing LLC units for shares of our Class A Common Stock, to sell or otherwise dispose of all or a portion of the shares of our Class A Common Stock that it owns to third parties. Post and its affiliates may also directly transfer their BellRing LLC units to third parties without the consent or approval of the Board of Managers of BellRing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LLC units, will provide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LLC units held by such third party. In addition,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Post has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services that Post provides to us may not be sufficient to meet our needs, which may result in increased costs and otherwise adversely affect our business.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our IPO, BellRing Inc., BellRing LLC and Post entered into a master services agreement (the “MSA”) pursuant to which Post provides certain services to us, such as legal, finance, internal audit, treasury, information technology, support, human resources, insurance and tax matters. Post is not currently obligated to provide these services in a manner that differs from the nature of the services it provided to us prior to our IPO, and thus we may not be able to modify these services in a manner desirable to us.In connection with the Post Distribution Transaction, we will enter into an amended and restated master services agreement, which will provide the terms governing such services following the Distribution. If we no longer receive these services from Post prior to, or following, the Post Distribution Transaction, we may not be able to perform these services ourselves or to find appropriate third party arrangements at a reasonable cost, and the cost may be higher than that charged by Post.</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is subject to a variety of laws and regulations administered by federal, state and local government authorities in the U.S., as well as government authorities outside of the U.S., including requirements related to food safety, quality, manufacturing, processing, storage, marketing, advertising, labeling, distribution and worker health and workplace safety. Our activities, both inside and outside of the U.S., are subject to extensive regulation. In the U.S., we are regulated by, and our activities are affected by, among other federal, state and local authorities and regulations, the FDA, the USDA, the Federal Trade Commission, the Occupational Safety and Health Administration and California’s Safe Drinking Water and Toxic Enforcement Act of 1986 (Proposition 65). In Europe, we are regulated by, among other authorities, the U.K.’s Food Standards Agency, Health and Safety Executive, Environment Agency, Environmental Health, the Information Commissioners Office and the Trading Standards Office and their equivalents in E.U. member states. We also are regulated by similar authorities elsewhere in the world where our products are distributed.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Governmental regulations also affect taxes and levies, tariffs, import and export restrictions, healthcare costs, energy usage, data privacy and immigration and labor issues, any or all of which may have a direct or indirect effect on our business or the businesses of our customers, suppliers or third party contract manufacturers. In addition, we could be the target of claims relating to alleged false or deceptive advertising under federal, state and foreign laws and regulations. We also may be impacted by changes to administrative policies, such as business restrictions, tariffs and trade agreements, in markets in which we manufacture, sell or distribute our products. For example, the COVID-19 pandemic has resulted in quarantines, travel restrictions, product and equipment seizures, import and export restrictions, price controls, governmental and regulatory actions, mandatory business closures and other restrictions that have adversely impacted and could in the future adversely impact our operations.</w:t>
      </w:r>
    </w:p>
    <w:p>
      <w:pPr>
        <w:spacing w:after="0" w:line="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impact of current laws and regulations, changes in, or changes in interpretations of, these laws or regulations or the introduction of new laws or regulations could increase the costs of doing business for us or our customers or suppliers or third party contract manufacturers,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It also is possible that federal, state, local or foreign enforcement authorities might take regulatory or enforcement action, which could result in significant fines or penalties</w:t>
      </w:r>
      <w:r>
        <w:rPr>
          <w:rFonts w:ascii="Arial" w:cs="Arial" w:eastAsia="Arial" w:hAnsi="Arial"/>
          <w:sz w:val="17"/>
          <w:szCs w:val="17"/>
          <w:color w:val="212529"/>
        </w:rPr>
        <w:t>, revocations of required licenses or injunctions, as well as potential criminal sanctions</w:t>
      </w:r>
      <w:r>
        <w:rPr>
          <w:rFonts w:ascii="Arial" w:cs="Arial" w:eastAsia="Arial" w:hAnsi="Arial"/>
          <w:sz w:val="17"/>
          <w:szCs w:val="17"/>
          <w:color w:val="auto"/>
        </w:rPr>
        <w:t xml:space="preserve">.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w:t>
      </w:r>
      <w:r>
        <w:rPr>
          <w:rFonts w:ascii="Arial" w:cs="Arial" w:eastAsia="Arial" w:hAnsi="Arial"/>
          <w:sz w:val="17"/>
          <w:szCs w:val="17"/>
          <w:color w:val="212529"/>
        </w:rPr>
        <w:t>Any of these events would negatively impact our revenues and costs of operations.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may be impacted by changes to administrative policies, such as business restrictions, tariffs and trade agreements, in markets in which we or our third party contract manufacturers manufacture, sell or distribute our products. The COVID-19 pandemic has resulted in quarantines, import and export restrictions, price controls, governmental and regulatory actions, mandatory business closures and other restrictions that could adversely impact our operations.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of our products are regulated by the FDA as dietary supplements, which are subject to FDA regulations and levels of regulatory scrutiny different from those applicable to conventional food. Internationally, the convenient nutrition category is regulated as food and dietary supplements. Such heightened regulatory scrutiny results in increased costs of operations and the potential for delays in product sales. In addition,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and future litigation and claims may impair our reputation or lead us to incur significant costs.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or may become, party to various lawsuits and claims arising in the normal course of business, which may include lawsuits or claims relating to contracts, third party contract manufacturers, intellectual property infringement, product recalls, product liability, false or deceptive advertising, employment matters, environmental matters or other aspects of our business. There has been a recent increase in lawsuits filed against food and beverage companies alleging deceptive advertising and labeling. In addition, actions we have taken or may take, or decisions we have made or may make, as a consequence of the COVID-19 pandemic, may result in legal claims or litigation against us. Negative publicity resulting from allegations made in lawsuits or claims asserted against us, whether or not valid, may adversely affect our reputation. In addition, we may be required to pay damage awards or settlements, become subject to injunctions or other equitable remedies, be required to modify our business processes, practices or products or be required to stop selling certain of our products. In addition, intellectual property infringement litigation or claims could cause us to cease making, licensing or using products that incorporate the challenged intellectual property, require us to redesign or rebrand our products or packaging, if feasible, or require us to enter into royalty or licensing agreements in order to obtain the right to use a third party’s intellectual property. Any or all of these consequences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various insurance programs in place, the potential liabilities associated with lawsuits and claims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 Certain environmental laws and regulations can impose joint and several liability without regard to fault on responsible parties, including past and present owners and operators of sites, related to cleaning up sites at which hazardous materials were disposed of or released. Failure to comply with environmental laws and regulations could result in severe fines and penalties by governments or courts of law. In addition, future laws may more stringently regulate the emission of greenhouse gases, particularly carbon dioxide and methane.</w:t>
      </w:r>
    </w:p>
    <w:p>
      <w:pPr>
        <w:spacing w:after="0" w:line="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Future events, such as new or more stringent environmental laws and regulations, new environmental claims, the discovery of currently unknown environmental conditions requiring responsive action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as a separate public company, and our historical financial information is not necessarily representative of the results we will achieve as a separate public company and may not be a reliable indicator of our future results.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historical financial information we have included in this report related to the period prior to our IPO in October 2019 does not reflect what our financial position, results of operations or cash flows would have been had we been a separate public company during those historical periods, or what our financial position, results of operations or cash flows will be in the future as a separate public company.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and will continue to incur additional expenses to create and maintain the corporate infrastructure to operate as a public company, and we have and will continue to experience increased ongoing costs in connection with being a public company.</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IPO, our business had historically used some of Post’s corporate infrastructure and services to support our business functions. The expenses related to establishing and maintaining this infrastructure had been spread across all of Post’s businesses and charged to us on a cost-allocation basis. After our IPO, except as described below, we no longer have access to Post’s infrastructure or services, and we have had to establish our own. The services historically provided to us by Post included finance, information technology, legal, human resources, quality, supply chain and purchasing functions. Following our IPO, we continue to receive some of these services pursuant to the MSA with Post. There can be no assurance that all of the functions provided to us by Post under the MSA will be successfully executed by Post or that we will not have to expend significant efforts or costs materially in excess of those estimated in the MSA. Any interruption in these services could have a material adverse effect on our business, financial condition, results of operations and cash flows. In addition, upon termination of the MSA, we will need to perform these functions ourselves or hire third parties to perform these functions on our behalf.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operating results may differ significantly from our guidance and our forward-looking statements.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the Company's historical financial statements. It does not extend to any guidance and should not be read to do so.</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 price of our Class A Common Stock could fluctuate significantly for many reasons, including in response to the risk factors listed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including those resulting from the COVID-19 pandemic.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Further, our Class A Common Stock may not be eligible to be included in certain stock indices to the extent we maintain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substantial portion of our total outstanding shares of Class A Common Stock may be sold into the market at any time, including as a result of the Post Distribution Transaction. These sales could cause the market price of our Class A Common Stock to drop significantly, even if our business is doing well.</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our Class A Common Stock, including as a result of the Post Distribution Transaction, or the perception that such sales could occur. These sales, or the possibility that these sales may occur, could make it more difficult for our stockholders to sell their shares of our Class A Common Stock at a time and price they consider appropriate, and could impair our ability to raise equity capital or use our Class A Common Stock as consideration for acquisitions of other businesses, investments or other corporate purposes.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amended and restated certificate of incorporation authorizes us to issue up to 500.0 million shares of Class A Common Stock, one share of Class B Common Stock and up to 50.0 million shares of preferred stock with such rights and preferences as may be determined by our Board of Directors. Subject to compliance with applicable law and various ancillary agreements we entered into with Post and its affiliates (other than us) in connection with our IPO,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declare or pay any dividends on our Class A Common Stock for the foreseeable future.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not pay cash dividends on our Class A Common Stock for the foreseeable future. Consequently, our stockholders must rely on sales of their shares of our Class A Common Stock after price appreciation, which may never occur, as the only way to realize any future gains on their investment. Any future determination to pay dividends, including timing and amount,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Our ability to pay dividends depends on our receipt of cash dividends from our operating subsidiaries,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including BellRing LLC, and our ability to pay dividends may be further restricted as a result of the laws of our subsidiaries’ jurisdictions of organization or their agreements, including agreements governing indebtedness.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79"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LLC units;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 takeover law (as further described below);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elected in our amended and restated certificate of incorporation not to be subject to Section 203 of the Delaware General Corporation Law. Nevertheless, our amended and restated certificate of incorporation contains provisions that have the same effect as Section 203 of the Delaware General Corporation Law, except that they provide that Post and its various successors and affiliates (and certain transferees of any of them designated in writing by Post) are not deemed to be “interested stockholders,” regardless of the percentage of our stock owned by them, and accordingly are not subject to such restrictions.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(the “NYSE”) corporate governance standards and we qualify for exemption from certain corporate governance requirements. We do not currently rely on any of these exemptions, but there can be no assurance that we will not rely on these exemptions in the future.</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Since Post owns more than 50% of the voting power of all of our outstanding common stock, we are a “controlled company” under the NYSE corporate governance standards and are eligible to rely on exemptions from the following NYSE corporate governance requirements:</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6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do not currently rely on any of these exemptions, but there can be no assurance that we will not rely on these exemptions in the future. If we were to utilize some or all of these exemptions, holders of our Class A Common Stock may not have the same protections afforded to stockholders of companies that are subject to all of the NYSE rules regarding corporate governance.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BellRing Inc.’s only material asset is its interest in BellRing LLC, and accordingly, BellRing Inc. depends on distributions from BellRing LLC to pay taxes and expenses, including payments under the tax receivable agreement. BellRing LLC’s ability to make such distributions may be subject to various limitations and restrictions.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BellRing Inc. is a holding company, and has no material assets other than BellRing Inc.’s ownership of BellRing LLC units and has no independent means of generating revenue or cash flow. BellRing LLC is treated as a partnership for U.S. federal</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income tax purposes and, as such, is generally not, with the exception of certain of its subsidiaries,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LLC has and in the future may elect out of the application of these rules (but certain of its subsidiaries will likely not), but there can be no assurance that it will be eligible to do so in each tax year or that such election will be made. BellRing LLC (or its subsidiaries that are partnerships) may be subject to material liabilities pursuant to this legislation and related guidance if, for example, its calculations of taxable income are incorrect. Its members may be required to reimburse BellRing LLC for taxes, interest, and penalties resulting from an audit. Taxable income is allocated to holders of BellRing LLC units, including BellRing Inc. As a result, BellRing Inc. incurs U.S. federal, state and local income taxes on its allocable share of any net taxable income of BellRing LLC. Under the terms of the BellRing LLC Agreement, BellRing LLC is obligated to make tax distributions pro rata to holders of the BellRing LLC units, including, in the case of BellRing Inc., in an amount sufficient to allow BellRing Inc. to pay its tax obligations in respect of taxable income allocated to it from BellRing LLC and to make any payments required under the tax receivable agreement. In addition to tax expenses, and expenses under the tax receivable agreement, which could be significant, BellRing Inc. also incurs expenses related to its operations. We expect that BellRing LLC will make distributions pro rata to holders of the BellRing LLC units in an amount sufficient to allow BellRing Inc. to pay its operating expenses. In addition, the BellRing LLC Agreement provides that BellRing LLC will reimburse BellRing Inc. for any reasonable out-of-pocket expenses incurred on behalf of BellRing Inc., including all fees, costs and expenses of BellRing Inc. associated with being a public company and maintaining its corporate existence. However, BellRing LLC’s ability to make such distributions or reimbursement payments may be subject to various limitations and restrictions including, but not limited to, restrictions on distributions that would either violate any contract or agreement to which BellRing LLC is then a party, including any debt agreements, or any applicable law, or that would have the effect of rendering BellRing LLC insolvent. If BellRing LLC does not distribute sufficient funds for BellRing Inc. to pay its taxes or other liabilities, BellRing Inc. may have to borrow funds, which could adversely affect its liquidity and subject it to various restrictions imposed by any such lenders. To the extent that BellRing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tax laws may adversely affect us, and the Internal Revenue Service or a court may disagree with our tax positions, which may result in adverse effects on our business, financial condition, results of operations or cash flows.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Furthermore, there is no assurance that the Internal Revenue Service or a court will agree with the positions taken by us, in which case tax penalties and interest may be imposed that could adversely affect our business, financial condition, results of operations and cash flows.</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operate successfully if we are unable to recruit, hire, retain and develop key personnel and a qualified and diverse workforce. In addition, temporary workforce disruptions or the inability of our employees to safely perform their jobs for any reason, including as a result of illness (such as COVID-19), could adversely impact our business, financial condition, results of operations and cash flows.</w:t>
      </w:r>
    </w:p>
    <w:p>
      <w:pPr>
        <w:spacing w:after="0" w:line="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depend upon the skills, working relationships and continued services of key personnel, including our senior management team. In addition, our ability to achieve our operating goals depends upon our ability to recruit, hire, retain and develop qualified and diverse personnel to operate and expand our business. We compete with other companies both within and outside of our industry for talented personnel. If we lose key personnel, or one or more members of our senior management team, and we fail to develop adequate succession plans, or if we fail to hire, retain and develop a sufficient number of qualified and diverse employees to operate and expand our business, our business, financial condition, results of operations and cash flows could be harmed.</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business is dependent upon our employees being able to safely perform their jobs. If we experience workforce disruptions or periods where our employees are unable to safely perform their jobs for any reason, including as a result of illness (such as COVID-19) or based upon shelter in place or other restrictions put in place by governmental authorities, our business, financial condition, results of operations and cash flows could be adversely affected.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labor-related costs, including costs of medical and other employee health and welfare benefits, may reduce our profitability.</w:t>
      </w:r>
    </w:p>
    <w:p>
      <w:pPr>
        <w:spacing w:after="0" w:line="1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Inflationary pressures and shortages in the labor market have increased, and could continue to increase, our labor costs, which could negatively impact our profitability. With approximately 355 employees as of November 1, 2021, our profitability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 In addition, we continue to monitor the impact of the COVID-19 pandemic on labor-related costs. Any substantial increase in these costs could have a materially negative impact on our profitability.</w:t>
      </w:r>
    </w:p>
    <w:p>
      <w:pPr>
        <w:spacing w:after="0" w:line="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continue to satisfy the requirements of Section 404 of the Sarbanes-Oxley Act, or our internal control over financial reporting is not effective, the reliability of our financial statements may be questioned, and the price of our Class A Common Stock could suffer.</w:t>
      </w:r>
    </w:p>
    <w:p>
      <w:pPr>
        <w:spacing w:after="0" w:line="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Section 404 of the Sarbanes-Oxley Act of 2002 (“SOX”) requires any company subject to the reporting requirements of the U.S. securities laws to do a comprehensive evaluation of its and its consolidated subsidiaries’ internal control over financial reporting. To comply with this statute, we are required to document and test our internal control procedures, our management is required to assess and issue a report concerning our internal control over financial reporting and our independent registered public accounting firm is required to issue an opinion on its audit of our internal control over financial reporting.</w:t>
      </w:r>
    </w:p>
    <w:p>
      <w:pPr>
        <w:spacing w:after="0" w:line="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significant deficiencies which may not be remedied in time to meet the deadlines imposed by SOX and SEC rules. If our management cannot favorably assess the effectiveness of our internal control over financial reporting or our independent registered public accounting firm identifies material weaknesses in our internal controls, investor confidence in our financial results may weaken and the price of our Class A Common Stock may suffer. In addition, in the event we do not maintain effective internal control over financial reporting, we might fail to timely prevent or detect potential financial misstatements. As of September 30, 2021, management determined that our internal control over financial reporting was effective.</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1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Post provides us space for our principal executive offices in St. Louis, Missouri pursuant to the MSA among BellRing Inc., BellRing LLC and Post. Our other administrative offices, as well as the warehousing, distribution and research and development facilities of our principal operations, are described below. While our products are primarily manufactured by third party contract manufacturers, we also own one manufacturing facility. For additional information regarding our third party manufacturing network, see “Business - Supply Chain” in Item 1 of this report.</w:t>
      </w:r>
    </w:p>
    <w:p>
      <w:pPr>
        <w:spacing w:after="0" w:line="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lease a research and development facility and administrative office in Emeryville, California. We also lease administrative offices in Rogers, Arkansas; Munich, Germany and Worb, Switzerland. Through third party logistics firms, we lease warehouse space in Tagelswangen, Switzerland and a distribution center with warehouse space in Kleve, Germany. We also manufacture protein and energy bars and gels and conduct research and development through an owned facility in Voerde, Germany. Management believes our facilities generally are in good operating condition. In conjunction with our arrangements with third party contract manufacturers and our planned expansion of the same in response to demand for certain of our products exceeding our production capacity in fiscal 2021, management believes, taken as a whole, our facilities generally are suitable, adequate and of sufficient capacity for our current operations. See “Risk Factors” included in Item 1A of this report for more information about our supply chain.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information required under this Item 3 is set forth in Note 16 within “Notes to Consolidated Financial Statements” included in Part II, Item 8 of this report and is incorporated herein by this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pending as of the filing date of this report or that were resolved during the three months ended September 30, 2021.</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Class A common stock, $0.01 par value per share (the “Class A Common Stock”) is traded on the New York Stock Exchange (the “NYSE”) under the symbol “BRBR.” Our Class B common stock, $0.01 par value per share (the “Class B Common Stock”) is not traded on any established public trading market. There were approximately 123 stockholders of record of our Class A Common Stock and one stockholder of record of our Class B Common Stock as of November 15,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not pay cash dividends on our Class A Common Stock for the foreseeable future. Any future determination to pay dividends, and the amount and timing of any such payment,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under this Item 5 concerning equity compensation plan information is set out below under Item 12 of this report and is incorporated herein by this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did not make any repurchases of our Class A Common Stock during the three months ended September 30, 2021. The following table sets forth information with respect to repurchases of shares of our Class A Common Stock during the three months ended September 30, 2021 and our Class A Common Stock repurchase authorization.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Price</w:t>
            </w: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258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62"/>
        </w:trPr>
        <w:tc>
          <w:tcPr>
            <w:tcW w:w="392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Period</w:t>
            </w: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Paid per Share</w:t>
            </w:r>
          </w:p>
        </w:tc>
        <w:tc>
          <w:tcPr>
            <w:tcW w:w="2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2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that May Yet be Purchased Under</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Plans or Programs (b)</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the Plans or Programs (a) (b)</w:t>
            </w: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August 1, 2021 - August 31, 2021</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c>
          <w:tcPr>
            <w:tcW w:w="2420" w:type="dxa"/>
            <w:vAlign w:val="bottom"/>
          </w:tcPr>
          <w:p>
            <w:pPr>
              <w:ind w:left="2160"/>
              <w:spacing w:after="0"/>
              <w:rPr>
                <w:sz w:val="20"/>
                <w:szCs w:val="20"/>
                <w:color w:val="auto"/>
              </w:rPr>
            </w:pPr>
            <w:r>
              <w:rPr>
                <w:rFonts w:ascii="Arial" w:cs="Arial" w:eastAsia="Arial" w:hAnsi="Arial"/>
                <w:sz w:val="18"/>
                <w:szCs w:val="18"/>
                <w:color w:val="auto"/>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tcBorders>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24"/>
        </w:trPr>
        <w:tc>
          <w:tcPr>
            <w:tcW w:w="3920" w:type="dxa"/>
            <w:vAlign w:val="bottom"/>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420" w:type="dxa"/>
            <w:vAlign w:val="bottom"/>
          </w:tcPr>
          <w:p>
            <w:pPr>
              <w:ind w:left="2160"/>
              <w:spacing w:after="0"/>
              <w:rPr>
                <w:sz w:val="20"/>
                <w:szCs w:val="20"/>
                <w:color w:val="auto"/>
              </w:rPr>
            </w:pPr>
            <w:r>
              <w:rPr>
                <w:rFonts w:ascii="Arial" w:cs="Arial" w:eastAsia="Arial" w:hAnsi="Arial"/>
                <w:sz w:val="18"/>
                <w:szCs w:val="18"/>
                <w:color w:val="auto"/>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broker’s commissions.</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November 12, 2020, the Company’s Board of Directors approved a $60,000,000 share repurchase authorization (the “Authorization”). The Authorization was effective November 12, 2020 and expires on November 12, 2022.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performance graph compares the changes for the period beginning October 17, 2019, the first day our Class A Common Stock began trading on the NYSE, through September 30, 2021 in the cumulative total value of $100 hypothetically invested in each of (i) BellRing Class A Common Stock; (ii) the Russell 2000 index; and (iii) the S&amp;P 1500 Packaged Foods &amp; Meats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57150</wp:posOffset>
            </wp:positionV>
            <wp:extent cx="5486400" cy="3257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64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960" w:firstLine="332"/>
        <w:spacing w:after="0" w:line="399" w:lineRule="auto"/>
        <w:tabs>
          <w:tab w:leader="none" w:pos="4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 invested on October 17, 2019 in stock or index. P</w:t>
      </w:r>
      <w:r>
        <w:rPr>
          <w:rFonts w:ascii="Arial" w:cs="Arial" w:eastAsia="Arial" w:hAnsi="Arial"/>
          <w:sz w:val="18"/>
          <w:szCs w:val="18"/>
          <w:b w:val="1"/>
          <w:bCs w:val="1"/>
          <w:color w:val="auto"/>
        </w:rPr>
        <w:t>erformance Graph Data</w:t>
      </w:r>
    </w:p>
    <w:tbl>
      <w:tblPr>
        <w:tblLayout w:type="fixed"/>
        <w:tblInd w:w="0" w:type="dxa"/>
        <w:tblCellMar>
          <w:top w:w="0" w:type="dxa"/>
          <w:left w:w="0" w:type="dxa"/>
          <w:bottom w:w="0" w:type="dxa"/>
          <w:right w:w="0" w:type="dxa"/>
        </w:tblCellMar>
      </w:tblPr>
      <w:tr>
        <w:trPr>
          <w:trHeight w:val="163"/>
        </w:trPr>
        <w:tc>
          <w:tcPr>
            <w:tcW w:w="3180" w:type="dxa"/>
            <w:vAlign w:val="bottom"/>
          </w:tcPr>
          <w:p>
            <w:pPr>
              <w:spacing w:after="0"/>
              <w:rPr>
                <w:sz w:val="14"/>
                <w:szCs w:val="14"/>
                <w:color w:val="auto"/>
              </w:rPr>
            </w:pPr>
          </w:p>
        </w:tc>
        <w:tc>
          <w:tcPr>
            <w:tcW w:w="422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BellRing Brands, Inc. ($)</w:t>
            </w:r>
          </w:p>
        </w:tc>
        <w:tc>
          <w:tcPr>
            <w:tcW w:w="192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Russell 2000 Index ($)</w:t>
            </w:r>
          </w:p>
        </w:tc>
        <w:tc>
          <w:tcPr>
            <w:tcW w:w="1920" w:type="dxa"/>
            <w:vAlign w:val="bottom"/>
          </w:tcPr>
          <w:p>
            <w:pPr>
              <w:jc w:val="right"/>
              <w:ind w:right="132"/>
              <w:spacing w:after="0" w:line="163" w:lineRule="exact"/>
              <w:rPr>
                <w:sz w:val="20"/>
                <w:szCs w:val="20"/>
                <w:color w:val="auto"/>
              </w:rPr>
            </w:pPr>
            <w:r>
              <w:rPr>
                <w:rFonts w:ascii="Arial" w:cs="Arial" w:eastAsia="Arial" w:hAnsi="Arial"/>
                <w:sz w:val="16"/>
                <w:szCs w:val="16"/>
                <w:b w:val="1"/>
                <w:bCs w:val="1"/>
                <w:color w:val="auto"/>
              </w:rPr>
              <w:t>S&amp;P 1500 Packaged</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w w:val="99"/>
              </w:rPr>
              <w:t>Foods &amp; Meats Index ($)</w:t>
            </w: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10/17/2019</w:t>
            </w:r>
          </w:p>
        </w:tc>
        <w:tc>
          <w:tcPr>
            <w:tcW w:w="4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100.00</w:t>
            </w:r>
          </w:p>
        </w:tc>
        <w:tc>
          <w:tcPr>
            <w:tcW w:w="1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12/31/2019</w:t>
            </w:r>
          </w:p>
        </w:tc>
        <w:tc>
          <w:tcPr>
            <w:tcW w:w="4220" w:type="dxa"/>
            <w:vAlign w:val="bottom"/>
          </w:tcPr>
          <w:p>
            <w:pPr>
              <w:jc w:val="right"/>
              <w:ind w:right="91"/>
              <w:spacing w:after="0"/>
              <w:rPr>
                <w:sz w:val="20"/>
                <w:szCs w:val="20"/>
                <w:color w:val="auto"/>
              </w:rPr>
            </w:pPr>
            <w:r>
              <w:rPr>
                <w:rFonts w:ascii="Arial" w:cs="Arial" w:eastAsia="Arial" w:hAnsi="Arial"/>
                <w:sz w:val="18"/>
                <w:szCs w:val="18"/>
                <w:color w:val="auto"/>
              </w:rPr>
              <w:t>129.03</w:t>
            </w:r>
          </w:p>
        </w:tc>
        <w:tc>
          <w:tcPr>
            <w:tcW w:w="1920" w:type="dxa"/>
            <w:vAlign w:val="bottom"/>
          </w:tcPr>
          <w:p>
            <w:pPr>
              <w:jc w:val="right"/>
              <w:ind w:right="51"/>
              <w:spacing w:after="0"/>
              <w:rPr>
                <w:sz w:val="20"/>
                <w:szCs w:val="20"/>
                <w:color w:val="auto"/>
              </w:rPr>
            </w:pPr>
            <w:r>
              <w:rPr>
                <w:rFonts w:ascii="Arial" w:cs="Arial" w:eastAsia="Arial" w:hAnsi="Arial"/>
                <w:sz w:val="18"/>
                <w:szCs w:val="18"/>
                <w:color w:val="auto"/>
              </w:rPr>
              <w:t>108.57</w:t>
            </w:r>
          </w:p>
        </w:tc>
        <w:tc>
          <w:tcPr>
            <w:tcW w:w="1920" w:type="dxa"/>
            <w:vAlign w:val="bottom"/>
          </w:tcPr>
          <w:p>
            <w:pPr>
              <w:jc w:val="right"/>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3/31/2020</w:t>
            </w:r>
          </w:p>
        </w:tc>
        <w:tc>
          <w:tcPr>
            <w:tcW w:w="4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103.33</w:t>
            </w:r>
          </w:p>
        </w:tc>
        <w:tc>
          <w:tcPr>
            <w:tcW w:w="1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75.32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6/30/2020</w:t>
            </w:r>
          </w:p>
        </w:tc>
        <w:tc>
          <w:tcPr>
            <w:tcW w:w="4220" w:type="dxa"/>
            <w:vAlign w:val="bottom"/>
          </w:tcPr>
          <w:p>
            <w:pPr>
              <w:jc w:val="right"/>
              <w:ind w:right="91"/>
              <w:spacing w:after="0"/>
              <w:rPr>
                <w:sz w:val="20"/>
                <w:szCs w:val="20"/>
                <w:color w:val="auto"/>
              </w:rPr>
            </w:pPr>
            <w:r>
              <w:rPr>
                <w:rFonts w:ascii="Arial" w:cs="Arial" w:eastAsia="Arial" w:hAnsi="Arial"/>
                <w:sz w:val="18"/>
                <w:szCs w:val="18"/>
                <w:color w:val="auto"/>
              </w:rPr>
              <w:t>120.85</w:t>
            </w:r>
          </w:p>
        </w:tc>
        <w:tc>
          <w:tcPr>
            <w:tcW w:w="1920" w:type="dxa"/>
            <w:vAlign w:val="bottom"/>
          </w:tcPr>
          <w:p>
            <w:pPr>
              <w:jc w:val="right"/>
              <w:ind w:right="51"/>
              <w:spacing w:after="0"/>
              <w:rPr>
                <w:sz w:val="20"/>
                <w:szCs w:val="20"/>
                <w:color w:val="auto"/>
              </w:rPr>
            </w:pPr>
            <w:r>
              <w:rPr>
                <w:rFonts w:ascii="Arial" w:cs="Arial" w:eastAsia="Arial" w:hAnsi="Arial"/>
                <w:sz w:val="18"/>
                <w:szCs w:val="18"/>
                <w:color w:val="auto"/>
              </w:rPr>
              <w:t>94.47</w:t>
            </w:r>
          </w:p>
        </w:tc>
        <w:tc>
          <w:tcPr>
            <w:tcW w:w="1920" w:type="dxa"/>
            <w:vAlign w:val="bottom"/>
          </w:tcPr>
          <w:p>
            <w:pPr>
              <w:jc w:val="right"/>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9/30/2020</w:t>
            </w:r>
          </w:p>
        </w:tc>
        <w:tc>
          <w:tcPr>
            <w:tcW w:w="4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125.70</w:t>
            </w:r>
          </w:p>
        </w:tc>
        <w:tc>
          <w:tcPr>
            <w:tcW w:w="1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99.13</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12/31/2020</w:t>
            </w:r>
          </w:p>
        </w:tc>
        <w:tc>
          <w:tcPr>
            <w:tcW w:w="4220" w:type="dxa"/>
            <w:vAlign w:val="bottom"/>
          </w:tcPr>
          <w:p>
            <w:pPr>
              <w:jc w:val="right"/>
              <w:ind w:right="91"/>
              <w:spacing w:after="0"/>
              <w:rPr>
                <w:sz w:val="20"/>
                <w:szCs w:val="20"/>
                <w:color w:val="auto"/>
              </w:rPr>
            </w:pPr>
            <w:r>
              <w:rPr>
                <w:rFonts w:ascii="Arial" w:cs="Arial" w:eastAsia="Arial" w:hAnsi="Arial"/>
                <w:sz w:val="18"/>
                <w:szCs w:val="18"/>
                <w:color w:val="auto"/>
              </w:rPr>
              <w:t>147.33</w:t>
            </w:r>
          </w:p>
        </w:tc>
        <w:tc>
          <w:tcPr>
            <w:tcW w:w="1920" w:type="dxa"/>
            <w:vAlign w:val="bottom"/>
          </w:tcPr>
          <w:p>
            <w:pPr>
              <w:jc w:val="right"/>
              <w:ind w:right="51"/>
              <w:spacing w:after="0"/>
              <w:rPr>
                <w:sz w:val="20"/>
                <w:szCs w:val="20"/>
                <w:color w:val="auto"/>
              </w:rPr>
            </w:pPr>
            <w:r>
              <w:rPr>
                <w:rFonts w:ascii="Arial" w:cs="Arial" w:eastAsia="Arial" w:hAnsi="Arial"/>
                <w:sz w:val="18"/>
                <w:szCs w:val="18"/>
                <w:color w:val="auto"/>
              </w:rPr>
              <w:t>130.21</w:t>
            </w:r>
          </w:p>
        </w:tc>
        <w:tc>
          <w:tcPr>
            <w:tcW w:w="1920" w:type="dxa"/>
            <w:vAlign w:val="bottom"/>
          </w:tcPr>
          <w:p>
            <w:pPr>
              <w:jc w:val="right"/>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3/31/2021</w:t>
            </w:r>
          </w:p>
        </w:tc>
        <w:tc>
          <w:tcPr>
            <w:tcW w:w="4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143.09</w:t>
            </w:r>
          </w:p>
        </w:tc>
        <w:tc>
          <w:tcPr>
            <w:tcW w:w="1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146.74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6/30/2021</w:t>
            </w:r>
          </w:p>
        </w:tc>
        <w:tc>
          <w:tcPr>
            <w:tcW w:w="4220" w:type="dxa"/>
            <w:vAlign w:val="bottom"/>
          </w:tcPr>
          <w:p>
            <w:pPr>
              <w:jc w:val="right"/>
              <w:ind w:right="91"/>
              <w:spacing w:after="0"/>
              <w:rPr>
                <w:sz w:val="20"/>
                <w:szCs w:val="20"/>
                <w:color w:val="auto"/>
              </w:rPr>
            </w:pPr>
            <w:r>
              <w:rPr>
                <w:rFonts w:ascii="Arial" w:cs="Arial" w:eastAsia="Arial" w:hAnsi="Arial"/>
                <w:sz w:val="18"/>
                <w:szCs w:val="18"/>
                <w:color w:val="auto"/>
              </w:rPr>
              <w:t>189.94</w:t>
            </w:r>
          </w:p>
        </w:tc>
        <w:tc>
          <w:tcPr>
            <w:tcW w:w="1920" w:type="dxa"/>
            <w:vAlign w:val="bottom"/>
          </w:tcPr>
          <w:p>
            <w:pPr>
              <w:jc w:val="right"/>
              <w:ind w:right="51"/>
              <w:spacing w:after="0"/>
              <w:rPr>
                <w:sz w:val="20"/>
                <w:szCs w:val="20"/>
                <w:color w:val="auto"/>
              </w:rPr>
            </w:pPr>
            <w:r>
              <w:rPr>
                <w:rFonts w:ascii="Arial" w:cs="Arial" w:eastAsia="Arial" w:hAnsi="Arial"/>
                <w:sz w:val="18"/>
                <w:szCs w:val="18"/>
                <w:color w:val="auto"/>
              </w:rPr>
              <w:t>153.04</w:t>
            </w:r>
          </w:p>
        </w:tc>
        <w:tc>
          <w:tcPr>
            <w:tcW w:w="1920" w:type="dxa"/>
            <w:vAlign w:val="bottom"/>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9/30/2021</w:t>
            </w:r>
          </w:p>
        </w:tc>
        <w:tc>
          <w:tcPr>
            <w:tcW w:w="4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186.36</w:t>
            </w:r>
          </w:p>
        </w:tc>
        <w:tc>
          <w:tcPr>
            <w:tcW w:w="1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146.36</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the financial statements under Item 8 of this report and the “Cautionary Statement On Forward-Looking Statements” on page 1. The terms “our,” “we,” “us,” “the Company” and “BellRing” as used herein refer to BellRing Brands, Inc. and its consolidated subsidiaries.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period presented prior to our initial public offering (the “IPO”), these consolidated financial statements present the historical results of operations, comprehensive income, financial condition, cash flows and stockholders’ equity of the active nutrition business of Post Holdings, Inc. (“Post”) prepared on a stand-alone basis. These consolidated financial statements also include the allocation of certain Post corporate expenses related to the active nutrition business of Post for the period presented prior to our IPO. In the opinion of management, the assumptions underlying the historical consolidated financial statements of the active nutrition business of Post, including the basis on which the expenses have been allocated from Post, are reasonable. However, the allocations may not reflect the expenses that we may have incurred as a separate company for the period presented prior to the IPO. For additional information, see “Risk Factors” in Item 1A and Note 6 within “Notes to Consolidated Financial Statements.”</w:t>
      </w:r>
    </w:p>
    <w:p>
      <w:pPr>
        <w:spacing w:after="0" w:line="16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are a consumer products holding company operating in the global convenient nutrition category and a provider of ready-to-drink (“RTD”) protein shakes, other RTD beverages, powders and nutrition bars. We have a single operating and reportable segment, with our principal products being protein-based consumer goods. Our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October 21, 2019, BellRing Brands, Inc. (“BellRing Inc.”) closed its IPO of 39.4 million shares of its Class A common stock, $0.01 par value per share (the “Class A Common Stock”) and contributed the net proceeds from the IPO to BellRing Brands, LLC, a Delaware limited liability company and BellRing Inc.’s subsidiary (“BellRing LLC”) in exchange for 39.4 million BellRing LLC non-voting membership units (the “BellRing LLC units”).</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 BellRing LLC became the holder of the active nutrition business of Post. BellRing Inc., as a holding company, has no material assets other than its ownership of BellRing LLC units and its indirect interests in the subsidiaries of BellRing LLC and has no independent means of generating revenue or cash flow. For additional information on the IPO, see Note 1 within “Notes to Consolidated Financial Statements.”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subsequent to the IPO, the financial results of BellRing LLC and its subsidiaries are consolidated with BellRing Inc., and a portion of the consolidated net earnings of BellRing LLC are allocated to the redeemable noncontrolling interest (the “NCI”). The calculation of the NCI is based on Post’s ownership percentage of BellRing LLC units during each period, and reflects the entitlement of Post to a portion of the consolidated net earnings of BellRing LLC.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Company Trends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the convergence of several factors to support the continued growth of the convenient nutrition category, including:</w:t>
      </w:r>
    </w:p>
    <w:p>
      <w:pPr>
        <w:spacing w:after="0" w:line="1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17" w:lineRule="exact"/>
        <w:rPr>
          <w:sz w:val="20"/>
          <w:szCs w:val="20"/>
          <w:color w:val="auto"/>
        </w:rPr>
      </w:pPr>
    </w:p>
    <w:p>
      <w:pPr>
        <w:ind w:left="660" w:hanging="328"/>
        <w:spacing w:after="0" w:line="30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highly competitive nature of the industry, which involves competition from a host of nutritional food and beverage companies, including manufacturers of other branded food and beverage products as well as manufacturers of private label and store brand products;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changing consumer preferences which require food manufacturers to identify changing preferences and to offer products that appeal to consumers;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chain challenges, including labor shortages and equipment delays, which have delayed capacity expansion across the broader third party aseptic processing contract manufacturer network and are expected to continue into fiscal 2022;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inflationary pressures, which are expected to continue into fiscal 2022, on the costs of ingredients and packaging materials and transportation.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and operating profit margins because of customer spending patterns and timing of our key retailers’ promotional activity. Historically, our first fiscal quarter is seasonally low for all brands driven by a slowdown of consumption of our products during the holiday season. Sales are typically higher throughout the remainder of the fiscal year as a result of promotional activity at key retailers as well as organic growth of the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COVID-19 pandemic has caused and continues to cause global economic disruption and uncertainty, including in our business. We continue to closely monitor the impact of the COVID-19 pandemic and developments related thereto on our business and remain focused on ensuring the health and safety of our employees, maintaining continuity of our supply chain to serve customers and consumers and preserving liquidity to navigate the uncertainty caused by the COVID-19 pandemic. Our primary categories returned to growth rates in line with their pre-pandemic levels during the fourth quarter of fiscal 2020 and have remained strong in fiscal 2021.</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overall economy continues to recover from the impact of the COVID-19 pandemic, input and freight inflation, equipment delays and input and labor availability are pressuring BellRing’s supply chain. Lower than anticipated production and delays in capacity expansion across the broader third party shake contract manufacturer network have resulted in low inventories and missed sales. Service levels and fill rates remain below normal levels, and certain products have been placed on allocation. These factors are expected to improve but persist throughout fiscal 2022 and are dependent upon BellRing’s contract manufacturer partners’ ability to deliver committed volumes, add capacity on expected timelines, retain manufacturing staff and rebuild inventory levels. For additional discussion, refer to “Liquidity and Capital Resources” within this section, as well as “Cautionary Statement on Forward-Looking Statements” and “Risk Factors” in Part I of this report.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 Subsequent to Period End</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October 2021, we, along with Post, announced the signing of a transaction agreement related to Post’s previously announced plan to distribute a significant portion of its interest in the Company to Post’s shareholders. We expect the distribution to be completed in the first calendar quarter of 2022, subject to certain customary conditions. See Note 18 within “Notes to Consolidated Financial Statements” for additional information on the announcement.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years ended September 30, 2021, 2020 and 2019, net sales and/or operating profit was impacted by the following items:</w:t>
      </w:r>
    </w:p>
    <w:p>
      <w:pPr>
        <w:spacing w:after="0" w:line="117"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accelerated amortization expense of $29.9 million for the year ended September 30, 2021 related to the discontinuance of the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restructuring and facility closure costs, including accelerated depreciation, of $5.6 million related to the closing of our Dallas, Texas office and the downsizing of our Munich, Germany location during the year ended September 30, 2021; and</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separation costs of $0.2 million, $1.9 million and $6.7 million related to our separation from Post for the years ended September 30, 2021, 2020 and 2019,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refer to “Results of Operations” within this section.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left="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89"/>
              </w:rPr>
              <w:t>Fiscal 2021 compared to 2020</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2"/>
              </w:rPr>
              <w:t>Fiscal 2020 compared to 2019</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3"/>
          </w:tcPr>
          <w:p>
            <w:pPr>
              <w:jc w:val="right"/>
              <w:ind w:right="351"/>
              <w:spacing w:after="0"/>
              <w:rPr>
                <w:sz w:val="20"/>
                <w:szCs w:val="20"/>
                <w:color w:val="auto"/>
              </w:rPr>
            </w:pPr>
            <w:r>
              <w:rPr>
                <w:rFonts w:ascii="Arial" w:cs="Arial" w:eastAsia="Arial" w:hAnsi="Arial"/>
                <w:sz w:val="14"/>
                <w:szCs w:val="14"/>
                <w:b w:val="1"/>
                <w:bCs w:val="1"/>
                <w:color w:val="auto"/>
              </w:rPr>
              <w:t>favorable/(unfavorable)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220" w:type="dxa"/>
            <w:vAlign w:val="bottom"/>
          </w:tcPr>
          <w:p>
            <w:pPr>
              <w:spacing w:after="0"/>
              <w:rPr>
                <w:sz w:val="18"/>
                <w:szCs w:val="18"/>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13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2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Loss on refinancing of debt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earnings</w:t>
            </w: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attributable to NCI</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20" w:type="dxa"/>
            <w:vAlign w:val="bottom"/>
          </w:tcPr>
          <w:p>
            <w:pPr>
              <w:ind w:left="20"/>
              <w:spacing w:after="0" w:line="156" w:lineRule="exact"/>
              <w:rPr>
                <w:sz w:val="20"/>
                <w:szCs w:val="20"/>
                <w:color w:val="auto"/>
              </w:rPr>
            </w:pPr>
            <w:r>
              <w:rPr>
                <w:rFonts w:ascii="Arial" w:cs="Arial" w:eastAsia="Arial" w:hAnsi="Arial"/>
                <w:sz w:val="18"/>
                <w:szCs w:val="18"/>
                <w:color w:val="auto"/>
              </w:rPr>
              <w:t>Net Earnings Available to</w:t>
            </w: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4"/>
              </w:rPr>
              <w:t>Class A Common Stockholders $</w:t>
            </w:r>
          </w:p>
        </w:tc>
        <w:tc>
          <w:tcPr>
            <w:tcW w:w="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Fiscal 2021 compared to 2020</w:t>
      </w:r>
    </w:p>
    <w:p>
      <w:pPr>
        <w:spacing w:after="0" w:line="117" w:lineRule="exact"/>
        <w:rPr>
          <w:sz w:val="20"/>
          <w:szCs w:val="20"/>
          <w:color w:val="auto"/>
        </w:rPr>
      </w:pPr>
    </w:p>
    <w:p>
      <w:pPr>
        <w:jc w:val="both"/>
        <w:ind w:left="20" w:firstLine="324"/>
        <w:spacing w:after="0" w:line="272" w:lineRule="auto"/>
        <w:rPr>
          <w:sz w:val="20"/>
          <w:szCs w:val="20"/>
          <w:color w:val="auto"/>
        </w:rPr>
      </w:pPr>
      <w:r>
        <w:rPr>
          <w:rFonts w:ascii="Arial" w:cs="Arial" w:eastAsia="Arial" w:hAnsi="Arial"/>
          <w:sz w:val="17"/>
          <w:szCs w:val="17"/>
          <w:color w:val="auto"/>
        </w:rPr>
        <w:t xml:space="preserve">Net sales increased $258.8 million, or 26%, during the year ended September 30, 2021 compared to the prior year.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$207.8 million, or 25%, with volume up 24%. Volume increases were driven by higher RTD protein shake product volumes which primarily related to distribution gains for both existing and new products and strong velocities driven by promotional activity and continued category momentum.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$47.4 million, or 43%, with volume up 29%. Volume increases were primarily driven by distribution gains for both existing and new products and strong velocities driven by continued category momentum and lower international and specialty channel volumes in the prior year, largely resulting from consumer reaction to the COVID-19 pandemic. Average net selling prices increased during the year ended September 30, 2021 due to a favorable product mix. Sales of all other products were up $3.6 million.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left="20" w:firstLine="324"/>
        <w:spacing w:after="0" w:line="273" w:lineRule="auto"/>
        <w:rPr>
          <w:sz w:val="20"/>
          <w:szCs w:val="20"/>
          <w:color w:val="auto"/>
        </w:rPr>
      </w:pPr>
      <w:r>
        <w:rPr>
          <w:rFonts w:ascii="Arial" w:cs="Arial" w:eastAsia="Arial" w:hAnsi="Arial"/>
          <w:sz w:val="17"/>
          <w:szCs w:val="17"/>
          <w:color w:val="auto"/>
        </w:rPr>
        <w:t xml:space="preserve">Net sales increased $133.9 million, or 16%, during the year ended September 30, 2020 compared to the prior year.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$148.2 million, or 22%, with volume up 23%. Volume increases were driven by higher RTD protein shake product volumes which primarily related to distribution gains, lapping short-term capacity constraints in fiscal 2019, incremental promotional activity and new product introductions, partially offset by lower other RTD beverages volumes.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$4.0 million, or 4%, with volume down 1%. Volumes decreased primarily due to lower international and specialty channel volumes, largely resulting from consumer reaction to the COVID-19 pandemic, partially offset by higher eCommerce volumes. Sales of all other products were down $10.3 million.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Fiscal 2021 compared to 2020</w:t>
      </w:r>
    </w:p>
    <w:p>
      <w:pPr>
        <w:spacing w:after="0" w:line="117" w:lineRule="exact"/>
        <w:rPr>
          <w:sz w:val="20"/>
          <w:szCs w:val="20"/>
          <w:color w:val="auto"/>
        </w:rPr>
      </w:pPr>
    </w:p>
    <w:p>
      <w:pPr>
        <w:jc w:val="both"/>
        <w:ind w:left="20" w:firstLine="324"/>
        <w:spacing w:after="0" w:line="275" w:lineRule="auto"/>
        <w:rPr>
          <w:sz w:val="20"/>
          <w:szCs w:val="20"/>
          <w:color w:val="auto"/>
        </w:rPr>
      </w:pPr>
      <w:r>
        <w:rPr>
          <w:rFonts w:ascii="Arial" w:cs="Arial" w:eastAsia="Arial" w:hAnsi="Arial"/>
          <w:sz w:val="17"/>
          <w:szCs w:val="17"/>
          <w:color w:val="auto"/>
        </w:rPr>
        <w:t xml:space="preserve">Operating profit increased $4.0 million, or 2%, during the year ended September 30, 2021 compared to the prior year. This increase was primarily driven by higher net sales, as previously discussed, and lower costs related to the separation from Post of $1.7 million. These positive impacts were partially offset by higher net product costs of $38.9 million due to unfavorable raw material, freight and manufacturing costs, accelerated amortization expense of $29.9 million related to the discontinuance of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restructuring and facility closure costs, including accelerated depreciation, of $5.6 million, increased advertising and promotional spending of $6.1 million and higher employee-related costs.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41"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Operating profit increased $1.5 million, or 1%, during the year ended September 30, 2020 compared to the prior year. This increase was primarily driven by higher net sales, as previously discussed, and lower costs related to the separation from Post of $4.8 million. These positive impacts were partially offset by higher net product costs of $17.4 million, as unfavorable raw material costs were partially offset by lower manufacturing and freight costs, as well as increased advertising and promotional spending of $13.1 million, incremental public company costs of $8.7 million (including higher stock-based compensation expense of $2.9 million), higher employee-related expenses of $5.0 million and higher warehousing costs of $3.7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compared to 2020</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Interest expense, net decreased $11.5 million during the year ended September 30, 2021 compared to the prior year primarily due to lower aggregate principal amounts outstanding under BellRing LLC’s term B loan facility (the “Term B Facility”) and under BellRing LLC’s revolving credit facility (the “Revolving Credit Facility”). In addition, the weighted-average interest rate on the aggregate principal amounts outstanding under the Term B Facility and under the Revolving Credit Facility decreased to 5.3% for the year ended September 30, 2021 from 6.3% for the year ended September 30, 2020, driven by lower variable interest rates and the refinancing of the Term B Facility during the second quarter of fiscal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Interest expense, net was $54.7 million during the year ended September 30, 2020 compared to zero in the prior year. The increase in interest expense was primarily due to the issuance of debt in the first quarter of fiscal 2020. Additionally, we recognized net hedging losses of $2.8 million on interest rate swaps during the year ended September 30, 2020. We had no debt outstanding or interest rate swaps during the year ended September 30, 2019. See Note 15 and Note 13 within “Notes to Consolidated Financial Statements” for additional information on our debt and interest rate swaps,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Refinancing of Debt</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year ended September 30, 2021, we recognized $1.6 million of losses related to refinancing fees incurred in conjunction with the refinancing of our Term B Facility. See Note 15 within “Notes to Consolidated Financial Statements” for additional information on our debt.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effective income tax rate for fiscal 2021 was 7.1% compared to 8.4% for fiscal 2020 and 24.2% for fiscal 2019. A reconciliation of income tax expense with amounts computed at the federal statutory tax rate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 (21%)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 expense attributable to NCI</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effect on federal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Tax-deductible transaction costs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(none in excess of 5% of computed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decrease in our effective income tax rate for fiscal 2021 and 2020 compared to fiscal 2019 was primarily due to us taking into account for U.S. federal, state and local income tax purposes our 28.8% distributive share of the items of income, gain, loss and deduction of BellRing LLC in the periods subsequent to the IPO. Prior to the IPO and formation transactions, we reported 100% of the income, gain, loss and deduction of BellRing LLC.</w:t>
      </w:r>
    </w:p>
    <w:p>
      <w:pPr>
        <w:spacing w:after="0" w:line="14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21, 2019, BellRing Inc. closed its IPO of 39.4 million shares of Class A Common Stock and received net proceeds from the IPO of $524.4 million, after deducting underwriting discounts and commissions.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11, 2019, in connection with the IPO and the formation transactions, Post entered into a $1,225.0 million Bridge Facility Agreement (the “Bridge Loan Facility”) and borrowed $1,225.0 million under the Bridge Loan Facility (the “Bridge Loan”). Certain of Post’s domestic subsidiaries (other than BellRing Inc. but including BellRing LLC and 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domestic subsidiaries) guaranteed the Bridge Loan. On October 21, 2019, BellRing LLC entered into a Borrower Assignment and Assumption Agreement with Post and the administrative agent under the Bridge Loan Facility, under which (i) BellRing LLC became the borrower under the Bridge Loan and assumed all interest of $2.2 million thereunder, and Post and its subsidiary guarantors (other than BellRing LLC and its domestic subsidiaries) were released from all material obligations under the Bridge Loan, (ii) the domestic subsidiaries of BellRing LLC continued to guarantee the Bridge Loan and</w:t>
      </w:r>
    </w:p>
    <w:p>
      <w:pPr>
        <w:spacing w:after="0" w:line="1" w:lineRule="exact"/>
        <w:rPr>
          <w:sz w:val="20"/>
          <w:szCs w:val="20"/>
          <w:color w:val="auto"/>
        </w:rPr>
      </w:pPr>
    </w:p>
    <w:p>
      <w:pPr>
        <w:ind w:firstLine="8"/>
        <w:spacing w:after="0" w:line="323" w:lineRule="auto"/>
        <w:tabs>
          <w:tab w:leader="none" w:pos="3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BellRing LLC’s obligations under the Bridge Loan became secured by a first priority security interest in substantially all of BellRing LLC’s assets and substantially all of the assets of its subsidiary guarantors (other than real property). BellRing LLC did not receive any of the proceeds of the Bridge Loan.</w:t>
      </w:r>
    </w:p>
    <w:p>
      <w:pPr>
        <w:spacing w:after="0" w:line="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21, 2019, BellRing LLC entered into a credit agreement (as subsequently amended, the “Credit Agreement”) which provided for the Term B Facility in an aggregate principal amount of $700.0 million and the Revolving Credit Facility in an aggregate principal amount of $200.0 million. In connection with the IPO, BellRing LLC borrowed the full amount under the Term B Facility and $120.0 million under the Revolving Credit Facility and used the proceeds, together with the net proceeds of the IPO that were contributed to it by BellRing Inc., (i) to repay in full the $1,225.0 million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certain borrowings under the Revolving Credit Facility.</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26, 2021, BellRing LLC entered into a second amendment to the Credit Agreement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the London Interbank Offered Rate (used to determine the interest rate for Eurodollar rate loans) as a reference interest rate and (iv) provided that if on or before August 26, 2021 BellRing LLC repaid the Term B Facility in whole or in part with the proceeds of new or replacement debt at a lower effective interest rate, or further amended the Credit Agreement to reduce the effective interest rate applicable to the Term B Facility, BellRing LLC would have paid a 1.00% premium on the amount repaid or subject to the interest rate reduction.</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September 30, 2021, BellRing LLC borrowed $20.0 million under the Revolving Credit Facility and repaid $50.0 million under the Revolving Credit Facility. BellRing LLC had $200.0 million of borrowing capacity and no outstanding letters of credit under the Revolving Credit Facility as of September 30, 2021. Letters of credit are available under the Revolving Credit Facility in an aggregate amount of up to $20.0 million. The Credit Agreement provides for potential incremental revolving and term facilities at BellRing LLC’s request and at the discretion of the lenders thereunder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Additionally, we entered into a tax receivable agreement with Post and BellRing LLC that provides for the payment by us or one of our subsidiaries to Post (or certain of its transferees or other assignees) of 85% of the amount of cash savings, if any, in U.S. federal income tax, as well as state and local income tax and franchise tax (using an assumed tax rate) and foreign tax that we realize (or, in some circumstances, are deemed to realize) as a result of (a) the increase in the tax basis of assets of BellRing LLC attributable to (i) the redemption of Post’s (or certain transferees’ or assignees’) BellRing LLC units for shares of our Class A Common Stock or cash, (ii) deemed sales by Post (or certain of its transferees or assignees) of BellRing LLC units or assets to us,</w:t>
      </w:r>
    </w:p>
    <w:p>
      <w:pPr>
        <w:spacing w:after="0" w:line="2" w:lineRule="exact"/>
        <w:rPr>
          <w:sz w:val="20"/>
          <w:szCs w:val="20"/>
          <w:color w:val="auto"/>
        </w:rPr>
      </w:pPr>
    </w:p>
    <w:p>
      <w:pPr>
        <w:jc w:val="both"/>
        <w:ind w:firstLine="8"/>
        <w:spacing w:after="0" w:line="255" w:lineRule="auto"/>
        <w:tabs>
          <w:tab w:leader="none" w:pos="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actual or deemed distributions from BellRing LLC to Post (or certain transferees or assignees) and (iv) certain formation transactions, (b) disproportionate allocations of tax benefits to us as a result of Section 704(c) of the Internal Revenue Code and (c) certain tax benefits (e.g., imputed interest, basis adjustments, etc.) attributable to payments under the tax receivable agreement.</w:t>
      </w:r>
    </w:p>
    <w:p>
      <w:pPr>
        <w:spacing w:after="0" w:line="8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additional information on the IPO, the formation transactions, the tax receivable agreement and the Credit Agreement, see Notes 1, 8 and 15 within “Notes to Consolidated Financial Statements.”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including both scheduled amortization payments and any mandatory prepayments required from excess cash flow,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2022. Our cash requirements under our various contractual obligations and commitments include: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Debt Obligations and Interest Payments </w:t>
      </w:r>
      <w:r>
        <w:rPr>
          <w:rFonts w:ascii="Arial" w:cs="Arial" w:eastAsia="Arial" w:hAnsi="Arial"/>
          <w:sz w:val="18"/>
          <w:szCs w:val="18"/>
          <w:color w:val="auto"/>
        </w:rPr>
        <w:t>— See Note 15 within “Notes to Consolidated Financial Statements” for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the timing of expected future principal and interest payments.</w:t>
      </w:r>
    </w:p>
    <w:p>
      <w:pPr>
        <w:spacing w:after="0" w:line="62"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See Note 12 within “Notes to Consolidated Financial Statements” for additional information on our operating leases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expected future payments.</w:t>
      </w:r>
    </w:p>
    <w:p>
      <w:pPr>
        <w:spacing w:after="0" w:line="62" w:lineRule="exact"/>
        <w:rPr>
          <w:rFonts w:ascii="Arial" w:cs="Arial" w:eastAsia="Arial" w:hAnsi="Arial"/>
          <w:sz w:val="18"/>
          <w:szCs w:val="18"/>
          <w:b w:val="1"/>
          <w:bCs w:val="1"/>
          <w:color w:val="auto"/>
        </w:rPr>
      </w:pPr>
    </w:p>
    <w:p>
      <w:pPr>
        <w:ind w:left="660" w:hanging="328"/>
        <w:spacing w:after="0" w:line="277" w:lineRule="auto"/>
        <w:tabs>
          <w:tab w:leader="none" w:pos="655" w:val="left"/>
        </w:tabs>
        <w:numPr>
          <w:ilvl w:val="0"/>
          <w:numId w:val="2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Tax Receivable Agreement </w:t>
      </w:r>
      <w:r>
        <w:rPr>
          <w:rFonts w:ascii="Arial" w:cs="Arial" w:eastAsia="Arial" w:hAnsi="Arial"/>
          <w:sz w:val="18"/>
          <w:szCs w:val="18"/>
          <w:color w:val="auto"/>
        </w:rPr>
        <w:t>— See Note 6 within “Notes to Consolidated Financial Statements” and above for additional information on our tax</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agreement between Post and BellRing LLC.</w:t>
      </w:r>
    </w:p>
    <w:p>
      <w:pPr>
        <w:spacing w:after="0" w:line="62" w:lineRule="exact"/>
        <w:rPr>
          <w:rFonts w:ascii="Arial" w:cs="Arial" w:eastAsia="Arial" w:hAnsi="Arial"/>
          <w:sz w:val="18"/>
          <w:szCs w:val="18"/>
          <w:b w:val="1"/>
          <w:bCs w:val="1"/>
          <w:color w:val="auto"/>
        </w:rPr>
      </w:pPr>
    </w:p>
    <w:p>
      <w:pPr>
        <w:jc w:val="both"/>
        <w:ind w:left="660" w:hanging="328"/>
        <w:spacing w:after="0" w:line="257" w:lineRule="auto"/>
        <w:tabs>
          <w:tab w:leader="none" w:pos="655"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 Purchase obligations are legally binding agreements to purchase goods, services or equipment that specify all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including: fixed or minimum quantities to be purchased and/or penalties imposed for failing to meet contracted minimum purchase quantities (such as “take-or-pay” contracts); fixed, minimum or variable price provisions; and the approximate timing of the transaction. As of September 30, 2021, the Company had total purchase commitments of $515.6 million (with $327.7 million due in fiscal 2022) which extend through fiscal 2027.</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generate positive cash flows from operations is dependent on general economic conditions, competitive pressures and other business risk factors. If we are unable to generate sufficient cash flows from operations, or otherwise to comply with the terms of BellRing LLC’s credit facilities, we may be required to seek additional financing alternatives. Additionally, we may seek to repurchase shares of our Class A Common Stock. Such repurchases, if any, will depend on prevailing market conditions, our liquidity requirements, contractual restrictions and other factors. The amounts involved may be material.</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its amended and restated limited liability company agreement (the “BellRing LLC agreement”), BellRing LLC may make distributions to its members from time to time at the discretion of the Board of Managers. Such distributions are made to the members on a pro rata basis in proportion to the number of BellRing LLC units held by each member, except that the Board of Managers may cause BellRing LLC to make non-proportionate distributions to BellRing Inc. in connection with any cash redemption of BellRing Inc.’s Class A Common Stock. The BellRing LLC agreement provides, to the extent cash is available, for distributions pro rata to the holders of BellRing LLC units such that members receive an amount of cash sufficient to cover the estimated taxes payable by them including, in the case of BellRing Inc., an amount sufficient to allow BellRing Inc. to make any payments required under the tax receivable agreement. In addition, the BellRing LLC agreement provides that BellRing LLC will reimburse BellRing Inc. for any reasonable out-of-pocket expenses incurred on behalf of BellRing LLC, including all fees, costs and expenses of BellRing Inc. associated with being a public company and maintaining its corporate existence.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select cash flow data, which is discussed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980"/>
              <w:spacing w:after="0"/>
              <w:rPr>
                <w:sz w:val="20"/>
                <w:szCs w:val="20"/>
                <w:color w:val="auto"/>
              </w:rPr>
            </w:pPr>
            <w:r>
              <w:rPr>
                <w:rFonts w:ascii="Arial" w:cs="Arial" w:eastAsia="Arial" w:hAnsi="Arial"/>
                <w:sz w:val="16"/>
                <w:szCs w:val="16"/>
                <w:b w:val="1"/>
                <w:bCs w:val="1"/>
                <w:color w:val="auto"/>
                <w:w w:val="90"/>
              </w:rPr>
              <w:t>Year Ended September 30,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12"/>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30"/>
        </w:trPr>
        <w:tc>
          <w:tcPr>
            <w:tcW w:w="6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6760" w:type="dxa"/>
            <w:vAlign w:val="bottom"/>
          </w:tcPr>
          <w:p>
            <w:pPr>
              <w:ind w:left="10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compared to 2020</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provided by operating activities for the year ended September 30, 2021 increased $128.9 million compared to the prior year. The increase was primarily driven by favorable working capital changes of $85.8 million, which were primarily due to fluctuations in the timing of purchases and payments of trade payables and the decrease in the current year inventory balance due to higher net sales outpacing production levels. In addition, interest payments decreased $13.1 million compared to the prior year due to lower aggregate principal amounts outstanding under the Term B Facility and Revolving Credit Facility, as well as the refinancing of the Term B Facility. These positive impacts were partially offset by restructuring costs payments of $4.7 million and increased tax payments of $1.9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provided by operating activities for the year ended September 30, 2020 decreased $1.1 million compared to the prior year. The decrease was primarily driven by higher interest payments of $48.8 million due to the increase in the principal balance of our outstanding debt and incremental income tax payments of $9.8 million. These higher payments were partially offset by favorable working capital changes of $26.2 million primarily due to the build up of inventory in fiscal 2019 related to short-term supply constraints, partially offset by fluctuations in the timing of sales and collections of trade receivables and the timing of purchases and payments of trade payables.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compared to 2020</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year ended September 30, 2021 decreased $0.5 million compared to the prior year, resulting from a decrease in capital expenditures.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compared to 2019</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used in investing activities for the year ended September 30, 2020 decreased $1.1 million compared to the prior year, resulting from a decrease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financing activities for the year ended September 30, 2021 was $120.9 million. BellRing LLC drew an aggregate of $20.0 million under the Revolving Credit Facility, repaid $63.8 million on the principal balance of the Term B Facility and repaid $50.0 million on the Revolving Credit Facility during the year. In addition, BellRing LLC paid Post $24.6 million related to tax distributions pursuant to the BellRing LLC agreement and state tax withholdings payments on behalf of Post.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Cash used in financing activities for the year ended September 30, 2020 was $52.6 million. BellRing LLC received proceeds of $686.0 million, net of discount, related to the issuance of the Term B Facility and drew an aggregate of $195.0 million under the Revolving Credit Facility. In addition, BellRing Inc. received $524.4 million from the issuance of its Class A Common Stock in conjunction with the IPO. BellRing LLC had net cash transfers of $32.1 million to Post which included cash deposits and borrowings prior to the IPO, tax distributions to Post pursuant to the BellRing LLC agreement and state tax withholdings payments on behalf of Post. BellRing LLC also repaid the $1,225.0 million outstanding principal balance of the Bridge Loan assumed from Post, repaid $165.0 million on the Revolving Credit Facility and repaid $26.3 million on the principal balance of the Term B Facility. In connection with the issuance of BellRing LLC’s long-term debt, BellRing LLC paid $9.6 million in debt issuance costs and deferred financing fees.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financing activities for the year ended September 30, 2019 was $100.2 million, which primarily related to cash transfers to and from Post. The components of net transfers included cash deposits to Post and cash borrowings received from Post used to fund operations or capital expenditures and allocations of Post’s corporate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September 30, 2021, and we do not believe non-compliance is reasonably likely in the foreseeable future.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potential incremental revolving and term facilities, and also permits BellRing LLC to incur other secured or unsecured debt, in all cases subject to conditions and limitations on the amount as specified in the Credit Agreement.</w:t>
      </w:r>
    </w:p>
    <w:p>
      <w:pPr>
        <w:spacing w:after="0" w:line="22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COMMODITY TRENDS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price fluctuations primarily from purchases of ingredients and packaging materials, transportation costs and energy. Our principal ingredients are milk-based, whey-based and soy-based proteins, protein blends, sweeteners and vitamin and mineral blends. Our principal packaging materials consist of aseptic foil and plastic lined cardboard cartons, flexible and rigid plastic film and containers, beverage packaging and corrugate. These costs have been volatile in recent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2021, 2020 and 2019, but could have a material impact in the future if inflation rates were to significantly exceed our ability to achieve price increases.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IPO, our operations were conducted by and accounted for as part of the active nutrition business of Post. These historical consolidated financial statements were prepared on a stand-alone basis and were derived from the consolidated financial statements and accounting records of Post. The consolidated financial statements prior to the IPO reflect the historical results of operations, financial position and cash flows of the active nutrition business of Post and the allocation of certain Post corporate expenses relating to the active nutrition business of Post based on the historical financial statements and accounting records of Post. In the opinion of management, the assumptions underlying the historical consolidated financial statements, including the basis on which the expenses have been allocated from Post, are reasonable. However, the allocations may not reflect the expenses that BellRing Inc. may have incurred as a separate company for the periods presented.</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significant accounting policies are described in Note 2 within “Notes to Consolidated Financial Statements.” Our critical accounting estimates are those that have a meaningful impact on the reporting of our financial condition and results of operations.</w:t>
      </w:r>
    </w:p>
    <w:p>
      <w:pPr>
        <w:spacing w:after="0" w:line="5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We recognize revenue when performance obligations have been satisfied by transferring control of the goods to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6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Many of our contracts with customers include some form of variable or fixed consideration. The most common forms of variable and fixed consideration are trade promotions, rebates and discount programs.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We do not believe that there will be significant changes to our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5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Long-Lived Assets </w:t>
      </w:r>
      <w:r>
        <w:rPr>
          <w:rFonts w:ascii="Arial" w:cs="Arial" w:eastAsia="Arial" w:hAnsi="Arial"/>
          <w:sz w:val="16"/>
          <w:szCs w:val="16"/>
          <w:color w:val="auto"/>
        </w:rPr>
        <w:t>— We review long-lived assets, including leasehold improvements, property and equipment and amortized intangible assets, for</w:t>
      </w:r>
      <w:r>
        <w:rPr>
          <w:rFonts w:ascii="Arial" w:cs="Arial" w:eastAsia="Arial" w:hAnsi="Arial"/>
          <w:sz w:val="16"/>
          <w:szCs w:val="16"/>
          <w:b w:val="1"/>
          <w:bCs w:val="1"/>
          <w:color w:val="auto"/>
        </w:rPr>
        <w:t xml:space="preserve"> </w:t>
      </w:r>
      <w:r>
        <w:rPr>
          <w:rFonts w:ascii="Arial" w:cs="Arial" w:eastAsia="Arial" w:hAnsi="Arial"/>
          <w:sz w:val="16"/>
          <w:szCs w:val="16"/>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 There were no indicators, including adverse trends in the business, that indicated it was more likely than not that our long-lived assets were impaired in fiscal 2021, 2020 or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 We estimate income tax expense based on taxes in each jurisdiction. We estimate current tax exposures together with temporary</w:t>
      </w:r>
      <w:r>
        <w:rPr>
          <w:rFonts w:ascii="Arial" w:cs="Arial" w:eastAsia="Arial" w:hAnsi="Arial"/>
          <w:sz w:val="17"/>
          <w:szCs w:val="17"/>
          <w:b w:val="1"/>
          <w:bCs w:val="1"/>
          <w:color w:val="auto"/>
        </w:rPr>
        <w:t xml:space="preserve"> </w:t>
      </w:r>
      <w:r>
        <w:rPr>
          <w:rFonts w:ascii="Arial" w:cs="Arial" w:eastAsia="Arial" w:hAnsi="Arial"/>
          <w:sz w:val="17"/>
          <w:szCs w:val="17"/>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within “Notes to Consolidated Financial Statements” for more information about estimates affecting income taxes.</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within “Notes to Consolidated Financial Statements” for a discussion regarding recently issued accounting standards.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COVID-19 pandemic has resulted in significant volatility and uncertainty in the markets in which the Company operates. At the time of this report, the COVID-19 pandemic has not had, and the Company does not currently expect to have, a significant impact on its exposure to market risk from commodity prices, foreign currency exchange rates and interest rates, among others. For additional discussion, refer to “Liquidity and Capital Resources” in Item 7, as well as “Cautionary Statement on Forward-Looking Statements” and “Risk Factors” in Part I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2021 and 2020, BellRing LLC had an aggregate principal amount of $609.9 million and $673.7 million outstanding on its Term B Facility, respectively, and an aggregate principal amount of zero and $30.0 million outstanding under its Revolving Credit Facility, respectively. Borrowings under the Term B Facility and the Revolving Credit Facility bear interest at variable rates. Including the impact of interest rate swaps, a hypothetical 10% increase in interest rates would have an immaterial impact on both interest expense and interest paid during both the years ended September 30, 2021 and 2020. For additional information regarding BellRing LLC’s debt, see Note 15 within “Notes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2021 and 2020, the Company had interest rate swaps with a notional value of $350.0 million. A hypothetical 10% adverse change in interest rates would have an immaterial impact on the fair value of the interest rate swaps as of both September 30, 2021 and 2020. For additional information regarding the Company’s interest rate swap contracts, see Note 13 within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09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39"/>
        </w:trPr>
        <w:tc>
          <w:tcPr>
            <w:tcW w:w="1096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9680" w:type="dxa"/>
            <w:vAlign w:val="bottom"/>
          </w:tcPr>
          <w:p>
            <w:pPr>
              <w:ind w:left="2740"/>
              <w:spacing w:after="0"/>
              <w:rPr>
                <w:sz w:val="20"/>
                <w:szCs w:val="20"/>
                <w:color w:val="auto"/>
              </w:rPr>
            </w:pPr>
            <w:r>
              <w:rPr>
                <w:rFonts w:ascii="Arial" w:cs="Arial" w:eastAsia="Arial" w:hAnsi="Arial"/>
                <w:sz w:val="18"/>
                <w:szCs w:val="18"/>
                <w:b w:val="1"/>
                <w:bCs w:val="1"/>
                <w:color w:val="auto"/>
              </w:rPr>
              <w:t>INDEX TO FINANCIAL STATEMENTS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10960" w:type="dxa"/>
            <w:vAlign w:val="bottom"/>
            <w:gridSpan w:val="2"/>
          </w:tcPr>
          <w:p>
            <w:pPr>
              <w:ind w:left="20"/>
              <w:spacing w:after="0"/>
              <w:rPr>
                <w:sz w:val="20"/>
                <w:szCs w:val="20"/>
                <w:color w:val="auto"/>
              </w:rPr>
            </w:pPr>
            <w:r>
              <w:rPr>
                <w:rFonts w:ascii="Arial" w:cs="Arial" w:eastAsia="Arial" w:hAnsi="Arial"/>
                <w:sz w:val="18"/>
                <w:szCs w:val="18"/>
                <w:b w:val="1"/>
                <w:bCs w:val="1"/>
                <w:color w:val="auto"/>
              </w:rPr>
              <w:t>Audited Consolidated Financial Statements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53">
              <w:r>
                <w:rPr>
                  <w:rFonts w:ascii="Arial" w:cs="Arial" w:eastAsia="Arial" w:hAnsi="Arial"/>
                  <w:sz w:val="18"/>
                  <w:szCs w:val="18"/>
                  <w:color w:val="0000FF"/>
                  <w:w w:val="79"/>
                </w:rPr>
                <w:t>52</w:t>
              </w:r>
            </w:hyperlink>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Consolidated Statements of Operations for the Fiscal Years Ended September 30, 2021, 2020 and 2019</w:t>
            </w:r>
          </w:p>
        </w:tc>
        <w:tc>
          <w:tcPr>
            <w:tcW w:w="180" w:type="dxa"/>
            <w:vAlign w:val="bottom"/>
            <w:tcBorders>
              <w:top w:val="single" w:sz="8" w:color="CCEEFF"/>
              <w:bottom w:val="single" w:sz="8" w:color="0000FF"/>
            </w:tcBorders>
          </w:tcPr>
          <w:p>
            <w:pPr>
              <w:jc w:val="right"/>
              <w:spacing w:after="0" w:line="189" w:lineRule="exact"/>
              <w:rPr>
                <w:rFonts w:ascii="Arial" w:cs="Arial" w:eastAsia="Arial" w:hAnsi="Arial"/>
                <w:sz w:val="18"/>
                <w:szCs w:val="18"/>
                <w:color w:val="0000FF"/>
                <w:w w:val="79"/>
              </w:rPr>
            </w:pPr>
            <w:hyperlink w:anchor="page55">
              <w:r>
                <w:rPr>
                  <w:rFonts w:ascii="Arial" w:cs="Arial" w:eastAsia="Arial" w:hAnsi="Arial"/>
                  <w:sz w:val="18"/>
                  <w:szCs w:val="18"/>
                  <w:color w:val="0000FF"/>
                  <w:w w:val="79"/>
                </w:rPr>
                <w:t>54</w:t>
              </w:r>
            </w:hyperlink>
          </w:p>
        </w:tc>
        <w:tc>
          <w:tcPr>
            <w:tcW w:w="100" w:type="dxa"/>
            <w:vAlign w:val="bottom"/>
            <w:tcBorders>
              <w:top w:val="single" w:sz="8" w:color="CCEEFF"/>
            </w:tcBorders>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 for the Fiscal Years Ended September 30, 2021, 2020 and 2019</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55</w:t>
              </w:r>
            </w:hyperlink>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Consolidated Balance Sheets as of September 30, 2021 and 2020</w:t>
            </w:r>
          </w:p>
        </w:tc>
        <w:tc>
          <w:tcPr>
            <w:tcW w:w="180" w:type="dxa"/>
            <w:vAlign w:val="bottom"/>
            <w:tcBorders>
              <w:top w:val="single" w:sz="8" w:color="CCEEFF"/>
              <w:bottom w:val="single" w:sz="8" w:color="0000FF"/>
            </w:tcBorders>
          </w:tcPr>
          <w:p>
            <w:pPr>
              <w:jc w:val="right"/>
              <w:spacing w:after="0" w:line="189"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c>
          <w:tcPr>
            <w:tcW w:w="100" w:type="dxa"/>
            <w:vAlign w:val="bottom"/>
            <w:tcBorders>
              <w:top w:val="single" w:sz="8" w:color="CCEEFF"/>
            </w:tcBorders>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for the Fiscal Years Ended September 30, 2021, 2020 and 2019</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57</w:t>
              </w:r>
            </w:hyperlink>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1096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color w:val="auto"/>
              </w:rPr>
              <w:t>Consolidated Statements of Stockholders’ (Deficit) Equity for the Fiscal Years Ended September 30, 2021, 2020 and 2019</w:t>
            </w:r>
          </w:p>
        </w:tc>
        <w:tc>
          <w:tcPr>
            <w:tcW w:w="180" w:type="dxa"/>
            <w:vAlign w:val="bottom"/>
            <w:tcBorders>
              <w:top w:val="single" w:sz="8" w:color="CCEEFF"/>
              <w:bottom w:val="single" w:sz="8" w:color="0000FF"/>
            </w:tcBorders>
          </w:tcPr>
          <w:p>
            <w:pPr>
              <w:jc w:val="right"/>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58</w:t>
              </w:r>
            </w:hyperlink>
          </w:p>
        </w:tc>
        <w:tc>
          <w:tcPr>
            <w:tcW w:w="100" w:type="dxa"/>
            <w:vAlign w:val="bottom"/>
            <w:tcBorders>
              <w:top w:val="single" w:sz="8" w:color="CCEEFF"/>
            </w:tcBorders>
          </w:tcPr>
          <w:p>
            <w:pPr>
              <w:spacing w:after="0"/>
              <w:rPr>
                <w:sz w:val="16"/>
                <w:szCs w:val="16"/>
                <w:color w:val="auto"/>
              </w:rPr>
            </w:pPr>
          </w:p>
        </w:tc>
      </w:tr>
      <w:tr>
        <w:trPr>
          <w:trHeight w:val="21"/>
        </w:trPr>
        <w:tc>
          <w:tcPr>
            <w:tcW w:w="128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4"/>
        </w:trPr>
        <w:tc>
          <w:tcPr>
            <w:tcW w:w="1096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60">
              <w:r>
                <w:rPr>
                  <w:rFonts w:ascii="Arial" w:cs="Arial" w:eastAsia="Arial" w:hAnsi="Arial"/>
                  <w:sz w:val="18"/>
                  <w:szCs w:val="18"/>
                  <w:color w:val="0000FF"/>
                  <w:w w:val="79"/>
                </w:rPr>
                <w:t>59</w:t>
              </w:r>
            </w:hyperlink>
          </w:p>
        </w:tc>
        <w:tc>
          <w:tcPr>
            <w:tcW w:w="100" w:type="dxa"/>
            <w:vAlign w:val="bottom"/>
            <w:tcBorders>
              <w:bottom w:val="single" w:sz="8" w:color="CCEEFF"/>
            </w:tcBorders>
            <w:shd w:val="clear" w:color="auto" w:fill="CCEEFF"/>
          </w:tcPr>
          <w:p>
            <w:pPr>
              <w:spacing w:after="0"/>
              <w:rPr>
                <w:sz w:val="18"/>
                <w:szCs w:val="18"/>
                <w:color w:val="auto"/>
              </w:rPr>
            </w:pPr>
          </w:p>
        </w:tc>
      </w:tr>
      <w:tr>
        <w:trPr>
          <w:trHeight w:val="1161"/>
        </w:trPr>
        <w:tc>
          <w:tcPr>
            <w:tcW w:w="10960" w:type="dxa"/>
            <w:vAlign w:val="bottom"/>
            <w:tcBorders>
              <w:top w:val="single" w:sz="8" w:color="CCEEFF"/>
            </w:tcBorders>
            <w:gridSpan w:val="2"/>
          </w:tcPr>
          <w:p>
            <w:pPr>
              <w:ind w:left="5540"/>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BellRing Brands,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BellRing Brands, Inc. and its subsidiaries (the “Company”) as of September 30, 2021 and 2020, and the related consolidated statements of operations, of comprehensive income, of stockholders' (deficit) equity and of cash flows for each of the three years in the period ended September 30, 2021, including the related notes (collectively referred to as the “consolidated financial statements”). We also have audited the Company's internal control over financial reporting as of September 30, 2021,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September 30, 2021 and 2020, and the results of its operations and its cash flows for each of the three years in the period ended September 30, 2021 in conformity with accounting principles generally accepted in the United States of America. Also in our opinion, the Company maintained, in all material respects, effective internal control over financial reporting as of September 30,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fiscal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net- Allowance for Trade Promotions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described in Note 2 to the consolidated financial statements, many of the Company's contracts with customers include some form of variable or fixed consideration. The most common forms of variable and fixed consideration are trade promotions, rebates and discount programs. These programs resulted in an allowance for trade promotions of $19.4 million which is reflected as a reduction of receivables, net as of September 30, 2021.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principal consideration for our determination that performing procedures relating to receivables, net - allowance for trade promotions is a critical audit matter is the matter involved significant audit effort in performing procedures related to management’s allowance for trade promotions.</w:t>
      </w:r>
    </w:p>
    <w:p>
      <w:pPr>
        <w:spacing w:after="0" w:line="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and valuation of the allowance for trade promotions. These procedures also included, among others (i) testing management’s process for determining the allowance for trade promotions;</w:t>
      </w:r>
    </w:p>
    <w:p>
      <w:pPr>
        <w:spacing w:after="0" w:line="2" w:lineRule="exact"/>
        <w:rPr>
          <w:sz w:val="20"/>
          <w:szCs w:val="20"/>
          <w:color w:val="auto"/>
        </w:rPr>
      </w:pPr>
    </w:p>
    <w:p>
      <w:pPr>
        <w:ind w:right="20" w:firstLine="8"/>
        <w:spacing w:after="0" w:line="260" w:lineRule="auto"/>
        <w:tabs>
          <w:tab w:leader="none" w:pos="2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appropriateness of the methodology; and (iii) testing the accuracy and relevance of underlying data used to determine the allowance for trade promotions by examining customer agreements and sales data on a test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Other operating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refinancing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on derivatives</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20"/>
              <w:spacing w:after="0"/>
              <w:rPr>
                <w:sz w:val="20"/>
                <w:szCs w:val="20"/>
                <w:color w:val="auto"/>
              </w:rPr>
            </w:pPr>
            <w:r>
              <w:rPr>
                <w:rFonts w:ascii="Arial" w:cs="Arial" w:eastAsia="Arial" w:hAnsi="Arial"/>
                <w:sz w:val="18"/>
                <w:szCs w:val="18"/>
                <w:color w:val="auto"/>
              </w:rPr>
              <w:t>Reclassifications to net earnings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Unrealized foreign currency translation adjustments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 (expense) benefit on other comprehensive income (loss):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Net loss on derivatives</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Reclassifications to net earnings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w w:val="91"/>
              </w:rPr>
              <w:t>Total Other Comprehensive Income (Loss) Including Redeemable Noncontrolling Interest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8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640"/>
              <w:spacing w:after="0"/>
              <w:rPr>
                <w:sz w:val="20"/>
                <w:szCs w:val="20"/>
                <w:color w:val="auto"/>
              </w:rPr>
            </w:pPr>
            <w:r>
              <w:rPr>
                <w:rFonts w:ascii="Arial" w:cs="Arial" w:eastAsia="Arial" w:hAnsi="Arial"/>
                <w:sz w:val="18"/>
                <w:szCs w:val="18"/>
                <w:b w:val="1"/>
                <w:bCs w:val="1"/>
                <w:color w:val="auto"/>
              </w:rPr>
              <w:t>LIABILITIES AND 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16)</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Preferred stock, $0.01 par value; 50,000,000 shares authorized, zero shares issued and outstanding in each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Common stock, $0.01 par value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Class A common stock; 500,000,000 shares authorized in each year, 39,510,430 and 39,428,571 shares issued</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and outstanding, respectively</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40"/>
              <w:spacing w:after="0"/>
              <w:rPr>
                <w:sz w:val="20"/>
                <w:szCs w:val="20"/>
                <w:color w:val="auto"/>
              </w:rPr>
            </w:pPr>
            <w:r>
              <w:rPr>
                <w:rFonts w:ascii="Arial" w:cs="Arial" w:eastAsia="Arial" w:hAnsi="Arial"/>
                <w:sz w:val="18"/>
                <w:szCs w:val="18"/>
                <w:color w:val="auto"/>
              </w:rPr>
              <w:t>Class B common stock; 1 share authorized, issued and outstanding in each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Arial" w:cs="Arial" w:eastAsia="Arial" w:hAnsi="Arial"/>
                <w:sz w:val="18"/>
                <w:szCs w:val="18"/>
                <w:b w:val="1"/>
                <w:bCs w:val="1"/>
                <w:color w:val="auto"/>
              </w:rPr>
              <w:t>Total Liabilities and Stockholders’ Deficit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176"/>
        </w:trPr>
        <w:tc>
          <w:tcPr>
            <w:tcW w:w="7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Adjustments to reconcile net earnings including redeemable noncontrolling interest to net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interest rate swaps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Loss on refinancing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receivables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Decrease (increase) in 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prepaid expenses and other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Decrease in 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00" w:type="dxa"/>
            <w:vAlign w:val="bottom"/>
          </w:tcPr>
          <w:p>
            <w:pPr>
              <w:ind w:left="240"/>
              <w:spacing w:after="0"/>
              <w:rPr>
                <w:sz w:val="20"/>
                <w:szCs w:val="20"/>
                <w:color w:val="auto"/>
              </w:rPr>
            </w:pPr>
            <w:r>
              <w:rPr>
                <w:rFonts w:ascii="Arial" w:cs="Arial" w:eastAsia="Arial" w:hAnsi="Arial"/>
                <w:sz w:val="18"/>
                <w:szCs w:val="18"/>
                <w:color w:val="auto"/>
              </w:rPr>
              <w:t>Increase in non-current liabilities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to property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issuance costs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 and deferred financing fees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Payment of debt refinancing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Post Holdings, Inc.,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6"/>
                <w:szCs w:val="16"/>
                <w:b w:val="1"/>
                <w:bCs w:val="1"/>
                <w:color w:val="auto"/>
                <w:w w:val="98"/>
              </w:rPr>
              <w:t>As Of and For The Year Ended September 30,</w:t>
            </w: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2019</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and end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Class A Common Stockholders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Distributions to Post Holdings, Inc.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Initial public offering</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Net Investment of Post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Net earnings attributable to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Initial public offering</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Reclassification of net investment of Post Holdings, Inc.</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decrease in net investment of Post Holdings, Inc.</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change in hedges, net of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End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00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486.4</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Preferred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and end of year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Common Stock,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information or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and nutrition bars. The Company has a single operating and reportable segment, with its principal products being protein-based consumer goods.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shares of its Class A common stock, $0.01 par value per share (the “Class A Common Stock”) and contributed the net proceeds from the IPO to BellRing Brands, LLC, a Delaware limited liability company and subsidiary of BellRing Inc. (“BellRing LLC”), in exchange for 39.4 BellRing LLC non-voting membership units (the “BellRing LLC units”).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a result of the IPO and certain other transactions completed in connection with the IPO (the “formation transactions”), BellRing LLC became the holder of the active nutrition business of Post Holdings, Inc. (“Post”), which until the completion of the IPO, had been comprised of Premier Nutrition Company, LLC (“Premier Nutrition”), Dymatize Enterprises, LLC (“Dymatize”), Supreme Protein, LLC,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 (“Active Nutrition International”).</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BellRing Inc., as a holding company, has no material assets other than its ownership of BellRing LLC units and its indirect interests in the subsidiaries of BellRing LLC and has no independent means of generating revenue or cash flow. The members of BellRing LLC are Post and BellRing Inc.</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2021, Post held 97.5 BellRing LLC units, equal to 71.2% of the economic interest in BellRing LLC, and one share of Class B common stock of BellRing Inc., $0.01 par value per share (the “Class B Common Stock”), which represented 67% of the combined voting power of the common stock of BellRing Inc. The Class B Common Stock has no dividend or other economic rights.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2021, the public stockholders of BellRing Inc. (i) owned 39.5 shares of Class A Common Stock, which represented 33% of the combined voting power of BellRing Inc. common stock and 100% of the economic interest in BellRing Inc., and (ii) through BellRing Inc.’s ownership of BellRing LLC units, indirectly held 28.8% of the economic interest in BellRing LLC.</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BellRing Inc. and BellRing LLC will at all times maintain, subject to certain exceptions, a one-to-one ratio between the number of shares of Class A Common Stock issued by BellRing Inc. and the number of BellRing LLC units owned by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For the period prior to the IPO, the consolidated financial statements present the consolidated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financial position, cash flows and stockholders’ equity of the active nutrition business of Post. All intercompany balances and transactions have been eliminated. Transactions between the Company and Post are included in these financial statements as well as allocations of certain Post corporate expenses. These allocated expenses related to various services that were provided to the Company by Post, including, but not limited to, cash management and other treasury services, administrative services (such as tax, employee benefit administration, risk management, internal audit, accounting and human resources) and stock-based compensation plan administration. See Note 6 for further information on services that Post continues to provide to the Company.</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subsequent to the IPO, the financial results of BellRing LLC and its subsidiaries are consolidated with BellRing Inc., and a portion of the consolidated net earnings of BellRing LLC is allocated to the redeemable noncontrolling interest (the “NCI”). The calculation of the NCI is based on Post’s ownership percentage of BellRing LLC units during each period, and reflects the entitlement of Post to a portion of the consolidated net earnings of BellRing LLC.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Use of Estimates and Allocations </w:t>
      </w:r>
      <w:r>
        <w:rPr>
          <w:rFonts w:ascii="Arial" w:cs="Arial" w:eastAsia="Arial" w:hAnsi="Arial"/>
          <w:sz w:val="17"/>
          <w:szCs w:val="17"/>
          <w:color w:val="auto"/>
        </w:rPr>
        <w:t>— The consolidated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of America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intangible assets and income taxes. Actual results could differ from those estimates.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include all highly liquid investments with original maturities of less than three months.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the Company had $152.6 and $48.7, respectively, in available cash, of which 5.5% and 25.7%, respectively, was outside of the United States (the “U.S.”). The Company’s intention is to reinvest these funds indefinitely.</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Receivables </w:t>
      </w:r>
      <w:r>
        <w:rPr>
          <w:rFonts w:ascii="Arial" w:cs="Arial" w:eastAsia="Arial" w:hAnsi="Arial"/>
          <w:sz w:val="17"/>
          <w:szCs w:val="17"/>
          <w:color w:val="auto"/>
        </w:rPr>
        <w:t>— Receivables are reported at net realizable value. This value includes appropriate allowances for credit losses, cash discounts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which the Company does not ultimately expect to collect. To calculate the allowance for credit losses, the Company estimates uncollectible amounts based on a review of past due balances, historical loss information and an evaluation of customer accounts for potential future losses. A receivable is considered past due if payments have not been received within the agreed upon invoice terms. Receivables are written off against the allowance when deemed to be uncollectible based upon the Company’s evaluation of the customer’s solvency. As of September 30, 2021 and 2020, the Company did not have off-balance sheet credit exposure related to its customers.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generally valued at the lower of average cost (determined on a first-in, first-out basis) or net realizable value.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have been reduced by a write-down for obsolete product and packaging materials based on a review of inventories on hand compared to estimated future usage and sales.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Restructuring Expenses </w:t>
      </w:r>
      <w:r>
        <w:rPr>
          <w:rFonts w:ascii="Arial" w:cs="Arial" w:eastAsia="Arial" w:hAnsi="Arial"/>
          <w:sz w:val="18"/>
          <w:szCs w:val="18"/>
          <w:color w:val="auto"/>
        </w:rPr>
        <w:t>— Restructuring charges principally consist of severance and other employee separation costs. The Company recognizes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obligations and liabilities for exit and disposal activities at fair value in the period the liability is incurred. Employee severance costs are expensed when they become probable and reasonably estimable under established severance plans.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Property </w:t>
      </w:r>
      <w:r>
        <w:rPr>
          <w:rFonts w:ascii="Arial" w:cs="Arial" w:eastAsia="Arial" w:hAnsi="Arial"/>
          <w:sz w:val="18"/>
          <w:szCs w:val="18"/>
          <w:color w:val="auto"/>
        </w:rPr>
        <w:t>— Property is recorded at cost, and depreciation expense is generally provided on a straight-line basis over the estimated useful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Estimated useful lives range from 2 to 13 years for machinery and equipment; 1 to 33 years for buildings, building improvements and leasehold improvements; and 1 to 3 years for software. Total depreciation expense was $2.5, $2.9 and $3.1 in fiscal 2021, 2020 and 2019, respectively. Any gains and losses incurred on the sale or disposal of assets would be included in other operating income/expense in the statement of operations. Repair and maintenance costs incurred in connection with on-going and planned major maintenance activities are accounted for under the direct expensing method. Property consisted of:</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8460" w:type="dxa"/>
            <w:vAlign w:val="bottom"/>
          </w:tcPr>
          <w:p>
            <w:pPr>
              <w:ind w:left="140"/>
              <w:spacing w:after="0"/>
              <w:rPr>
                <w:sz w:val="20"/>
                <w:szCs w:val="20"/>
                <w:color w:val="auto"/>
              </w:rPr>
            </w:pPr>
            <w:r>
              <w:rPr>
                <w:rFonts w:ascii="Arial" w:cs="Arial" w:eastAsia="Arial" w:hAnsi="Arial"/>
                <w:sz w:val="18"/>
                <w:szCs w:val="18"/>
                <w:b w:val="1"/>
                <w:bCs w:val="1"/>
                <w:color w:val="auto"/>
              </w:rPr>
              <w:t>Property,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both September 30, 2021 and 2020, the majority of the Company’s tangible long-lived assets were located in Europe and had a net carrying value of $6.6; the remainder were located in the U.S.</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cost of acquired businesses over the fair market value of their identifiable net assets.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fiscal 2021 and 2020, the Company performed a qualitative test and determined there were no indicators, including adverse trends in the business, that would indicate it was more likely than not that goodwill was impaired. In fiscal 2019,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 elected not to perform a qualitative assessment and instead performed a quantitative impairment test. The quantitative goodwill impairment test requires an entity to compare the fair value of each reporting unit with its carrying amount. 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w:t>
      </w:r>
    </w:p>
    <w:p>
      <w:pPr>
        <w:spacing w:after="0" w:line="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2021, 2020 or 2019, as all reporting units with goodwill passed either the qualitative or quantitative impairment test.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Consolidated Balance Sheets at both the beginning and end of the years ended September 30, 2021 and 2020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r>
      <w:tr>
        <w:trPr>
          <w:trHeight w:val="248"/>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 Intangible assets consist primarily of definite-lived customer relationships, trademarks and brands. Amortization expense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definite-lived intangible assets, which is provided on a straight-line basis (as it approximates the economic benefit) over the estimated useful lives of the assets, was $51.2, $22.2 and $22.2 in fiscal 2021, 2020 and 2019, respectively. For the definite-lived intangible assets recorded as of September 30, 2021, amortization expense of $19.5 is expected in each of the next five fiscal years. Intangible assets consisted of:</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23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Arial" w:cs="Arial" w:eastAsia="Arial" w:hAnsi="Arial"/>
                <w:sz w:val="16"/>
                <w:szCs w:val="16"/>
                <w:b w:val="1"/>
                <w:bCs w:val="1"/>
                <w:color w:val="auto"/>
              </w:rPr>
              <w:t>Net</w:t>
            </w: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December 2020, the Company finalized its plan to discontinue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and related sales of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products. In connection with the discontinuance, the Company updated the useful lives of the customer relationships and trademarks associated with the </w:t>
      </w:r>
      <w:r>
        <w:rPr>
          <w:rFonts w:ascii="Arial" w:cs="Arial" w:eastAsia="Arial" w:hAnsi="Arial"/>
          <w:sz w:val="17"/>
          <w:szCs w:val="17"/>
          <w:i w:val="1"/>
          <w:iCs w:val="1"/>
          <w:color w:val="auto"/>
        </w:rPr>
        <w:t>Supreme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brand to reflect the remaining period in which the Company continued to sell existing</w:t>
      </w:r>
      <w:r>
        <w:rPr>
          <w:rFonts w:ascii="Arial" w:cs="Arial" w:eastAsia="Arial" w:hAnsi="Arial"/>
          <w:sz w:val="17"/>
          <w:szCs w:val="17"/>
          <w:i w:val="1"/>
          <w:iCs w:val="1"/>
          <w:color w:val="auto"/>
        </w:rPr>
        <w:t xml:space="preserve"> Supreme Protein </w:t>
      </w:r>
      <w:r>
        <w:rPr>
          <w:rFonts w:ascii="Arial" w:cs="Arial" w:eastAsia="Arial" w:hAnsi="Arial"/>
          <w:sz w:val="17"/>
          <w:szCs w:val="17"/>
          <w:color w:val="auto"/>
        </w:rPr>
        <w:t>product inventory. Accelerated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$29.9 was recorded during the year ended September 30, 2021 resulting from the updated useful lives of the customer relationships and trademarks associated with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which were fully amortized and written off as of September 30, 2021.</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Recoverability of Assets </w:t>
      </w:r>
      <w:r>
        <w:rPr>
          <w:rFonts w:ascii="Arial" w:cs="Arial" w:eastAsia="Arial" w:hAnsi="Arial"/>
          <w:sz w:val="18"/>
          <w:szCs w:val="18"/>
          <w:color w:val="auto"/>
        </w:rPr>
        <w:t>— The Company continually evaluates whether events or circumstances have occurred which might impair the recoverability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carrying value of its assets, including property, identifiable intangibles, goodwill and right-of-use (“ROU”) assets.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 There were no indicators, including adverse trends in the business, that indicated it was more likely than not that the Company’s long-lived assets were impaired in fiscal 2021, 2020 or 2019.</w:t>
      </w:r>
    </w:p>
    <w:p>
      <w:pPr>
        <w:spacing w:after="0" w:line="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In the ordinary course of business, the Company is exposed to commodity price risks relating to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derivative programs may include strategies that do and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 All derivatives are recognized on the balance sheet at fair value. For derivatives that qualify for hedge accounting,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derivative is designated as a hedge on the date in which the derivative contract is entered. Derivatives could be designated as a hedge of the variability of cash flows to be received or paid related to a recognized asset or liability (cash flow hedge). Derivatives may also be considered natural hedging instruments, where changes in their fair values act as economic offsets to changes in fair values of the underlying hedged items and are not designated for hedge accounting. The Company does not have any derivatives currently or previously designated as a net investment or fair value hedge.</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cash flow hedges, gains and losses are recorded in other comprehensive income (“OCI”) and are reclassified to the Consolidated Statements of Operations in conjunction with the recognition of the underlying hedged item. Changes in the fair value of derivatives that are not designated for hedge accounting are recognized immediately in the Consolidated Statements of Operations. Cash flows from derivatives that are accounted for as hedges and cash flows from derivatives that are not designated as hedges are classified in the same category on the Consolidated Statements of Cash Flows as the items being hedged or on bases consistent with the nature of the instruments.</w:t>
      </w:r>
    </w:p>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 In conjunction with the adoption of Accounting Standards Update (“ASU”) 2016-02, “Leases (Topic 842)” and ASU 2018-11, “Leases</w:t>
      </w:r>
      <w:r>
        <w:rPr>
          <w:rFonts w:ascii="Arial" w:cs="Arial" w:eastAsia="Arial" w:hAnsi="Arial"/>
          <w:sz w:val="17"/>
          <w:szCs w:val="17"/>
          <w:i w:val="1"/>
          <w:iCs w:val="1"/>
          <w:color w:val="auto"/>
        </w:rPr>
        <w:t xml:space="preserve"> </w:t>
      </w:r>
      <w:r>
        <w:rPr>
          <w:rFonts w:ascii="Arial" w:cs="Arial" w:eastAsia="Arial" w:hAnsi="Arial"/>
          <w:sz w:val="17"/>
          <w:szCs w:val="17"/>
          <w:color w:val="auto"/>
        </w:rPr>
        <w:t>(Topic 842): Targeted Improvements” on October 1, 2019, the policy for lease accounting was updated. The policy for lease accounting is as follows:</w:t>
      </w:r>
    </w:p>
    <w:p>
      <w:pPr>
        <w:spacing w:after="0" w:line="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determines if an arrangement is a lease at its inception. When the arrangements include lease and non-lease components, the Company accounts for them as a single lease component. Leases with an initial term of less than 12 months are not reported on the balance sheet, but rather are recognized as lease expense on a straight-line basis over the lease term. Arrangements may include options to extend or terminate the lease arrangement. These options are included in the lease term used to establish ROU assets and lease liabilities when it is reasonably certain they will be exercised. The Company will reassess expected lease terms based on changes in circumstances that indicate options may be more or less likely to be exercised.</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has certain lease arrangements that include variable rental payments. The future variability of these payments and adjustments are unknown and therefore are not included in minimum rental payments used to determine ROU assets and lease liabilities. The Company has lease arrangements where it makes separate payments to the lessor based on the lessor's common area maintenance expenses, property and casualty insurance costs, property taxes assessed on the property and other variable expenses. As the Company has elected the practical expedient not to separate lease and non-lease components, these variable amounts are captured in operating lease expense in the period in which they are incurred. Variable rental payments are recognized in the period in which the associated obligation is incurred.</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most of the Company’s lease arrangements do not provide an implicit interest rate, an incremental borrowing rate (“IBR”) is applied in determining the present value of future payments. The Company’s IBR is selected based upon information available at the lease commencement date.</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as “Other assets,” and lease liabilities are recorded as “Other current liabilities” and “Other liabilities” on the Consolidated Balance Sheets. Operating lease expense is recognized on a straight-line basis over the lease term and is included in “Selling, general and administrative expenses” in the Consolidated Statements of Operations. Costs associated with finance leases and lease income do not have a material impact on the Company’s financial statements.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conjunction with the adoption of ASUs 2016-02 and 2018-11, the Company utilized the cumulative effect adjustment method of adoption and, accordingly, recorded ROU assets and lease liabilities of $14.8 and $16.0, respectively, on the balance sheet at October 1, 2019. The Company elected the following practical expedients in accordance with Accounting Standards Codification (“ASC”) Topic 842, “Leases”:</w:t>
      </w:r>
    </w:p>
    <w:p>
      <w:pPr>
        <w:spacing w:after="0" w:line="57" w:lineRule="exact"/>
        <w:rPr>
          <w:sz w:val="20"/>
          <w:szCs w:val="20"/>
          <w:color w:val="auto"/>
        </w:rPr>
      </w:pPr>
    </w:p>
    <w:p>
      <w:pPr>
        <w:jc w:val="both"/>
        <w:ind w:left="660" w:hanging="328"/>
        <w:spacing w:after="0" w:line="279"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Reassessment elections </w:t>
      </w:r>
      <w:r>
        <w:rPr>
          <w:rFonts w:ascii="Arial" w:cs="Arial" w:eastAsia="Arial" w:hAnsi="Arial"/>
          <w:sz w:val="17"/>
          <w:szCs w:val="17"/>
          <w:color w:val="auto"/>
        </w:rPr>
        <w:t>— The Company elected the package of practical expedients and did not reassess whether any existing contracts are or</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a lease, provided a lease analysis was conducted under ASC Topic 840, “Leases”. To the 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spacing w:after="0" w:line="63"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Short-term lease election </w:t>
      </w:r>
      <w:r>
        <w:rPr>
          <w:rFonts w:ascii="Arial" w:cs="Arial" w:eastAsia="Arial" w:hAnsi="Arial"/>
          <w:sz w:val="18"/>
          <w:szCs w:val="18"/>
          <w:color w:val="auto"/>
        </w:rPr>
        <w:t>— ASC Topic 842 allows lessees an option to not recognize ROU assets and lease liabilities arising from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Lease vs non-lease components </w:t>
      </w:r>
      <w:r>
        <w:rPr>
          <w:rFonts w:ascii="Arial" w:cs="Arial" w:eastAsia="Arial" w:hAnsi="Arial"/>
          <w:sz w:val="18"/>
          <w:szCs w:val="18"/>
          <w:color w:val="auto"/>
        </w:rPr>
        <w:t>— The Company elected to combine lease and non-lease components as a single component and the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for the arrangements were accounted for as a lease.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October 1, 2019, the Company accounted for leases under ASC Topic 840.</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Net Investment of Post </w:t>
      </w:r>
      <w:r>
        <w:rPr>
          <w:rFonts w:ascii="Arial" w:cs="Arial" w:eastAsia="Arial" w:hAnsi="Arial"/>
          <w:sz w:val="16"/>
          <w:szCs w:val="16"/>
          <w:color w:val="auto"/>
        </w:rPr>
        <w:t>— Net Investment of Post on the Consolidated Statements of Stockholders’ (Deficit) Equity represents Post’s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 its active nutrition business, its accumulated net income and the net effect of the transactions with and allocations from Post prior to the IPO.</w:t>
      </w:r>
    </w:p>
    <w:p>
      <w:pPr>
        <w:spacing w:after="0" w:line="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 The Company recognizes revenue when performance obligations have been satisfied by transferring control of the goods to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4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of the Company’s contracts with customers include some form of variable or fixed consideration. The most common forms of variable and fixed consideration are trade promotions, rebates and discount programs. As of September 30, 2021 and 2020, these programs resulted in an allowance for trade promotions of $19.4 and $14.7, respectively, which were recorded as a reduction of “Receivables, net” on the Consolidated Balance Sheets. Variable consideration is treated as a reduction of revenue at the time product revenue is recognized. Methodologies for determining these provisions are dependent on specific customer pricing and promotional practices, which range from contractually fixed percentage price reductions to reimbursement based on actual occurrence or performance.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 The majority of trade promotions are redeemed in the form of invoice credits against trade receivables.</w:t>
      </w:r>
    </w:p>
    <w:p>
      <w:pPr>
        <w:spacing w:after="0" w:line="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summarizes the impact of the Company’s adoption of ASU 2014-09 “Revenue from Contracts with Customers (Topic 606)” on a modified retrospective basis in the Company’s Consolidated Statement of Operations for the year ended September 30, 2019, the year of adoption. As a result of the adoption, certain payments to customers totaling $8.8 in the year ended September 30, 2019 previously classified in “Selling, general and administrative expenses” were classified as “Net Sales” in the Consolidated Statement of Operations. These payments to customers related to trade advertisements that supported the Company’s sales to customers. In accordance with ASC Topic 606, “Revenue from Contracts with Customers,” these payments were determined not to be distinct within the customer contracts and, as such, required classification within net sales. No changes to the balance sheet were required by the adoption of ASC Topic 606.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6"/>
                <w:szCs w:val="16"/>
                <w:b w:val="1"/>
                <w:bCs w:val="1"/>
                <w:color w:val="auto"/>
                <w:w w:val="91"/>
              </w:rPr>
              <w:t>Year Ended September 30, 2019</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0"/>
              </w:rPr>
              <w:t>As Reported</w:t>
            </w:r>
          </w:p>
        </w:tc>
        <w:tc>
          <w:tcPr>
            <w:tcW w:w="160" w:type="dxa"/>
            <w:vAlign w:val="bottom"/>
          </w:tcPr>
          <w:p>
            <w:pPr>
              <w:spacing w:after="0"/>
              <w:rPr>
                <w:sz w:val="13"/>
                <w:szCs w:val="13"/>
                <w:color w:val="auto"/>
              </w:rPr>
            </w:pPr>
          </w:p>
        </w:tc>
        <w:tc>
          <w:tcPr>
            <w:tcW w:w="132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0"/>
              </w:rPr>
              <w:t>As Reported</w:t>
            </w:r>
          </w:p>
        </w:tc>
        <w:tc>
          <w:tcPr>
            <w:tcW w:w="300" w:type="dxa"/>
            <w:vAlign w:val="bottom"/>
          </w:tcPr>
          <w:p>
            <w:pPr>
              <w:spacing w:after="0"/>
              <w:rPr>
                <w:sz w:val="13"/>
                <w:szCs w:val="13"/>
                <w:color w:val="auto"/>
              </w:rPr>
            </w:pPr>
          </w:p>
        </w:tc>
        <w:tc>
          <w:tcPr>
            <w:tcW w:w="102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w w:val="95"/>
              </w:rPr>
              <w:t>Impact of</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500" w:type="dxa"/>
            <w:vAlign w:val="bottom"/>
            <w:gridSpan w:val="3"/>
          </w:tcPr>
          <w:p>
            <w:pPr>
              <w:jc w:val="center"/>
              <w:ind w:right="160"/>
              <w:spacing w:after="0" w:line="162" w:lineRule="exact"/>
              <w:rPr>
                <w:sz w:val="20"/>
                <w:szCs w:val="20"/>
                <w:color w:val="auto"/>
              </w:rPr>
            </w:pPr>
            <w:r>
              <w:rPr>
                <w:rFonts w:ascii="Arial" w:cs="Arial" w:eastAsia="Arial" w:hAnsi="Arial"/>
                <w:sz w:val="16"/>
                <w:szCs w:val="16"/>
                <w:b w:val="1"/>
                <w:bCs w:val="1"/>
                <w:color w:val="auto"/>
                <w:w w:val="92"/>
              </w:rPr>
              <w:t>Under ASC Topic</w:t>
            </w:r>
          </w:p>
        </w:tc>
        <w:tc>
          <w:tcPr>
            <w:tcW w:w="16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7"/>
              </w:rPr>
              <w:t>Under Prior</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75"/>
              <w:spacing w:after="0"/>
              <w:rPr>
                <w:sz w:val="20"/>
                <w:szCs w:val="20"/>
                <w:color w:val="auto"/>
              </w:rPr>
            </w:pPr>
            <w:r>
              <w:rPr>
                <w:rFonts w:ascii="Arial" w:cs="Arial" w:eastAsia="Arial" w:hAnsi="Arial"/>
                <w:sz w:val="16"/>
                <w:szCs w:val="16"/>
                <w:b w:val="1"/>
                <w:bCs w:val="1"/>
                <w:color w:val="auto"/>
                <w:w w:val="97"/>
              </w:rPr>
              <w:t>606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Guidance</w:t>
            </w:r>
          </w:p>
        </w:tc>
        <w:tc>
          <w:tcPr>
            <w:tcW w:w="30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6"/>
                <w:szCs w:val="16"/>
                <w:b w:val="1"/>
                <w:bCs w:val="1"/>
                <w:color w:val="auto"/>
                <w:w w:val="93"/>
              </w:rPr>
              <w:t>Adoption</w:t>
            </w:r>
          </w:p>
        </w:tc>
        <w:tc>
          <w:tcPr>
            <w:tcW w:w="0" w:type="dxa"/>
            <w:vAlign w:val="bottom"/>
          </w:tcPr>
          <w:p>
            <w:pPr>
              <w:spacing w:after="0"/>
              <w:rPr>
                <w:sz w:val="1"/>
                <w:szCs w:val="1"/>
                <w:color w:val="auto"/>
              </w:rPr>
            </w:pPr>
          </w:p>
        </w:tc>
      </w:tr>
      <w:tr>
        <w:trPr>
          <w:trHeight w:val="226"/>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41" w:right="339" w:bottom="1440" w:gutter="0" w:footer="0" w:header="0"/>
        </w:sectPr>
      </w:pPr>
    </w:p>
    <w:p>
      <w:pPr>
        <w:ind w:left="20"/>
        <w:spacing w:after="0"/>
        <w:rPr>
          <w:sz w:val="20"/>
          <w:szCs w:val="20"/>
          <w:color w:val="auto"/>
        </w:rPr>
      </w:pPr>
      <w:r>
        <w:rPr>
          <w:rFonts w:ascii="Arial" w:cs="Arial" w:eastAsia="Arial" w:hAnsi="Arial"/>
          <w:sz w:val="16"/>
          <w:szCs w:val="16"/>
          <w:color w:val="auto"/>
        </w:rPr>
        <w:t>Selling, general and administrative expenses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 assets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Profit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-334010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341" w:right="339" w:bottom="1440" w:gutter="0" w:footer="0" w:header="0"/>
          <w:type w:val="continuous"/>
        </w:sectPr>
      </w:pPr>
    </w:p>
    <w:p>
      <w:pPr>
        <w:spacing w:after="0" w:line="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among other things, inbound and outbound freight costs and depreciation expense related to assets</w:t>
      </w:r>
      <w:r>
        <w:rPr>
          <w:rFonts w:ascii="Arial" w:cs="Arial" w:eastAsia="Arial" w:hAnsi="Arial"/>
          <w:sz w:val="16"/>
          <w:szCs w:val="16"/>
          <w:i w:val="1"/>
          <w:iCs w:val="1"/>
          <w:color w:val="auto"/>
        </w:rPr>
        <w:t xml:space="preserve"> </w:t>
      </w:r>
      <w:r>
        <w:rPr>
          <w:rFonts w:ascii="Arial" w:cs="Arial" w:eastAsia="Arial" w:hAnsi="Arial"/>
          <w:sz w:val="16"/>
          <w:szCs w:val="16"/>
          <w:color w:val="auto"/>
        </w:rPr>
        <w:t>used in production, while storage and other warehousing costs are included in “Selling, general and administrative expenses” in the Consolidated Statements of Operations. Storage and other warehousing costs totaled $17.0, $17.4 and $13.7 in fiscal 2021, 2020 and 2019, respectively.</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Advertising costs are expensed as incurred, except for costs of producing media advertising such as television commercials or magazine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online advertisements, which are deferred until the first time the advertising takes place and amortized over the period the advertising runs. The amounts reported as assets on the Consolidated Balance Sheets as “Prepaid expenses and other current assets” were immaterial as of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Prior to the IPO, the Company’s employees had solely participated in Post’s stock-based compensation plans. Stock-based compensation expense under Post’s stock-based compensation plans had been allocated to the Company based on the awards and terms previously granted to its employees. All awards outstanding under Post’s stock-based compensation plans will continue to vest and the Company will record stock based-compensation expense related to those awards. Subsequent to the IPO, the Company’s employees also began to participate in the Company’s 2019 Long-Term Incentive Plan.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 — the requisite service period (usually the vesting period). Any forfeitures of stock-based awards are recorded as they occur. See Note 17 for disclosures related to stock-based compensation.</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 Income tax expense is estimated based on income taxes in each jurisdiction and includes the effects of both current tax</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w:t>
      </w:r>
    </w:p>
    <w:p>
      <w:pPr>
        <w:spacing w:after="0" w:line="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2021, BellRing Inc. held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 BellRing Inc. is subject to U.S. federal income taxes, in addition to state and local income taxes, with respect to its 28.8% distributive share of the items of income, gain, loss and deduction of BellRing LLC. BellRing Inc. is also subject to taxes in foreign jurisdictions. Prior to the IPO and formation transactions, the Company reported 100% of the income, gain, loss and deduction of BellRing LLC as part of Post’s consolidated U.S. federal income tax return and therefore, was subject to U.S. federal income taxes, in addition to state, local and foreign taxes. See Note 8 for disclosures related to income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Financial Accounting Standards Board (the “FASB”) issued ASU 2020-04, “Reference Rate Reform (Topic 848): Facilitation of the Effects of Reference Rate Reform on Financial Reporting.” This ASU provides optional expedients and exceptions for contracts, hedging relationships and other transactions that reference the London Interbank Offered Rate (“LIBOR”) or another reference rate expected to be discontinued because of reference rate reform. The expedients and exceptions provided by this ASU do not apply to contract modifications made and hedging relationships entered into or evaluated after December 31, 2022. This ASU is elective and effective for all entities as of March 12, 2020, the date this ASU was issued. An entity may elect to apply the amendments for contract modifications provided by this ASU as of any date from the beginning of an interim period that includes or is subsequent to March 12, 2020, or prospectively from a date within an interim period that includes or is subsequent to March 12, 2020. Once elected, this ASU must be applied prospectively for all eligible contract modifications. The Company is currently evaluating the impact of this ASU as it relates to its debt and hedging relationships.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provided guidance on the measurement of credit losses for most financial assets and certain other instruments. This ASU replaced the prior incurred loss impairment approach with a methodology to reflect expected credit losses and requires consideration of a broader range of reasonable and supportable information to explain credit loss estimates. The Company adopted this ASU on October 1, 2020, which did not materially change its methodology for calculating its allowance for doubtful accounts (see Note 2). The adoption of this ASU did not have a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Powders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7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11.7%, 11.1% and 13.6% of total fiscal 2021, 2020 and 2019 net sales, respectively. The largest concentration of foreign sales was within Europe, which accounted for 34.1%, 41.5% and 38.8% of total foreign net sales in fiscal 2021, 2020 and 2019, respectively. Sales are attributed to individual countries based on the address to which the product is shipped.</w:t>
      </w:r>
    </w:p>
    <w:p>
      <w:pPr>
        <w:spacing w:after="0" w:line="7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Two customers individually accounted for more than 10% of total net sales in each of the years ended September 30, 2021, 2020 and 2019. One customer accounted for 33.8%, 35.7% and 32.0% of total net sales in the years ended September 30, 2021, 2020 and 2019, respectively. The other customer accounted for 31.5%, 31.6% and 37.9% of total net sales in the years ended September 30, 2021, 2020 and 2019,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October 2020, the Company announced its plan to strategically realign its business, resulting in the closing of its Dallas, Texas office and the downsizing of its Munich, Germany location. These actions were completed as of September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340"/>
              <w:spacing w:after="0"/>
              <w:rPr>
                <w:sz w:val="20"/>
                <w:szCs w:val="20"/>
                <w:color w:val="auto"/>
              </w:rPr>
            </w:pPr>
            <w:r>
              <w:rPr>
                <w:rFonts w:ascii="Arial" w:cs="Arial" w:eastAsia="Arial" w:hAnsi="Arial"/>
                <w:sz w:val="18"/>
                <w:szCs w:val="18"/>
                <w:color w:val="auto"/>
              </w:rPr>
              <w:t>Restructuring charges and the associated liabilities for employee-related costs are shown in the following table.</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9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Pr>
          <w:p>
            <w:pPr>
              <w:ind w:left="140"/>
              <w:spacing w:after="0"/>
              <w:rPr>
                <w:sz w:val="20"/>
                <w:szCs w:val="20"/>
                <w:color w:val="auto"/>
              </w:rPr>
            </w:pPr>
            <w:r>
              <w:rPr>
                <w:rFonts w:ascii="Arial" w:cs="Arial" w:eastAsia="Arial" w:hAnsi="Arial"/>
                <w:sz w:val="18"/>
                <w:szCs w:val="18"/>
                <w:color w:val="auto"/>
              </w:rPr>
              <w:t>Charge to expense</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9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charges</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2021</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restructuring charges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restructuring charges incurred to date</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expected restructuring charges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Restructuring charges were included in “Selling, general and administrative expenses” in the Consolidated Statement of Operations. No restructuring charges were incurred during the years ended September 30, 2020 or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IPO, the Company used certain functions and services performed by Post. These functions and services included legal, finance, internal audit, treasury, information technology support, insurance and tax matters, the use of office and/or data center space, payroll processing services and tax compliance services. Costs for these functions and services performed by Post were allocated to the Company based on a reasonable activity base (including specific costs, revenue, net assets and headcount, or a combination of such items) or another reasonable method. For the year ended September 30, 2019, allocated costs were $12.6, which included $6.7 of costs related to the separation from Post. Costs related to the separation from Post were $0.2 and $1.9 for the years ended September 30, 2021 and 2020, respectively. Allocated costs and costs related to the separation from Post were included in “Selling, general and administrative expenses” in the Consolidated Statements of Operations.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completion of the IPO, Post continues to provide these services and other services to the Company under a master services agreement (the “MSA”). In addition to charges for these services, the Company also incurs certain pass-through charges from Post, primarily relating to stock-based compensation for employees participating in Post’s stock-based compensation plans. MSA fees were $2.2 for each of the years ended September 30, 2021 and 2020. Stock-based compensation expense related to Post’s stock-based compensation plans were $2.6 and $3.9 for the years ended September 30, 2021 and 2020,</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See Note 17 for further information related to Post’s stock-based compensation plans. MSA fees and stock-based compensation expense were reported in “Selling, general and administrative expenses” in the Consolidated Statements of Operations.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sells certain products to, purchases certain products from and licenses certain intellectual property to and from Post and its subsidiaries. For the period prior to the IPO, the amounts related to these transactions were included in the accompanying financial statements based upon transfer prices in effect at the time of the individual transactions. For the periods subsequent to the IPO, these transactions were based upon pricing governed by agreements between the Company and Post and its subsidiaries. These transactions were consistent with prices of similar arm's-length transactions during all periods. During each of the years ended September 30, 2021, 2020 and 2019, net sales to and royalties received from Post and its subsidiaries were immaterial. During the years ended September 30, 2021, 2020 and 2019, purchases from and royalties paid to Post and its subsidiaries were $1.0, $0.6 and zero, respectively.</w:t>
      </w:r>
    </w:p>
    <w:p>
      <w:pPr>
        <w:spacing w:after="0" w:line="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 series of agreements with Post which are intended to govern the ongoing relationship between the Company and Post. These agreements include the amended and restated limited liability company agreement of BellRing LLC (the “BellRing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with Post at both September 30, 2021 and 2020 related to sales with Post and its subsidiaries. The Company had $2.2 and $1.3 of payables with Post at September 30, 2021 and 2020, respectively, related to MSA fees and pass-through charges owed by the Company to Post, as well as related party purchases. The receivables and payables were included in “Receivables, net” and “Accounts payable,” respectively, on the Consolidated Balance Sheets. During the years ended September 30, 2021 and 2020, BellRing LLC paid $20.4 and $21.4, respectively, to Post related to quarterly tax distributions from BellRing LLC to Post made pursuant to the terms of the BellRing LLC Agreement and $4.2 and $3.4, respectively, for state corporate tax withholdings on behalf of Post. There were no payments made by BellRing LLC related to quarterly tax distributions or state corporate tax withholdings during the year ended September 30, 2019.</w:t>
      </w:r>
    </w:p>
    <w:p>
      <w:pPr>
        <w:spacing w:after="0" w:line="7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the provisions of the tax receivable agreement, BellRing Inc. must pay to Post (or certain of its transferees or other assignees) 85% of the amount of cash savings, if any, in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 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 Amounts payable to Post related to the tax receivable agreement of $0.3 and $10.2 were recorded in “Accounts Payable” and “Other liabilities,” respectively, on the Consolidated Balance Sheet at September 30, 2021. Amounts payable to Post related to the tax receivable agreement of $10.9 were recorded in “Other liabilities” on the Consolidated Balance Sheet at September 30,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REDEEMABLE NONCONTROLLING INTEREST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both September 30, 2021 and 2020, Post held 97.5 BellRing LLC units equal to 71.2% of the economic interest in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Post’s ownership of BellRing LLC units represents a NCI to the Company, which is classified outside of permanent stockholders’ equity as the BellRing LLC units are redeemable at the option of Post, through Post’s ownership of the Company’s Class B Common Stock (see Note 1). The carrying amount of the NCI is the greater of: (i) the initial carrying amount, increased or decreased for the NCI’s share of net income or loss, other comprehensive income or loss and distributions or dividends or (ii) the redemption value. As of September 30, 2021 and 2020, the carrying amounts of the NCI were recorded at their redemption values of $2,997.3 and $2,021.6, respectively. Changes in the redemption value of the NCI are recorded to additional paid-in capital, to the extent available, and “Accumulated deficit” on the Consolidated Balance Sheets.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both September 30, 2021 and 2020, BellRing Inc. owned 28.8% of the outstanding BellRing LLC units. The financial results of BellRing LLC and its subsidiaries were consolidated with BellRing Inc., and the portion of the consolidated net earnings of BellRing LLC to which Post was entitled was allocated to the NCI during each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to the Company’s NCI. The period as of and for the year ended September 30, 2020 represents the period beginning October 21, 2019, the effective date of the IPO, and ending September 30, 2020 (see Note 1).</w:t>
      </w:r>
    </w:p>
    <w:p>
      <w:pPr>
        <w:spacing w:after="0" w:line="99"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As Of and For The</w:t>
      </w:r>
    </w:p>
    <w:p>
      <w:pPr>
        <w:ind w:left="8940"/>
        <w:spacing w:after="0"/>
        <w:rPr>
          <w:sz w:val="20"/>
          <w:szCs w:val="20"/>
          <w:color w:val="auto"/>
        </w:rPr>
      </w:pPr>
      <w:r>
        <w:rPr>
          <w:rFonts w:ascii="Arial" w:cs="Arial" w:eastAsia="Arial" w:hAnsi="Arial"/>
          <w:sz w:val="16"/>
          <w:szCs w:val="16"/>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Net earnings attributable to NCI after IPO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IPO</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summarizes the effects of changes in ownership in BellRing LLC on BellRing Inc.’s equity. The period as of and for the year ended September 30, 2020 represents the period beginning October 21, 2019, the effective date of the IPO, and ending September 30, 2020 (see Note 1).</w:t>
      </w:r>
    </w:p>
    <w:p>
      <w:pPr>
        <w:spacing w:after="0" w:line="53" w:lineRule="exact"/>
        <w:rPr>
          <w:sz w:val="20"/>
          <w:szCs w:val="20"/>
          <w:color w:val="auto"/>
        </w:rPr>
      </w:pPr>
    </w:p>
    <w:p>
      <w:pPr>
        <w:ind w:left="9200"/>
        <w:spacing w:after="0"/>
        <w:rPr>
          <w:sz w:val="20"/>
          <w:szCs w:val="20"/>
          <w:color w:val="auto"/>
        </w:rPr>
      </w:pPr>
      <w:r>
        <w:rPr>
          <w:rFonts w:ascii="Arial" w:cs="Arial" w:eastAsia="Arial" w:hAnsi="Arial"/>
          <w:sz w:val="16"/>
          <w:szCs w:val="16"/>
          <w:b w:val="1"/>
          <w:bCs w:val="1"/>
          <w:color w:val="auto"/>
        </w:rPr>
        <w:t>As Of and For The</w:t>
      </w:r>
    </w:p>
    <w:p>
      <w:pPr>
        <w:ind w:left="8940"/>
        <w:spacing w:after="0"/>
        <w:rPr>
          <w:sz w:val="20"/>
          <w:szCs w:val="20"/>
          <w:color w:val="auto"/>
        </w:rPr>
      </w:pPr>
      <w:r>
        <w:rPr>
          <w:rFonts w:ascii="Arial" w:cs="Arial" w:eastAsia="Arial" w:hAnsi="Arial"/>
          <w:sz w:val="16"/>
          <w:szCs w:val="16"/>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846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IPO</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Redemption value adjustment to NCI</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887.5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r>
      <w:tr>
        <w:trPr>
          <w:trHeight w:val="248"/>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915.1</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both September 30, 2021 and 2020, BellRing Inc. held 28.8% of the economic interest in BellRing LLC (see Note 1), which, as a result of the IPO and formation transactions, is treated as a partnership for U.S. federal income tax purposes. As a partnership, BellRing LLC is itself generally not subject to U.S. federal income tax under current U.S. tax laws. Generally, items of taxable income, gain, loss and deduction of BellRing LLC are passed through to its members, BellRing Inc. and Post. BellRing Inc. is responsible for its share of taxable income or loss of BellRing LLC allocated to it in accordance with the BellRing LLC Agreement and partnership tax rules and regulations.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expense (benefit) for income taxes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1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0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09"/>
        </w:trPr>
        <w:tc>
          <w:tcPr>
            <w:tcW w:w="7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effective income tax rate for fiscal 2021 was 7.1% compared to 8.4% for fiscal 2020 and 24.2% for fiscal 2019. The decrease in the effective income tax rate compared to each of the prior years was primarily due to the Company taking into account for U.S. federal, state and local income tax purposes its 28.8% distributive share of the items of income, gain, loss and deduction of BellRing LLC in the periods subsequent to the IPO. Prior to the IPO and formation transactions, the Company reported 100% of the income, gain, loss and deduction of BellRing LLC.</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income tax expense with amounts computed at the federal statutory tax rate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tax (21%)</w:t>
            </w:r>
          </w:p>
        </w:tc>
        <w:tc>
          <w:tcPr>
            <w:tcW w:w="84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Income tax expense attributable to NCI</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income taxes, net of effect on federal tax</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Tax-deductible transaction costs</w:t>
            </w:r>
          </w:p>
        </w:tc>
        <w:tc>
          <w:tcPr>
            <w:tcW w:w="8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w:t>
            </w:r>
          </w:p>
        </w:tc>
        <w:tc>
          <w:tcPr>
            <w:tcW w:w="8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(none in excess of 5% of computed tax)</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6"/>
                <w:szCs w:val="16"/>
                <w:b w:val="1"/>
                <w:bCs w:val="1"/>
                <w:color w:val="auto"/>
                <w:w w:val="90"/>
              </w:rPr>
              <w:t>September 30, 2021</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6"/>
                <w:szCs w:val="16"/>
                <w:b w:val="1"/>
                <w:bCs w:val="1"/>
                <w:color w:val="auto"/>
                <w:w w:val="89"/>
              </w:rPr>
              <w:t>September 30, 2020</w:t>
            </w:r>
          </w:p>
        </w:tc>
        <w:tc>
          <w:tcPr>
            <w:tcW w:w="78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Liabilities</w:t>
            </w:r>
          </w:p>
        </w:tc>
        <w:tc>
          <w:tcPr>
            <w:tcW w:w="24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Assets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260" w:type="dxa"/>
            <w:vAlign w:val="bottom"/>
          </w:tcPr>
          <w:p>
            <w:pPr>
              <w:spacing w:after="0"/>
              <w:rPr>
                <w:sz w:val="18"/>
                <w:szCs w:val="18"/>
                <w:color w:val="auto"/>
              </w:rPr>
            </w:pPr>
          </w:p>
        </w:tc>
        <w:tc>
          <w:tcPr>
            <w:tcW w:w="780" w:type="dxa"/>
            <w:vAlign w:val="bottom"/>
          </w:tcPr>
          <w:p>
            <w:pPr>
              <w:jc w:val="right"/>
              <w:ind w:right="312"/>
              <w:spacing w:after="0"/>
              <w:rPr>
                <w:sz w:val="20"/>
                <w:szCs w:val="20"/>
                <w:color w:val="auto"/>
              </w:rPr>
            </w:pPr>
            <w:r>
              <w:rPr>
                <w:rFonts w:ascii="Arial" w:cs="Arial" w:eastAsia="Arial" w:hAnsi="Arial"/>
                <w:sz w:val="16"/>
                <w:szCs w:val="16"/>
                <w:b w:val="1"/>
                <w:bCs w:val="1"/>
                <w:color w:val="auto"/>
              </w:rPr>
              <w:t>Net</w:t>
            </w:r>
          </w:p>
        </w:tc>
      </w:tr>
      <w:tr>
        <w:trPr>
          <w:trHeight w:val="22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awards</w:t>
            </w:r>
          </w:p>
        </w:tc>
        <w:tc>
          <w:tcPr>
            <w:tcW w:w="7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 partnership (a)</w:t>
            </w: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48"/>
        </w:trPr>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Deferred income taxes</w:t>
            </w: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9" w:lineRule="auto"/>
        <w:tabs>
          <w:tab w:leader="none" w:pos="33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September 30, 2021 and 2020, the Company’s deferred tax liability for investment in partnership of $11.2 and $12.6, respectively, related to excess financial reporting outside basis over tax outside basis, of which $5.4 and $3.0, respectively, related to a deferred tax asset attributable to BellRing Inc.’s investment in BellRing LLC and $16.6 and $15.6, respectively, related to a deferred tax liability attributable to a partnership wholly-owned by BellRing LLC and its subsidiaries.</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No provision has been made for income taxes on undistributed earnings of consolidated foreign subsidiaries of $1.0 and $2.3 at September 30, 2021 and 2020, respectively, as it is the Company’s intention to indefinitely reinvest undistributed earnings of its foreign subsidiaries. It is not practicable to estimate the additional income taxes and applicable foreign withholdings that would be payable on the remittance of such undistributed earnings.</w:t>
      </w:r>
    </w:p>
    <w:p>
      <w:pPr>
        <w:spacing w:after="0" w:line="41" w:lineRule="exact"/>
        <w:rPr>
          <w:sz w:val="20"/>
          <w:szCs w:val="20"/>
          <w:color w:val="auto"/>
        </w:rPr>
      </w:pPr>
    </w:p>
    <w:p>
      <w:pPr>
        <w:ind w:right="380" w:firstLine="324"/>
        <w:spacing w:after="0" w:line="375" w:lineRule="auto"/>
        <w:rPr>
          <w:sz w:val="20"/>
          <w:szCs w:val="20"/>
          <w:color w:val="auto"/>
        </w:rPr>
      </w:pPr>
      <w:r>
        <w:rPr>
          <w:rFonts w:ascii="Arial" w:cs="Arial" w:eastAsia="Arial" w:hAnsi="Arial"/>
          <w:sz w:val="18"/>
          <w:szCs w:val="18"/>
          <w:color w:val="auto"/>
        </w:rPr>
        <w:t xml:space="preserve">For fiscal 2021 and 2020, foreign loss before income taxes was $1.9 and $0.8, respectively. For fiscal 2019, foreign income before taxes was $1.0. </w:t>
      </w:r>
      <w:r>
        <w:rPr>
          <w:rFonts w:ascii="Arial" w:cs="Arial" w:eastAsia="Arial" w:hAnsi="Arial"/>
          <w:sz w:val="18"/>
          <w:szCs w:val="18"/>
          <w:b w:val="1"/>
          <w:bCs w:val="1"/>
          <w:i w:val="1"/>
          <w:iCs w:val="1"/>
          <w:color w:val="auto"/>
        </w:rPr>
        <w:t>CARES Act</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law. The CARES Act had no significant U.S. federal or state income tax impacts during the years ended September 30, 2021 or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tax benefits activity for the years ended September 30, 2021, 2020 and 2019 is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9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tax positions taken in prior years</w:t>
            </w: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amount of the net unrecognized tax benefits that, if recognized, would directly affect the effective tax rate was $1.5 at September 30, 2021. None of the unrecognized tax benefit at September 30, 2021 is expected to be recognized within the next twelve months.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computes tax-related interest and penalties as the difference between the tax position recognized for financial reporting purposes and the amount previously taken on the Company’s tax returns and classifies these amounts as components of income tax (benefit) expense. During each of the years ended September 30, 2021, 2020 and 2019, expenses recorded related to interest and penalties were immaterial, and the Company had immaterial interest and penalty accruals at both September 30, 2021 and 2020.</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2018 through September 30, 2020 are generally open and subject to examination by the tax authorities in each respective jurisdiction.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the year.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sets forth the computation of basic and diluted earnings per share. The year ended September 30, 2020 represents the period beginning October 21, 2019, the effective date of the IPO, and ending September 30, 2020 (see Note 1). There were no shares of Class A Common Stock outstanding during the year ended September 30, 2019, and as such, no computation of basic and diluted earnings per share has been provided.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42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basic earnings per share</w:t>
            </w: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23.5</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diluted earnings per share</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earnings per share</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39.4</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dilutive restricted stock units</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w:t>
            </w:r>
          </w:p>
        </w:tc>
        <w:tc>
          <w:tcPr>
            <w:tcW w:w="8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39.5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5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Class A Common Stock</w:t>
            </w:r>
          </w:p>
        </w:tc>
        <w:tc>
          <w:tcPr>
            <w:tcW w:w="880" w:type="dxa"/>
            <w:vAlign w:val="bottom"/>
            <w:tcBorders>
              <w:bottom w:val="single" w:sz="8" w:color="auto"/>
            </w:tcBorders>
          </w:tcPr>
          <w:p>
            <w:pPr>
              <w:jc w:val="right"/>
              <w:ind w:right="693"/>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ind w:right="712"/>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0.60</w:t>
            </w:r>
          </w:p>
        </w:tc>
      </w:tr>
      <w:tr>
        <w:trPr>
          <w:trHeight w:val="20"/>
        </w:trPr>
        <w:tc>
          <w:tcPr>
            <w:tcW w:w="8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Weighted-average shares for diluted earnings per share excludes 0.2 and 0.1 of equity awards for the years ended September 30, 2021 and 2020, respectively, as they were anti-dilutive.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SUPPLEMENTAL OPERATIONS STATEMENT AND CASH FLOW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September 30,</w:t>
            </w:r>
          </w:p>
        </w:tc>
        <w:tc>
          <w:tcPr>
            <w:tcW w:w="1020" w:type="dxa"/>
            <w:vAlign w:val="bottom"/>
            <w:tcBorders>
              <w:bottom w:val="single" w:sz="8" w:color="auto"/>
            </w:tcBorders>
          </w:tcPr>
          <w:p>
            <w:pPr>
              <w:spacing w:after="0"/>
              <w:rPr>
                <w:sz w:val="18"/>
                <w:szCs w:val="18"/>
                <w:color w:val="auto"/>
              </w:rPr>
            </w:pPr>
          </w:p>
        </w:tc>
      </w:tr>
      <w:tr>
        <w:trPr>
          <w:trHeight w:val="210"/>
        </w:trPr>
        <w:tc>
          <w:tcPr>
            <w:tcW w:w="70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r>
      <w:tr>
        <w:trPr>
          <w:trHeight w:val="22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 expenses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Repair and maintenance expenses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Interest paid (a)</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 (b)</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20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held no debt during the period prior to the IPO. For additional information, see Note 15.</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taxes paid for the period prior to the IPO related only to the Company’s international operations, as all U.S. federal and state tax payments prior to the IPO were made by Post and were a component of “Net Investment of Post” on the Consolidated Statement of Stockholders’ (Deficit)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SUPPLEMENTAL BALANCE SHEET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Receivables,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Inventories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Raw materials and supplies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Finished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Accounts Payable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legal settlements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space, certain warehouses and equipment primarily through operating lease agreements. The Company has no material finance lease agreements. Leases have remaining terms which range from less than 1 year to 6 years and most leases provide the Company with the option to exercise one or more renewal terms.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 sheet location of the Company’s operating leases.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920" w:type="dxa"/>
            <w:vAlign w:val="bottom"/>
            <w:gridSpan w:val="7"/>
          </w:tcPr>
          <w:p>
            <w:pPr>
              <w:ind w:left="340"/>
              <w:spacing w:after="0"/>
              <w:rPr>
                <w:sz w:val="20"/>
                <w:szCs w:val="20"/>
                <w:color w:val="auto"/>
              </w:rPr>
            </w:pPr>
            <w:r>
              <w:rPr>
                <w:rFonts w:ascii="Arial" w:cs="Arial" w:eastAsia="Arial" w:hAnsi="Arial"/>
                <w:sz w:val="18"/>
                <w:szCs w:val="18"/>
                <w:color w:val="auto"/>
                <w:w w:val="97"/>
              </w:rPr>
              <w:t>Future maturities of the Company’s operating lease liabilities as of September 30, 2021 are presented in the following table.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future minimum payments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Less: Implied interest</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gridSpan w:val="7"/>
            <w:vMerge w:val="restart"/>
          </w:tcPr>
          <w:p>
            <w:pPr>
              <w:ind w:left="340"/>
              <w:spacing w:after="0"/>
              <w:rPr>
                <w:sz w:val="20"/>
                <w:szCs w:val="20"/>
                <w:color w:val="auto"/>
              </w:rPr>
            </w:pPr>
            <w:r>
              <w:rPr>
                <w:rFonts w:ascii="Arial" w:cs="Arial" w:eastAsia="Arial" w:hAnsi="Arial"/>
                <w:sz w:val="18"/>
                <w:szCs w:val="18"/>
                <w:color w:val="auto"/>
                <w:w w:val="93"/>
              </w:rPr>
              <w:t>The following table presents supplemental information related to the Company’s operating leases reported under ASC Topic 842.</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920" w:type="dxa"/>
            <w:vAlign w:val="bottom"/>
            <w:gridSpan w:val="7"/>
            <w:vMerge w:val="continue"/>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w w:val="84"/>
              </w:rPr>
              <w:t>2020</w:t>
            </w:r>
          </w:p>
        </w:tc>
        <w:tc>
          <w:tcPr>
            <w:tcW w:w="0" w:type="dxa"/>
            <w:vAlign w:val="bottom"/>
          </w:tcPr>
          <w:p>
            <w:pPr>
              <w:spacing w:after="0"/>
              <w:rPr>
                <w:sz w:val="1"/>
                <w:szCs w:val="1"/>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Variable lease expense</w:t>
            </w:r>
          </w:p>
        </w:tc>
        <w:tc>
          <w:tcPr>
            <w:tcW w:w="220" w:type="dxa"/>
            <w:vAlign w:val="bottom"/>
          </w:tcPr>
          <w:p>
            <w:pPr>
              <w:spacing w:after="0"/>
              <w:rPr>
                <w:sz w:val="19"/>
                <w:szCs w:val="19"/>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expense</w:t>
            </w:r>
          </w:p>
        </w:tc>
        <w:tc>
          <w:tcPr>
            <w:tcW w:w="2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5 years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Weighted average incremental borrowing rate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cash flows for amounts included in the measurement of the Company’s operating lease liabilities for the years ended September 30, 2021 and 2020 were $3.0 and $3.6, respectively. ROU assets obtained in exchange for operating lease liabilities during the years ended September 30, 2021 and 2020 were immaterial.</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reported under ASC Topic 840, rent expense for the year ended September 30, 2019 was $3.3.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both September 30, 2021 and 2020, the Company had pay-fixed, receive-variable interest rate swaps with a notional amount of $350.0. The interest rate swaps mature in December 2022 and require monthly settlements, which began on January 31, 2020, and are used to hedge forecasted interest payments on the Company’s variable rate debt (see Note 15). On April 1, 2020, the Company changed the designation of the interest rate swaps from cash flow hedges to non-designated hedging instruments as the swaps were no longer effective (as defined by GAAP). In connection with the new designation,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started reclassifying losses previously recorded in accumulated OCI to “Interest expense, net” in the Consolidated Statements of Operations on a straight-line basis over the term of the related debt.</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At September 30, 2021, accumulated OCI, including amounts reported as NCI, included a $7.1 net hedging loss before taxes ($6.7 after taxes). At September 30, 2020, accumulated OCI, including amounts reported as NCI, included a $9.4 net hedging loss before taxes ($8.8 after taxes). Approximately $2.3 of the net hedging loss reported in accumulated OCI at September 30, 2021 is expected to be reclassified into earnings within the next 12 months.</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the Company’s net hedging loss on interest rate swaps which are included in “Interest expense, net” in the Consolidated Statements of Operations and the net cash settlements paid on interest rate swaps.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September 30,</w:t>
            </w:r>
          </w:p>
        </w:tc>
        <w:tc>
          <w:tcPr>
            <w:tcW w:w="42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2.3</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1.2</w:t>
            </w:r>
          </w:p>
        </w:tc>
      </w:tr>
      <w:tr>
        <w:trPr>
          <w:trHeight w:val="248"/>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hedging loss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settlements paid</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(4.8)</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FAIR VALUE MEASUREMENTS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liabilities and NCI measured at fair value on a recurring basis and the basis for that measurement according to the levels in the fair value hierarchy in ASC Topic 820, “Fair Value Measurement.”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2021</w:t>
            </w: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2020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1</w:t>
            </w:r>
          </w:p>
        </w:tc>
        <w:tc>
          <w:tcPr>
            <w:tcW w:w="24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6"/>
                <w:szCs w:val="16"/>
                <w:b w:val="1"/>
                <w:bCs w:val="1"/>
                <w:color w:val="auto"/>
              </w:rPr>
              <w:t>Level 2</w:t>
            </w: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 fair value of the NCI is calculated as its redemption value based on the Class A Common Stock price and number of BellRing LLC units owned by Post at the end of each year (see Note 7).</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Consolidated Balance Sheets. The fair value of any outstanding borrowings under the Revolving Credit Facility (as defined in Note 15) as of September 30, 2021 and 2020 approximated their carrying values. Based on market rates, the fair value (Level 2) of the Term B Facility (as defined in Note 15) was $613.8 and $674.0 as of September 30, 2021 and 2020, respectively.</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“Long-term debt” on the Consolidated Balance Sheets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2020</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4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Debt issuance costs,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4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Unamortized discount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8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 of Bridge Loan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11, 2019, in connection with the IPO and the formation transactions, Post entered into a $1,225.0 Bridge Facility Agreement (the “Bridge Loan Facility”) and borrowed $1,225.0 under the Bridge Loan Facility (the “Bridge Loan”). Certain of Post’s domestic subsidiaries (other than BellRing Inc. but including BellRing LLC and its domestic subsidiaries) guaranteed the Bridge Loan.</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21, 2019, BellRing LLC entered into a Borrower Assignment and Assumption Agreement with Post and the administrative agent under the Bridge Loan Facility, under which (i) BellRing LLC became the borrower under the Bridge Loan and assumed all interest of $2.2 thereunder, and Post and its subsidiary guarantors (other than BellRing LLC and its domestic subsidiaries) were released from all material obligations under the Bridge Loan, (ii) the domestic subsidiaries of BellRing LLC continued to guarantee the Bridge Loan, and (iii) BellRing LLC’s obligations under the Bridge Loan became secured by a first priority security interest in substantially all of the assets (other than real property) of BellRing LLC and in substantially all of the assets (other than real property) of its subsidiary guarantors. BellRing LLC did not receive any of the proceeds of the Bridge Loan. On October 21, 2019, the Bridge Loan was repaid in full. See below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BellRing LLC entered into a credit agreement (as subsequently amended, the “Credit Agreement”) which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LLC in U.S. Dollars, Euros and Pounds Sterling. Letters of credit are available under the Credit Agreement in an aggregate amount of up to $20.0. Any outstanding amounts under the Revolving Credit Facility and Term B Facility must be repaid on or before October 21, 2024.</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21, 2019, BellRing LLC borrowed the full amount under the Term B Facility and $100.0 under the Revolving Credit Facility. The Term B Facility was issued at 98.0% of par and BellRing LLC received $776.4 from the Term B Facility and Revolving Credit Facility after accounting for the original issue discount of $14.0 and paying investment banking and other fees of $9.6, which were deferred and are being amortized to interest expense over the terms of the loans. BellRing LLC used the proceeds, together with the net proceeds of the IPO that were contributed to it by BellRing Inc., (i) to repay in full the $1,225.0 of borrowings under the Bridge Loan and all interest thereunder and related costs and expenses, (ii) to pay directly, or reimburse Post for, as applicable, all fees and expenses incurred by BellRing LLC or Post in connection with the IPO and the formation transactions, (iii) to reimburse Post for the amount of cash on BellRing LLC’s balance sheet immediately prior to the completion of the IPO and (iv) for general corporate and working capital purposes, as well as to repay $20.0 of outstanding borrowings under the Revolving Credit Facility.</w:t>
      </w:r>
    </w:p>
    <w:p>
      <w:pPr>
        <w:spacing w:after="0" w:line="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February 26, 2021, BellRing LLC entered into a second amendment to its Credit Agreement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LIBOR (used to determine the interest rate for Eurodollar rate loans) as a reference interest rate and (iv) provided that if on or before August 26, 2021 BellRing LLC repaid the Term B Facility in whole or in part with the proceeds of new or replacement debt at a lower effective interest rate, or further amended the Credit Agreement to reduce the effective interest rate applicable to the Term B Facility, BellRing LLC would have paid a 1.00% premium on the amount repaid or subject to the interest rate reduction. In connection with the Amendment, BellRing LLC paid debt refinancing fees of $1.6 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September 30, 2021 which were included in “Loss on refinancing of debt” in the Consolidated Statement of Operations.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Prior to the Amendment, borrowings under the Term B Facility bore interest, at the option of BellRing LLC, at an annual rate equal to either (a) the Eurodollar rate (with a floor of 1.00%) or (b) the base rate determined by reference to the greatest of (i) the prime rate, (ii) the federal funds effective rate plus 0.50% per annum and (iii) the one-month Eurodollar rate plus 1.00% per annum, in each case plus an applicable margin of 5.00% for Eurodollar rate-based loans and 4.00% for base rate-based loans. Subsequent to the Amendment, borrowings under the Term B Facility bear interest, at the option of BellRing LLC, at an annual rate equal to either (a) the Eurodollar rate or (b) the base rate determined by reference to the greatest of (i) the prime rate, (ii) the federal funds effective rate plus 0.50% per annum and (iii) the one-month Eurodollar rate plus 1.00% per annum, in each case plus an applicable margin of 4.00% for Eurodollar rate-based loans and 3.00% for base rate-based loans.</w:t>
      </w:r>
    </w:p>
    <w:p>
      <w:pPr>
        <w:spacing w:after="0" w:line="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Term B Facility requires quarterly scheduled amortization payments of $8.75 which began on March 31, 2020, with the balance to be paid at maturity on October 21, 2024. Interest was paid on each Interest Payment Date (as defined in the Credit Agreement) during each of the years ended September 30, 2021 and 2020. The Term B Facility contains customary mandatory prepayment provisions, including provisions for mandatory prepayment</w:t>
      </w:r>
    </w:p>
    <w:p>
      <w:pPr>
        <w:spacing w:after="0" w:line="2" w:lineRule="exact"/>
        <w:rPr>
          <w:sz w:val="20"/>
          <w:szCs w:val="20"/>
          <w:color w:val="auto"/>
        </w:rPr>
      </w:pPr>
    </w:p>
    <w:p>
      <w:pPr>
        <w:jc w:val="both"/>
        <w:ind w:firstLine="8"/>
        <w:spacing w:after="0" w:line="269" w:lineRule="auto"/>
        <w:tabs>
          <w:tab w:leader="none" w:pos="2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from the net cash proceeds of certain asset sales and (b) of 75% of consolidated excess cash flow (as defined in the Credit Agreement) (which percentage will be reduced to 50% if the secured net leverage ratio (as defined in the Credit Agreement) is less than or equal to 3.35:1.00 as of a fiscal year end). During the year ended September 30, 2021, the Company repaid $28.8 on its Term B Facility as a mandatory prepayment from fiscal 2020 excess cash flow, which was in addition to the scheduled amortization payments. The Company classified $81.3 related to the estimated mandatory prepayment of fiscal 2021 excess cash flow in “Current portion of long-term debt” on the Consolidated Balance Sheet at September 30, 2021. The Company may prepay the Term B Facility at its option without penalty or premium, except as provided in the Amendment. The interest rate on the Term B Facility was 4.75% and 6.00% as of September 30, 2021 and 2020, respectively.</w:t>
      </w:r>
    </w:p>
    <w:p>
      <w:pPr>
        <w:spacing w:after="0" w:line="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Borrowings under the Revolving Credit Facility bear interest, at the option of BellRing LLC, at an annual rate equal to either the Eurodollar rate or the base rate (determined as described above) plus a margin, which initially was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initially accrued at the rate of 0.50% per annum and thereafter, depending on BellRing LLC’s secured net leverage ratio, will accrue at rates ranging from 0.25% to 0.50% per annum. There were no amounts drawn under the Revolving Credit Facility as of September 30, 2021. The interest rate on the drawn portion of the Revolving Credit Facility was 5.25% at September 30, 2020.</w:t>
      </w:r>
    </w:p>
    <w:p>
      <w:pPr>
        <w:spacing w:after="0" w:line="7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years ended September 30, 2021 and 2020, BellRing LLC borrowed $20.0 and $195.0 under the Revolving Credit Facility, respectively, and repaid $50.0 and $165.0 under the Revolving Credit Facility, respectively. The available borrowing capacity under the Revolving Credit Facility was $200.0 and $170.0 at September 30, 2021 and 2020, respectively. There were no outstanding letters of credit at September 30, 2021 or 2020.</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(as defined in the Credit Agreement) not to exceed 6.00 to 1.00, measured as of the last day of each fiscal quarter. The total net leverage ratio of BellRing LLC did not exceed this threshold as of September 30, 2021.</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BellRing LLC’s request and at the discretion of the lenders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direct and indirect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340"/>
              <w:spacing w:after="0"/>
              <w:rPr>
                <w:sz w:val="20"/>
                <w:szCs w:val="20"/>
                <w:color w:val="auto"/>
              </w:rPr>
            </w:pPr>
            <w:r>
              <w:rPr>
                <w:rFonts w:ascii="Arial" w:cs="Arial" w:eastAsia="Arial" w:hAnsi="Arial"/>
                <w:sz w:val="18"/>
                <w:szCs w:val="18"/>
                <w:color w:val="auto"/>
                <w:w w:val="97"/>
              </w:rPr>
              <w:t>As of September 30, 2021, expected principal payments on the Company’s debt for the next five fiscal years were:</w:t>
            </w: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423.6</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Estimated future interest payments on the Company’s debt through its maturity date on October 21, 2024 are expected to be $72.9 (with $26.2 expected in fiscal 2022) based on the interest rates at September 30, 2021, scheduled amortization payments and estimated mandatory prepayment of fiscal 2021 excess cash flow.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2013, a complaint was filed on behalf of a putative, nationwide class of consumers against Premier Nutrition Company, LLC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New Jersey case was voluntarily dismissed.</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years ended September 30, 2021, 2020 or 2019. At both September 30, 2021 and 2020, the Company had accrued $8.5 related to this matter that was included in “Other current liabilities” on the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into account established accruals for estimated liabilities (if any), are not expected to be material individually or in the aggregate to the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financial condition, results of operations or cash flows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Long-Term Incentive Plans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Prior to the IPO, the Company’s employees participated in various Post long-term incentive plans (the “Post Long-Term Incentive Plans”). Awards issued under the Post Long-Term Incentive Plans have a maximum term of 10 years, provided, however, that the corporate governance and compensation committee of Post’s board of directors may, in its discretion, grant awards with a longer term to participants who are located outside of the U.S. Subsequent to the IPO, BellRing employees were no longer eligible to receive new issuances of shares for stock-based compensation awards under the Post Long-Term Incentive Plans. The following disclosures reflect the details of the Post Long-Term Incentive Plans related solely to the BellRing employees who participate in such plans.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September 30, 2021, 2020 and 2019, total compensation cost for non-cash and cash stock-based compensation awards recognized was $2.6, $3.9 and $3.5, respectively, and the related recognized deferred tax benefit for each of those years was $0.2, $0.3 and $0.8, respectively. As of September 30, 2021, the total compensation cost related to non-vested awards not yet recognized was $1.0, which is expected to be recognized over a weighted-average period of 0.7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Post stock options granted to BellRing employees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options or where otherwise indicated</w:t>
            </w: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Post Stock Options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Exercise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86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2020</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34,201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80.14</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6.10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Post stock option was estimated on the date of grant using the Black-Scholes Model. Post uses the simplified method for estimating a stock option term as it does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 for Post stock options granted to BellRing employees during the year ended September 30, 2019 are summarized in the table below. There were no Post stock options granted to BellRing employees during the years ended September 30, 2021 or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000" w:type="dxa"/>
            <w:vAlign w:val="bottom"/>
            <w:shd w:val="clear" w:color="auto" w:fill="CCEEFF"/>
          </w:tcPr>
          <w:p>
            <w:pPr>
              <w:jc w:val="center"/>
              <w:ind w:left="3410"/>
              <w:spacing w:after="0"/>
              <w:rPr>
                <w:sz w:val="20"/>
                <w:szCs w:val="20"/>
                <w:color w:val="auto"/>
              </w:rPr>
            </w:pPr>
            <w:r>
              <w:rPr>
                <w:rFonts w:ascii="Arial" w:cs="Arial" w:eastAsia="Arial" w:hAnsi="Arial"/>
                <w:sz w:val="18"/>
                <w:szCs w:val="18"/>
                <w:color w:val="auto"/>
                <w:w w:val="87"/>
              </w:rPr>
              <w:t>6.5</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5000" w:type="dxa"/>
            <w:vAlign w:val="bottom"/>
          </w:tcPr>
          <w:p>
            <w:pPr>
              <w:jc w:val="center"/>
              <w:ind w:left="3410"/>
              <w:spacing w:after="0"/>
              <w:rPr>
                <w:sz w:val="20"/>
                <w:szCs w:val="20"/>
                <w:color w:val="auto"/>
              </w:rPr>
            </w:pPr>
            <w:r>
              <w:rPr>
                <w:rFonts w:ascii="Arial" w:cs="Arial" w:eastAsia="Arial" w:hAnsi="Arial"/>
                <w:sz w:val="18"/>
                <w:szCs w:val="18"/>
                <w:color w:val="auto"/>
                <w:w w:val="90"/>
              </w:rPr>
              <w:t>29.7%</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000" w:type="dxa"/>
            <w:vAlign w:val="bottom"/>
            <w:shd w:val="clear" w:color="auto" w:fill="CCEEFF"/>
          </w:tcPr>
          <w:p>
            <w:pPr>
              <w:jc w:val="center"/>
              <w:ind w:left="3410"/>
              <w:spacing w:after="0"/>
              <w:rPr>
                <w:sz w:val="20"/>
                <w:szCs w:val="20"/>
                <w:color w:val="auto"/>
              </w:rPr>
            </w:pPr>
            <w:r>
              <w:rPr>
                <w:rFonts w:ascii="Arial" w:cs="Arial" w:eastAsia="Arial" w:hAnsi="Arial"/>
                <w:sz w:val="18"/>
                <w:szCs w:val="18"/>
                <w:color w:val="auto"/>
                <w:w w:val="92"/>
              </w:rPr>
              <w:t>3.1%</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5000" w:type="dxa"/>
            <w:vAlign w:val="bottom"/>
          </w:tcPr>
          <w:p>
            <w:pPr>
              <w:jc w:val="center"/>
              <w:ind w:left="3410"/>
              <w:spacing w:after="0"/>
              <w:rPr>
                <w:sz w:val="20"/>
                <w:szCs w:val="20"/>
                <w:color w:val="auto"/>
              </w:rPr>
            </w:pPr>
            <w:r>
              <w:rPr>
                <w:rFonts w:ascii="Arial" w:cs="Arial" w:eastAsia="Arial" w:hAnsi="Arial"/>
                <w:sz w:val="18"/>
                <w:szCs w:val="18"/>
                <w:color w:val="auto"/>
                <w:w w:val="99"/>
              </w:rPr>
              <w:t>—%</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5000" w:type="dxa"/>
            <w:vAlign w:val="bottom"/>
            <w:shd w:val="clear" w:color="auto" w:fill="CCEEFF"/>
          </w:tcPr>
          <w:p>
            <w:pPr>
              <w:jc w:val="center"/>
              <w:ind w:left="3410"/>
              <w:spacing w:after="0"/>
              <w:rPr>
                <w:sz w:val="20"/>
                <w:szCs w:val="20"/>
                <w:color w:val="auto"/>
              </w:rPr>
            </w:pPr>
            <w:r>
              <w:rPr>
                <w:rFonts w:ascii="Arial" w:cs="Arial" w:eastAsia="Arial" w:hAnsi="Arial"/>
                <w:sz w:val="18"/>
                <w:szCs w:val="18"/>
                <w:color w:val="auto"/>
                <w:w w:val="90"/>
              </w:rPr>
              <w:t>$33.82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stock options exercised during each of the years ended September 30, 2021, 2020 and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Restricted Stock Units (“Post 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Post RSUs granted to BellRing employees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2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Post 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1"/>
              </w:rPr>
              <w:t>Value Per Share</w:t>
            </w: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105.70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grant date fair value of each Post RSU was determined based upon the closing price of Post’s common stock on the date of grant. The weighted-average grant date fair value of nonvested Post RSUs was $104.26, $99.83 and $96.64 at September 30, 2021, 2020 and 2019, respectively. The total vest date fair value of Post RSUs that vested during fiscal 2021, 2020 and 2019 was $3.0, $4.5 and $2.1,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Cash Settled Restricted Stock Units (“Post Cash 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Post Cash RSUs granted to BellRing employees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Weighted- 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16"/>
                <w:szCs w:val="16"/>
                <w:b w:val="1"/>
                <w:bCs w:val="1"/>
                <w:color w:val="auto"/>
              </w:rPr>
              <w:t>Post Cash RSUs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113"/>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5"/>
              </w:rPr>
              <w:t>Value Per Share</w:t>
            </w:r>
          </w:p>
        </w:tc>
        <w:tc>
          <w:tcPr>
            <w:tcW w:w="0" w:type="dxa"/>
            <w:vAlign w:val="bottom"/>
          </w:tcPr>
          <w:p>
            <w:pPr>
              <w:spacing w:after="0"/>
              <w:rPr>
                <w:sz w:val="1"/>
                <w:szCs w:val="1"/>
                <w:color w:val="auto"/>
              </w:rPr>
            </w:pP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2021, the 3,000 nonvested Post Cash RSUs were valued at the greater of the closing price of Post’s common stock or the grant price of $51.43. Cash used to settle Post Cash RSUs was $0.1 for each of the years ended September 30, 2021, 2020 and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BellRing Long-Term Incentive Plan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Subsequent to the IPO, the Company’s employees began participating in BellRing Inc.’s 2019 Long-Term Incentive Plan (the “BellRing Long-Term Incentive Plan”). On October 22, 2019, the Company registered shares of its Class A Common Stock on a Form S-8 filed with the Securities and Exchange Commission, for issuance under the BellRing Long-Term Incentive Plan. Awards issued under the BellRing Long-Term Incentive Plan have a maximum term of 10 years, provided, however, that the Corporate Governance and Compensation Committee of BellRing Inc.’s Board of Directors may, in its discretion, grant awards with a longer term to participants who are located outside of the U.S. At September 30, 2021 there were 1.9 shares remaining to be issued for stock-based compensation awards under the BellRing Long-Term Incentive Plan.</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September 30, 2021 and 2020, total compensation cost for BellRing’s non-cash stock-based compensation awards recognized was $4.6 and $2.5, respectively, and the related recognized deferred tax benefit was $0.3 and $0.2, respectively. See Note 8 for discussion related to income taxes. As of September 30, 2021, the total compensation cost related to BellRing’s non-vested awards not yet recognized was $6.9, which is expected to be recognized over a weighted-average period of 1.6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BellRing 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BellRing stock options is summarized in the following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4"/>
                <w:szCs w:val="14"/>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BellRing 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Average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options or where otherwise indicated</w:t>
            </w:r>
          </w:p>
        </w:tc>
        <w:tc>
          <w:tcPr>
            <w:tcW w:w="1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Exercise</w:t>
            </w:r>
          </w:p>
        </w:tc>
        <w:tc>
          <w:tcPr>
            <w:tcW w:w="16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4"/>
                <w:szCs w:val="14"/>
                <w:color w:val="auto"/>
              </w:rPr>
            </w:pPr>
          </w:p>
        </w:tc>
        <w:tc>
          <w:tcPr>
            <w:tcW w:w="124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800" w:type="dxa"/>
            <w:vAlign w:val="bottom"/>
            <w:vMerge w:val="continue"/>
          </w:tcPr>
          <w:p>
            <w:pPr>
              <w:spacing w:after="0"/>
              <w:rPr>
                <w:sz w:val="18"/>
                <w:szCs w:val="18"/>
                <w:color w:val="auto"/>
              </w:rPr>
            </w:pPr>
          </w:p>
        </w:tc>
        <w:tc>
          <w:tcPr>
            <w:tcW w:w="1500" w:type="dxa"/>
            <w:vAlign w:val="bottom"/>
          </w:tcPr>
          <w:p>
            <w:pPr>
              <w:jc w:val="right"/>
              <w:ind w:right="392"/>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Term in Years</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162,969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Outstanding at September 30,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September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258,969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ind w:left="20"/>
              <w:spacing w:after="0" w:line="203" w:lineRule="exact"/>
              <w:rPr>
                <w:sz w:val="20"/>
                <w:szCs w:val="20"/>
                <w:color w:val="auto"/>
              </w:rPr>
            </w:pPr>
            <w:r>
              <w:rPr>
                <w:rFonts w:ascii="Arial" w:cs="Arial" w:eastAsia="Arial" w:hAnsi="Arial"/>
                <w:sz w:val="18"/>
                <w:szCs w:val="18"/>
                <w:color w:val="auto"/>
              </w:rPr>
              <w:t>Exercisable at September 30, 2021</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19.31</w:t>
            </w: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8.15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BellRing stock option was estimated on the date of grant using the Black-Scholes Model. BellRing uses the simplified method for estimating a stock option term as it does not have sufficient historical stock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BellRing stock options granted during the years ended September 30, 2021 and 2020 are summarized in the table below. There were no BellRing stock options granted during the year ended September 30,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40" w:type="dxa"/>
            <w:vAlign w:val="bottom"/>
            <w:tcBorders>
              <w:bottom w:val="single" w:sz="8" w:color="auto"/>
            </w:tcBorders>
            <w:gridSpan w:val="6"/>
          </w:tcPr>
          <w:p>
            <w:pPr>
              <w:jc w:val="right"/>
              <w:ind w:right="99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87"/>
              </w:rPr>
              <w:t>6.5</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3"/>
              <w:spacing w:after="0"/>
              <w:rPr>
                <w:sz w:val="20"/>
                <w:szCs w:val="20"/>
                <w:color w:val="auto"/>
              </w:rPr>
            </w:pPr>
            <w:r>
              <w:rPr>
                <w:rFonts w:ascii="Arial" w:cs="Arial" w:eastAsia="Arial" w:hAnsi="Arial"/>
                <w:sz w:val="18"/>
                <w:szCs w:val="18"/>
                <w:color w:val="auto"/>
                <w:w w:val="90"/>
              </w:rPr>
              <w:t>38.5%</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2"/>
              </w:rPr>
              <w:t>1.6%</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Expected dividends</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option)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33"/>
              <w:spacing w:after="0"/>
              <w:rPr>
                <w:sz w:val="20"/>
                <w:szCs w:val="20"/>
                <w:color w:val="auto"/>
              </w:rPr>
            </w:pPr>
            <w:r>
              <w:rPr>
                <w:rFonts w:ascii="Arial" w:cs="Arial" w:eastAsia="Arial" w:hAnsi="Arial"/>
                <w:sz w:val="18"/>
                <w:szCs w:val="18"/>
                <w:color w:val="auto"/>
                <w:w w:val="93"/>
              </w:rPr>
              <w:t>$7.92</w:t>
            </w:r>
          </w:p>
        </w:tc>
        <w:tc>
          <w:tcPr>
            <w:tcW w:w="0" w:type="dxa"/>
            <w:vAlign w:val="bottom"/>
          </w:tcPr>
          <w:p>
            <w:pPr>
              <w:spacing w:after="0"/>
              <w:rPr>
                <w:sz w:val="1"/>
                <w:szCs w:val="1"/>
                <w:color w:val="auto"/>
              </w:rPr>
            </w:pPr>
          </w:p>
        </w:tc>
      </w:tr>
      <w:tr>
        <w:trPr>
          <w:trHeight w:val="432"/>
        </w:trPr>
        <w:tc>
          <w:tcPr>
            <w:tcW w:w="8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BellRing Restricted Stock Units (“BellRing RSUs”)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Information about BellRing RSUs is summarized in the following table.</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BellRing RSUs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Value Per Share</w:t>
            </w:r>
          </w:p>
        </w:tc>
        <w:tc>
          <w:tcPr>
            <w:tcW w:w="0" w:type="dxa"/>
            <w:vAlign w:val="bottom"/>
          </w:tcPr>
          <w:p>
            <w:pPr>
              <w:spacing w:after="0"/>
              <w:rPr>
                <w:sz w:val="1"/>
                <w:szCs w:val="1"/>
                <w:color w:val="auto"/>
              </w:rPr>
            </w:pPr>
          </w:p>
        </w:tc>
      </w:tr>
      <w:tr>
        <w:trPr>
          <w:trHeight w:val="22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2020</w:t>
            </w:r>
          </w:p>
        </w:tc>
        <w:tc>
          <w:tcPr>
            <w:tcW w:w="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385,232</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0"/>
        </w:trPr>
        <w:tc>
          <w:tcPr>
            <w:tcW w:w="81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261,808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(41,255)</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4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at September 30,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467,663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grant date fair value of each BellRing RSU was determined based upon the closing price of the Class A Common Stock on the date of grant. The weighted-average grant date fair value of nonvested BellRing RSUs was $19.85 and $19.39 at September 30, 2021 and 2020, respectively. The total vest date fair value of BellRing RSUs that vested during fiscal 2021 was $3.0. No BellRing RSUs vested during fiscal 2020.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12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August 2021, Post announced its plan to distribute a significant portion of its ownership interest in the Company to its shareholders and in October 2021, the Company and Post announced the signing of a Transaction Agreement and Plan of Merger (the “Transaction Agreement”) between them, BellRing Distribution, LLC, a newly-formed wholly-owned subsidiary of Post (“New BellRing”), and BellRing Merger Sub Corporation, a wholly-owned subsidiary of New BellRing (“Merger Sub”) related to Post’s distribution plan. Pursuant to the Transaction Agreement, Post will contribute its one share of Class B Common Stock, all of its BellRing LLC units and cash to New BellRing in exchange for all of the then-outstanding equity of New BellRing and New BellRing indebtedness (the “Separation”). New BellRing will convert into a Delaware corporation, and Post will then distribute at least 80.1% of its shares of New BellRing common stock to Post shareholders in a pro-rata distribution, an exchange offer or a combination of both, depending on market conditions. Upon completion of the distribution of New BellRing common stock to Post shareholders (the “Distribution”), Merger Sub will merge with and into BellRing Inc. (the “Merger”), with BellRing Inc. as the surviving corporation and a wholly-owned subsidiary of New BellRing. Pursuant to the Merger, each outstanding share of Class A Common Stock will be converted into one share of New BellRing common stock plus a to-be-determined amount of cash per share. The exact cash consideration will be determined in accordance with the Transaction Agreement based upon several factors, including the amount of New BellRing indebtedness to be issued. Immediately following the Distribution and Merger, it is expected that Post will own no more than 14.2% of the New BellRing common stock and the Post shareholders will own at least 57.0% of the New BellRing common stock. Legacy Class A common stockholders will own approximately 28.8% of the New BellRing common stock, maintaining their current effective ownership interest in the Company. The Transaction Agreement also contemplates that Post and New BellRing will enter into certain customary ancillary agreements in connection with the consummation of the Merger. Completion of the transactions is anticipated to occur in the first calendar quarter of 2022, subject to certain customary closing conditions, although there can be no assurance that the transactions will occur within the expected timeframe or at all.</w:t>
      </w:r>
    </w:p>
    <w:p>
      <w:pPr>
        <w:spacing w:after="0" w:line="170" w:lineRule="exact"/>
        <w:rPr>
          <w:sz w:val="20"/>
          <w:szCs w:val="20"/>
          <w:color w:val="auto"/>
        </w:rPr>
      </w:pPr>
    </w:p>
    <w:p>
      <w:pPr>
        <w:ind w:right="9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with the Executive Chairman, Chief Executive Officer (“CEO”) and Chief Financial Officer (“CFO”) of the Company, has evaluated the effectiveness of our disclosure controls and procedures (as defined in Rules 13a-15(e) and 15d-15(e) under the Securities Exchange Act of 1934, as amended (the “Exchange Act”)) as of September 30, 2021. Based on that evaluation, our Executive Chairman, CEO and CFO concluded that, as of September 30, 2021, the Company's disclosure controls and procedures were effective to provide reasonable assurance of achieving the desired control objectives.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of September 30, 2021, management conducted an assessment of the effectiveness of the Company’s internal control over financial reporting based upon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management’s assessment utilizing these criteria, our management concluded that, as of September 30, 2021,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was effective.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September 30, 2021 has been audited by PricewaterhouseCoopers LLP, an independent registered public accounting firm, as stated in its report, which appears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Based on management’s evaluation, there were no changes in our internal control over financial reporting that occurred during the quarter ended September 30, 2021 that have materially affected, or are reasonably likely to materially affect, our internal control over financial reporting.</w:t>
      </w:r>
    </w:p>
    <w:p>
      <w:pPr>
        <w:spacing w:after="0" w:line="1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407"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2022 Annual Meeting of Stockholders to be filed with the Securities and Exchange Commission within 120 days of the year ended September 30, 2021 (the “2022 Proxy Statement”) is hereby incorporated by reference.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executive officers of the Company is included in the “Information about our Executive Officers” section under “Business” in Item 1 of this report.</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amends the Code of Conduct or waivers of compliance are granted and it is determined that such amendments or waivers are subject to the disclosure provisions of Item 5.05 of Form 8-K, the Company will post such amendments or waivers on its website or in a report on Form 8-K.</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information required by this Item, appearing under the headings “Compensation of Officers and Directors,” “Compensation Committee Interlocks and Insider Participation” and “Corporate Governance and Compensation Committee Report” in the 2022 Proxy Statement, is hereby incorporated by reference. The information contained in “Corporate Governance and Compensation Committee Report” in the 2022 Proxy Statement shall not be deemed to be “filed” with the Securities and Exchange Commission or subject to the liabilities of the Securities Exchange Act of 1934, as amended (the “Exchange Act”), except to the extent that the Company specifically incorporates such information into a document filed under the Securities Act of 1933, as amended, or the Exchange Act.</w:t>
      </w:r>
    </w:p>
    <w:p>
      <w:pPr>
        <w:spacing w:after="0" w:line="18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appearing under the headings “Security Ownership of Certain Stockholders” and “Compensation of Officers and Directors - Equity Compensation Plan Information” in the 2022 Proxy Statement, is hereby incorporated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appearing under the headings “Certain Relationships and Related Transactions” and “Corporate Governance - Director Independence and Role of the Independent Lead Director” in the 2022 Proxy Statement, is hereby incorporated by reference.</w:t>
      </w:r>
    </w:p>
    <w:p>
      <w:pPr>
        <w:spacing w:after="0" w:line="1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information required by this Item, appearing under the heading “Ratification of Appointment of Independent Registered Public Accounting Firm” in the 2022 Proxy Statement,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Documents filed as a part of this report:</w:t>
      </w:r>
    </w:p>
    <w:p>
      <w:pPr>
        <w:spacing w:after="0" w:line="117" w:lineRule="exact"/>
        <w:rPr>
          <w:sz w:val="20"/>
          <w:szCs w:val="20"/>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following are filed as a part of this document under Item 8.</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September 30,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September 30,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Balance Sheets at September 30, 2021 and 2020</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September 30,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Statements of Stockholders’ (Deficit) Equity for the years ended September 30, 2021, 2020 and 2019</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None. Schedules not included have been omitted because they are not applicable or the required information is shown in the financial statements or notes thereto.</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See the following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77585" cy="265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pacing w:after="0" w:line="10"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04">
        <w:r>
          <w:rPr>
            <w:rFonts w:ascii="Arial" w:cs="Arial" w:eastAsia="Arial" w:hAnsi="Arial"/>
            <w:sz w:val="16"/>
            <w:szCs w:val="16"/>
            <w:u w:val="single" w:color="auto"/>
            <w:color w:val="0000FF"/>
          </w:rPr>
          <w:t>Amended and Restated Certificate of Incorporation of BellRing Brands, Inc. (Incorporated by reference to Exhibit</w:t>
        </w:r>
      </w:hyperlink>
    </w:p>
    <w:p>
      <w:pPr>
        <w:ind w:left="1260"/>
        <w:spacing w:after="0"/>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3.1 to the Company’s Form 8-K filed on October 21, 2019)</w:t>
        </w:r>
      </w:hyperlink>
    </w:p>
    <w:p>
      <w:pPr>
        <w:spacing w:after="0" w:line="7" w:lineRule="exact"/>
        <w:rPr>
          <w:sz w:val="20"/>
          <w:szCs w:val="20"/>
          <w:color w:val="auto"/>
        </w:rPr>
      </w:pP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05">
        <w:r>
          <w:rPr>
            <w:rFonts w:ascii="Arial" w:cs="Arial" w:eastAsia="Arial" w:hAnsi="Arial"/>
            <w:sz w:val="18"/>
            <w:szCs w:val="18"/>
            <w:u w:val="single" w:color="auto"/>
            <w:color w:val="0000FF"/>
          </w:rPr>
          <w:t>Amended and Restated Bylaws of BellRing Brands, Inc. (Incorporated by reference to Exhibit 3.1 to the</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Company’s Form 8-K filed on January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579" w:hanging="845"/>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07">
        <w:r>
          <w:rPr>
            <w:rFonts w:ascii="Arial" w:cs="Arial" w:eastAsia="Arial" w:hAnsi="Arial"/>
            <w:sz w:val="18"/>
            <w:szCs w:val="18"/>
            <w:u w:val="single" w:color="auto"/>
            <w:color w:val="0000FF"/>
          </w:rPr>
          <w:t>Form of Class A Common Stock Certificate of BellRing Brands, Inc. (Incorporated by reference to Exhibit 4.1 to</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the Company’s Form S-1 filed on September 20, 2019)</w:t>
        </w:r>
      </w:hyperlink>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08">
        <w:r>
          <w:rPr>
            <w:rFonts w:ascii="Arial" w:cs="Arial" w:eastAsia="Arial" w:hAnsi="Arial"/>
            <w:sz w:val="16"/>
            <w:szCs w:val="16"/>
            <w:u w:val="single" w:color="auto"/>
            <w:color w:val="0000FF"/>
          </w:rPr>
          <w:t>Description of Company’s Registered Securities (Incorporated by reference to Exhibit 4.2 to the Company’s Form</w:t>
        </w:r>
      </w:hyperlink>
    </w:p>
    <w:p>
      <w:pPr>
        <w:spacing w:after="0" w:line="1" w:lineRule="exact"/>
        <w:rPr>
          <w:sz w:val="20"/>
          <w:szCs w:val="20"/>
          <w:color w:val="auto"/>
        </w:rPr>
      </w:pPr>
    </w:p>
    <w:p>
      <w:pPr>
        <w:ind w:left="1260"/>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10-K filed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77585" cy="368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077585" cy="368935"/>
                    </a:xfrm>
                    <a:prstGeom prst="rect">
                      <a:avLst/>
                    </a:prstGeom>
                    <a:noFill/>
                  </pic:spPr>
                </pic:pic>
              </a:graphicData>
            </a:graphic>
          </wp:anchor>
        </w:drawing>
      </w:r>
    </w:p>
    <w:p>
      <w:pPr>
        <w:ind w:left="1260" w:right="77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10">
        <w:r>
          <w:rPr>
            <w:rFonts w:ascii="Arial" w:cs="Arial" w:eastAsia="Arial" w:hAnsi="Arial"/>
            <w:sz w:val="18"/>
            <w:szCs w:val="18"/>
            <w:u w:val="single" w:color="auto"/>
            <w:color w:val="0000FF"/>
          </w:rPr>
          <w:t>Master Transaction Agreement, dated October 7, 2019, by and among Post Holdings, Inc., BellRing Brands, Inc.</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and BellRing Brands, LLC (Incorporated by reference to Exhibit 10.1 to the Company’s Form S-1/A filed on</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October 11, 2019)</w:t>
        </w:r>
      </w:hyperlink>
    </w:p>
    <w:p>
      <w:pPr>
        <w:spacing w:after="0" w:line="1" w:lineRule="exact"/>
        <w:rPr>
          <w:rFonts w:ascii="Arial" w:cs="Arial" w:eastAsia="Arial" w:hAnsi="Arial"/>
          <w:sz w:val="18"/>
          <w:szCs w:val="18"/>
          <w:u w:val="single" w:color="auto"/>
          <w:color w:val="0000FF"/>
        </w:rPr>
      </w:pPr>
    </w:p>
    <w:p>
      <w:pPr>
        <w:ind w:left="1260" w:right="87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11">
        <w:r>
          <w:rPr>
            <w:rFonts w:ascii="Arial" w:cs="Arial" w:eastAsia="Arial" w:hAnsi="Arial"/>
            <w:sz w:val="18"/>
            <w:szCs w:val="18"/>
            <w:u w:val="single" w:color="auto"/>
            <w:color w:val="0000FF"/>
          </w:rPr>
          <w:t>Employee Matters Agreement, dated October 21, 2019, by and among BellRing Brands, Inc., BellRing Brands,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LLC and Post Holdings, Inc. (Incorporated by reference to Exhibit 10.2 to the Company’s Form 8-K filed on</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October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1119" w:hanging="890"/>
        <w:spacing w:after="0" w:line="24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10.3</w:t>
      </w:r>
      <w:r>
        <w:rPr>
          <w:sz w:val="20"/>
          <w:szCs w:val="20"/>
          <w:color w:val="auto"/>
        </w:rPr>
        <w:tab/>
      </w:r>
      <w:hyperlink r:id="rId113">
        <w:r>
          <w:rPr>
            <w:rFonts w:ascii="Arial" w:cs="Arial" w:eastAsia="Arial" w:hAnsi="Arial"/>
            <w:sz w:val="17"/>
            <w:szCs w:val="17"/>
            <w:u w:val="single" w:color="auto"/>
            <w:color w:val="0000FF"/>
          </w:rPr>
          <w:t>Investor Rights Agreement, dated October 21, 2019, between BellRing Brands, Inc. and Post Holdings, Inc.</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(Incorporated by reference to Exhibit 10.3 to the Company’s Form 8-K filed on October 21, 2019)</w:t>
        </w:r>
      </w:hyperlink>
    </w:p>
    <w:p>
      <w:pPr>
        <w:spacing w:after="0" w:line="1" w:lineRule="exact"/>
        <w:rPr>
          <w:sz w:val="20"/>
          <w:szCs w:val="20"/>
          <w:color w:val="auto"/>
        </w:rPr>
      </w:pPr>
    </w:p>
    <w:p>
      <w:pPr>
        <w:jc w:val="both"/>
        <w:ind w:left="1260" w:right="65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14">
        <w:r>
          <w:rPr>
            <w:rFonts w:ascii="Arial" w:cs="Arial" w:eastAsia="Arial" w:hAnsi="Arial"/>
            <w:sz w:val="18"/>
            <w:szCs w:val="18"/>
            <w:u w:val="single" w:color="auto"/>
            <w:color w:val="0000FF"/>
          </w:rPr>
          <w:t>Amended and Restated Limited Liability Company Agreement of BellRing Brands, LLC, dated October 21, 2019,</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by and among BellRing Brands, LLC, BellRing Brands, Inc. and Post Holdings, Inc. (Incorporated by reference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Exhibit 10.1 to the Company’s Form 8-K filed on October 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left="1260" w:right="63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16">
        <w:r>
          <w:rPr>
            <w:rFonts w:ascii="Arial" w:cs="Arial" w:eastAsia="Arial" w:hAnsi="Arial"/>
            <w:sz w:val="18"/>
            <w:szCs w:val="18"/>
            <w:u w:val="single" w:color="auto"/>
            <w:color w:val="0000FF"/>
          </w:rPr>
          <w:t>Tax Matters Agreement, dated October 21, 2019, by and among BellRing Brands, Inc., BellRing Brands, LLC and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Post Holdings, Inc. (Incorporated by reference to Exhibit 10.4 to the Company’s Form 8-K filed on October 21,</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2019)</w:t>
        </w:r>
      </w:hyperlink>
    </w:p>
    <w:p>
      <w:pPr>
        <w:spacing w:after="0" w:line="1" w:lineRule="exact"/>
        <w:rPr>
          <w:rFonts w:ascii="Arial" w:cs="Arial" w:eastAsia="Arial" w:hAnsi="Arial"/>
          <w:sz w:val="18"/>
          <w:szCs w:val="18"/>
          <w:u w:val="single" w:color="auto"/>
          <w:color w:val="0000FF"/>
        </w:rPr>
      </w:pPr>
    </w:p>
    <w:p>
      <w:pPr>
        <w:ind w:left="1260" w:right="699" w:hanging="89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117">
        <w:r>
          <w:rPr>
            <w:rFonts w:ascii="Arial" w:cs="Arial" w:eastAsia="Arial" w:hAnsi="Arial"/>
            <w:sz w:val="18"/>
            <w:szCs w:val="18"/>
            <w:u w:val="single" w:color="auto"/>
            <w:color w:val="0000FF"/>
          </w:rPr>
          <w:t>Tax Receivable Agreement, dated October 21, 2019, by and among BellRing Brands, Inc., BellRing Brands, LLC</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and Post Holdings, Inc. (Incorporated by reference to Exhibit 10.5 to the Company’s Form 8-K filed on October</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21, 2019)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p>
      <w:pPr>
        <w:spacing w:after="0" w:line="1" w:lineRule="exact"/>
        <w:rPr>
          <w:rFonts w:ascii="Arial" w:cs="Arial" w:eastAsia="Arial" w:hAnsi="Arial"/>
          <w:sz w:val="18"/>
          <w:szCs w:val="18"/>
          <w:u w:val="single" w:color="auto"/>
          <w:color w:val="0000FF"/>
        </w:rPr>
      </w:pPr>
    </w:p>
    <w:p>
      <w:pPr>
        <w:ind w:left="360"/>
        <w:spacing w:after="0"/>
        <w:rPr>
          <w:sz w:val="20"/>
          <w:szCs w:val="20"/>
          <w:color w:val="auto"/>
        </w:rPr>
      </w:pPr>
      <w:r>
        <w:rPr>
          <w:rFonts w:ascii="Arial" w:cs="Arial" w:eastAsia="Arial" w:hAnsi="Arial"/>
          <w:sz w:val="18"/>
          <w:szCs w:val="18"/>
          <w:color w:val="auto"/>
        </w:rPr>
        <w:t>10.7</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3"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10.8</w:t>
      </w:r>
    </w:p>
    <w:p>
      <w:pPr>
        <w:spacing w:after="0" w:line="43"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5"/>
          <w:szCs w:val="15"/>
          <w:color w:val="auto"/>
        </w:rPr>
        <w:t>†10.9</w:t>
      </w:r>
    </w:p>
    <w:p>
      <w:pPr>
        <w:spacing w:after="0" w:line="228" w:lineRule="exact"/>
        <w:rPr>
          <w:rFonts w:ascii="Arial" w:cs="Arial" w:eastAsia="Arial" w:hAnsi="Arial"/>
          <w:sz w:val="18"/>
          <w:szCs w:val="18"/>
          <w:u w:val="single" w:color="auto"/>
          <w:color w:val="0000FF"/>
        </w:rPr>
      </w:pPr>
    </w:p>
    <w:p>
      <w:pPr>
        <w:ind w:left="320"/>
        <w:spacing w:after="0"/>
        <w:rPr>
          <w:sz w:val="20"/>
          <w:szCs w:val="20"/>
          <w:color w:val="auto"/>
        </w:rPr>
      </w:pPr>
      <w:r>
        <w:rPr>
          <w:rFonts w:ascii="Arial" w:cs="Arial" w:eastAsia="Arial" w:hAnsi="Arial"/>
          <w:sz w:val="15"/>
          <w:szCs w:val="15"/>
          <w:color w:val="auto"/>
        </w:rPr>
        <w:t>10.10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659"/>
        <w:spacing w:after="0" w:line="22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Master Services Agreement, dated October 21, 2019, by and among BellRing Brands, Inc., BellRing Brands, LLC</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and Post Holdings, Inc. (Incorporated by reference to Exhibit 10.6 to the Company’s Form 8-K filed on October</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21, 2019)</w:t>
        </w:r>
      </w:hyperlink>
    </w:p>
    <w:p>
      <w:pPr>
        <w:spacing w:after="0" w:line="1" w:lineRule="exact"/>
        <w:rPr>
          <w:rFonts w:ascii="Arial" w:cs="Arial" w:eastAsia="Arial" w:hAnsi="Arial"/>
          <w:sz w:val="18"/>
          <w:szCs w:val="18"/>
          <w:u w:val="single" w:color="auto"/>
          <w:color w:val="0000FF"/>
        </w:rPr>
      </w:pPr>
    </w:p>
    <w:p>
      <w:pPr>
        <w:ind w:right="739"/>
        <w:spacing w:after="0" w:line="234"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Form of Indemnification Agreement (Incorporated by reference to Exhibit 10.7 to the Company’s Form 8-K filed</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on October 21, 2019)</w:t>
        </w:r>
      </w:hyperlink>
    </w:p>
    <w:p>
      <w:pPr>
        <w:spacing w:after="0" w:line="82" w:lineRule="exact"/>
        <w:rPr>
          <w:sz w:val="20"/>
          <w:szCs w:val="20"/>
          <w:color w:val="auto"/>
        </w:rPr>
      </w:pPr>
    </w:p>
    <w:p>
      <w:pPr>
        <w:ind w:right="1439"/>
        <w:spacing w:after="0" w:line="235"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BellRing Brands, Inc. 2019 Long-Term Incentive Plan (Incorporated by reference to Exhibit 10.9 to the</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Company’s Form S-1/A filed on October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-256540</wp:posOffset>
            </wp:positionV>
            <wp:extent cx="607758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right="699"/>
        <w:spacing w:after="0" w:line="211"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Credit Agreement, dated as of October 21, 2019, by and among BellRing Brands, LLC, the institutions from time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to time party thereto as lenders, Credit Suisse Loan Funding LLC, BofA Securities, Inc., Morgan Stanley Senior</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Funding, Inc., Barclays Bank PLC, Citibank, N.A., Goldman Sachs Bank USA and JPMorgan Chase Bank, N.A.,</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as joint lead arrangers and joint bookrunners, and BMO Capital Markets Corp., Coöperatieve Rabobank U.A.,</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New York Branch, Nomura Securities International, Inc., Suntrust Robinson Humphrey, Inc.,UBS Securities LLC</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and Wells Fargo Securities, LLC, as co-managers, and Credit Suisse AG, Cayman Islands Branch, as</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administrative agent (Incorporated by reference to Exhibit 10.9 to the Company’s Form 8-K filed on October 21,</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-794385</wp:posOffset>
            </wp:positionH>
            <wp:positionV relativeFrom="paragraph">
              <wp:posOffset>1270</wp:posOffset>
            </wp:positionV>
            <wp:extent cx="6077585"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FF"/>
        </w:rPr>
      </w:pPr>
    </w:p>
    <w:p>
      <w:pPr>
        <w:sectPr>
          <w:pgSz w:w="11900" w:h="16838" w:orient="portrait"/>
          <w:cols w:equalWidth="0" w:num="2">
            <w:col w:w="720" w:space="540"/>
            <w:col w:w="8879"/>
          </w:cols>
          <w:pgMar w:left="320" w:top="341" w:right="1440" w:bottom="1440" w:gutter="0" w:footer="0" w:header="0"/>
          <w:type w:val="continuous"/>
        </w:sectPr>
      </w:pPr>
    </w:p>
    <w:p>
      <w:pPr>
        <w:jc w:val="both"/>
        <w:ind w:left="1260" w:right="579"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25">
        <w:r>
          <w:rPr>
            <w:rFonts w:ascii="Arial" w:cs="Arial" w:eastAsia="Arial" w:hAnsi="Arial"/>
            <w:sz w:val="18"/>
            <w:szCs w:val="18"/>
            <w:u w:val="single" w:color="auto"/>
            <w:color w:val="0000FF"/>
          </w:rPr>
          <w:t>BellRing Brands, Inc. Senior Management Bonus Program (Incorporated by reference to Exhibit 10.1 to the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Company’s Form 8-K filed on November 22, 2019)</w:t>
        </w:r>
      </w:hyperlink>
    </w:p>
    <w:p>
      <w:pPr>
        <w:spacing w:after="0" w:line="1" w:lineRule="exact"/>
        <w:rPr>
          <w:sz w:val="20"/>
          <w:szCs w:val="20"/>
          <w:color w:val="auto"/>
        </w:rPr>
      </w:pPr>
    </w:p>
    <w:p>
      <w:pPr>
        <w:jc w:val="both"/>
        <w:ind w:left="1260" w:right="579"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26">
        <w:r>
          <w:rPr>
            <w:rFonts w:ascii="Arial" w:cs="Arial" w:eastAsia="Arial" w:hAnsi="Arial"/>
            <w:sz w:val="18"/>
            <w:szCs w:val="18"/>
            <w:u w:val="single" w:color="auto"/>
            <w:color w:val="0000FF"/>
          </w:rPr>
          <w:t>Form of Restricted Stock Unit Agreement (Incorporated by reference to Exhibit 10.2 to the Company’s Form 8-K</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filed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jc w:val="both"/>
        <w:ind w:left="1260" w:right="579"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28">
        <w:r>
          <w:rPr>
            <w:rFonts w:ascii="Arial" w:cs="Arial" w:eastAsia="Arial" w:hAnsi="Arial"/>
            <w:sz w:val="18"/>
            <w:szCs w:val="18"/>
            <w:u w:val="single" w:color="auto"/>
            <w:color w:val="0000FF"/>
          </w:rPr>
          <w:t>Form of Non-Qualified Stock Option Agreement (Incorporated by reference to Exhibit 10.3 to the Company’s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Form 8-K filed on November 22, 2019)</w:t>
        </w:r>
      </w:hyperlink>
    </w:p>
    <w:p>
      <w:pPr>
        <w:spacing w:after="0" w:line="1" w:lineRule="exact"/>
        <w:rPr>
          <w:sz w:val="20"/>
          <w:szCs w:val="20"/>
          <w:color w:val="auto"/>
        </w:rPr>
      </w:pPr>
    </w:p>
    <w:p>
      <w:pPr>
        <w:jc w:val="both"/>
        <w:ind w:left="1260" w:right="599"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29">
        <w:r>
          <w:rPr>
            <w:rFonts w:ascii="Arial" w:cs="Arial" w:eastAsia="Arial" w:hAnsi="Arial"/>
            <w:sz w:val="18"/>
            <w:szCs w:val="18"/>
            <w:u w:val="single" w:color="auto"/>
            <w:color w:val="0000FF"/>
          </w:rPr>
          <w:t>Form of Director Restricted Stock Unit Agreement (Incorporated by reference to Exhibit 10.4 to the Company’s</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Form 8-K filed on November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3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jc w:val="both"/>
        <w:ind w:left="1260" w:right="579" w:hanging="984"/>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7"/>
          <w:szCs w:val="17"/>
          <w:color w:val="auto"/>
        </w:rPr>
        <w:t>10.18</w:t>
      </w:r>
      <w:r>
        <w:rPr>
          <w:sz w:val="20"/>
          <w:szCs w:val="20"/>
          <w:color w:val="auto"/>
        </w:rPr>
        <w:tab/>
      </w:r>
      <w:hyperlink r:id="rId131">
        <w:r>
          <w:rPr>
            <w:rFonts w:ascii="Arial" w:cs="Arial" w:eastAsia="Arial" w:hAnsi="Arial"/>
            <w:sz w:val="18"/>
            <w:szCs w:val="18"/>
            <w:u w:val="single" w:color="auto"/>
            <w:color w:val="0000FF"/>
          </w:rPr>
          <w:t>Master Supply Agreement, dated as of December 3, 2019, by and between Premier Nutrition Company, LLC and</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Fonterra (USA) Inc. (Incorporated by reference to Exhibit 10.18 to the Company’s Form 10-Q filed on February 7,</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2020)</w:t>
        </w:r>
      </w:hyperlink>
    </w:p>
    <w:p>
      <w:pPr>
        <w:spacing w:after="0" w:line="1" w:lineRule="exact"/>
        <w:rPr>
          <w:rFonts w:ascii="Arial" w:cs="Arial" w:eastAsia="Arial" w:hAnsi="Arial"/>
          <w:sz w:val="18"/>
          <w:szCs w:val="18"/>
          <w:u w:val="single" w:color="auto"/>
          <w:color w:val="0000FF"/>
        </w:rPr>
      </w:pPr>
    </w:p>
    <w:p>
      <w:pPr>
        <w:jc w:val="both"/>
        <w:ind w:left="1260" w:right="579" w:hanging="984"/>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7"/>
          <w:szCs w:val="17"/>
          <w:color w:val="auto"/>
        </w:rPr>
        <w:t>10.19</w:t>
      </w:r>
      <w:r>
        <w:rPr>
          <w:sz w:val="20"/>
          <w:szCs w:val="20"/>
          <w:color w:val="auto"/>
        </w:rPr>
        <w:tab/>
      </w:r>
      <w:hyperlink r:id="rId132">
        <w:r>
          <w:rPr>
            <w:rFonts w:ascii="Arial" w:cs="Arial" w:eastAsia="Arial" w:hAnsi="Arial"/>
            <w:sz w:val="18"/>
            <w:szCs w:val="18"/>
            <w:u w:val="single" w:color="auto"/>
            <w:color w:val="0000FF"/>
          </w:rPr>
          <w:t>Master Purchase Commitment, dated as of December 3, 2019, by and between Premier Nutrition Company, LLC</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and Fonterra (USA) Inc. (Incorporated by reference to Exhibit 10.19 to the Company’s Form 10-Q filed on</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February 7, 2020)</w:t>
        </w:r>
      </w:hyperlink>
    </w:p>
    <w:p>
      <w:pPr>
        <w:spacing w:after="0" w:line="200" w:lineRule="exact"/>
        <w:rPr>
          <w:rFonts w:ascii="Arial" w:cs="Arial" w:eastAsia="Arial" w:hAnsi="Arial"/>
          <w:sz w:val="18"/>
          <w:szCs w:val="18"/>
          <w:u w:val="single" w:color="auto"/>
          <w:color w:val="0000FF"/>
        </w:rPr>
      </w:pPr>
    </w:p>
    <w:p>
      <w:pPr>
        <w:spacing w:after="0" w:line="381"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83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77585"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6077585" cy="265430"/>
                    </a:xfrm>
                    <a:prstGeom prst="rect">
                      <a:avLst/>
                    </a:prstGeom>
                    <a:noFill/>
                  </pic:spPr>
                </pic:pic>
              </a:graphicData>
            </a:graphic>
          </wp:anchor>
        </w:drawing>
      </w:r>
    </w:p>
    <w:p>
      <w:pPr>
        <w:spacing w:after="0" w:line="25" w:lineRule="exact"/>
        <w:rPr>
          <w:sz w:val="20"/>
          <w:szCs w:val="20"/>
          <w:color w:val="auto"/>
        </w:rPr>
      </w:pPr>
    </w:p>
    <w:p>
      <w:pPr>
        <w:jc w:val="both"/>
        <w:ind w:left="1260" w:right="1480" w:hanging="979"/>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35">
        <w:r>
          <w:rPr>
            <w:rFonts w:ascii="Arial" w:cs="Arial" w:eastAsia="Arial" w:hAnsi="Arial"/>
            <w:sz w:val="18"/>
            <w:szCs w:val="18"/>
            <w:u w:val="single" w:color="auto"/>
            <w:color w:val="0000FF"/>
          </w:rPr>
          <w:t>Deferred Compensation Plan for Directors, dated as of January 1, 2020 (Incorporated by reference to Exhibit 10.20</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to the Company’s Form 10-Q filed on February 7, 2020)</w:t>
        </w:r>
      </w:hyperlink>
    </w:p>
    <w:p>
      <w:pPr>
        <w:jc w:val="both"/>
        <w:ind w:left="1260" w:right="1480" w:hanging="979"/>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36">
        <w:r>
          <w:rPr>
            <w:rFonts w:ascii="Arial" w:cs="Arial" w:eastAsia="Arial" w:hAnsi="Arial"/>
            <w:sz w:val="18"/>
            <w:szCs w:val="18"/>
            <w:u w:val="single" w:color="auto"/>
            <w:color w:val="0000FF"/>
          </w:rPr>
          <w:t>Executive Severance Plan, dated as of January 1, 2020 (Incorporated by reference to Exhibit 10.21 to the</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Company’s Form 10-Q filed on February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9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6077585" cy="368935"/>
                    </a:xfrm>
                    <a:prstGeom prst="rect">
                      <a:avLst/>
                    </a:prstGeom>
                    <a:noFill/>
                  </pic:spPr>
                </pic:pic>
              </a:graphicData>
            </a:graphic>
          </wp:anchor>
        </w:drawing>
      </w:r>
    </w:p>
    <w:p>
      <w:pPr>
        <w:jc w:val="both"/>
        <w:ind w:left="1260" w:right="1480" w:hanging="984"/>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7"/>
          <w:szCs w:val="17"/>
          <w:color w:val="auto"/>
        </w:rPr>
        <w:t>10.22</w:t>
      </w:r>
      <w:r>
        <w:rPr>
          <w:sz w:val="20"/>
          <w:szCs w:val="20"/>
          <w:color w:val="auto"/>
        </w:rPr>
        <w:tab/>
      </w:r>
      <w:hyperlink r:id="rId138">
        <w:r>
          <w:rPr>
            <w:rFonts w:ascii="Arial" w:cs="Arial" w:eastAsia="Arial" w:hAnsi="Arial"/>
            <w:sz w:val="18"/>
            <w:szCs w:val="18"/>
            <w:u w:val="single" w:color="auto"/>
            <w:color w:val="0000FF"/>
          </w:rPr>
          <w:t>Stremick Heritage Foods, LLC and Premier Nutrition Corporation Manufacturing Agreement, dated as of July 1,</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2017, as amended June 11, 2018, October 1, 2018 and July 3, 2019 (Incorporated by reference to Exhibit 10.12 to</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the Company’s Form S-1 filed on September 20, 2019)</w:t>
        </w:r>
      </w:hyperlink>
    </w:p>
    <w:p>
      <w:pPr>
        <w:spacing w:after="0" w:line="1" w:lineRule="exact"/>
        <w:rPr>
          <w:rFonts w:ascii="Arial" w:cs="Arial" w:eastAsia="Arial" w:hAnsi="Arial"/>
          <w:sz w:val="18"/>
          <w:szCs w:val="18"/>
          <w:u w:val="single" w:color="auto"/>
          <w:color w:val="0000FF"/>
        </w:rPr>
      </w:pPr>
    </w:p>
    <w:p>
      <w:pPr>
        <w:jc w:val="both"/>
        <w:ind w:left="1260" w:right="1480" w:hanging="935"/>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39">
        <w:r>
          <w:rPr>
            <w:rFonts w:ascii="Arial" w:cs="Arial" w:eastAsia="Arial" w:hAnsi="Arial"/>
            <w:sz w:val="18"/>
            <w:szCs w:val="18"/>
            <w:u w:val="single" w:color="auto"/>
            <w:color w:val="0000FF"/>
          </w:rPr>
          <w:t>First Amendment to Credit Agreement, dated as of February 21, 2020, by and among BellRing Brands, LLC and</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Credit Suisse AG, Cayman Islands Branch, as administrative agent (Incorporated herein by reference to Exhibit</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10.23 to the Company’s Form 10-Q filed on May 8,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514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6077585" cy="514350"/>
                    </a:xfrm>
                    <a:prstGeom prst="rect">
                      <a:avLst/>
                    </a:prstGeom>
                    <a:noFill/>
                  </pic:spPr>
                </pic:pic>
              </a:graphicData>
            </a:graphic>
          </wp:anchor>
        </w:drawing>
      </w:r>
    </w:p>
    <w:p>
      <w:pPr>
        <w:ind w:left="1260" w:right="1600" w:hanging="935"/>
        <w:spacing w:after="0" w:line="263"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r:id="rId141">
        <w:r>
          <w:rPr>
            <w:rFonts w:ascii="Arial" w:cs="Arial" w:eastAsia="Arial" w:hAnsi="Arial"/>
            <w:sz w:val="16"/>
            <w:szCs w:val="16"/>
            <w:u w:val="single" w:color="auto"/>
            <w:color w:val="0000FF"/>
          </w:rPr>
          <w:t>Amendment No. 2 to Credit Agreement, dated as of February 26, 2021, by and among BellRing Brands, LLC, the</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institutions party thereto as 2021 Refinancing Term Lenders, each Revolving Credit Lender, Credit Suisse AG,</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Cayman Islands Branch, as administrative agent, and the subsidiary guarantors of BellRing Brands, LLC</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(Incorporated by reference to Exhibit 10.1 to the Company’s Form 8-K filed on February 26, 2021)</w:t>
        </w:r>
      </w:hyperlink>
    </w:p>
    <w:p>
      <w:pPr>
        <w:spacing w:after="0" w:line="3" w:lineRule="exact"/>
        <w:rPr>
          <w:rFonts w:ascii="Arial" w:cs="Arial" w:eastAsia="Arial" w:hAnsi="Arial"/>
          <w:sz w:val="16"/>
          <w:szCs w:val="16"/>
          <w:u w:val="single" w:color="auto"/>
          <w:color w:val="0000FF"/>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88">
        <w:r>
          <w:rPr>
            <w:rFonts w:ascii="Arial" w:cs="Arial" w:eastAsia="Arial" w:hAnsi="Arial"/>
            <w:sz w:val="16"/>
            <w:szCs w:val="16"/>
            <w:u w:val="single" w:color="auto"/>
            <w:color w:val="0000FF"/>
          </w:rPr>
          <w:t>Subsidiaries of BellRing Brands, Inc.</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7758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6077585" cy="146050"/>
                    </a:xfrm>
                    <a:prstGeom prst="rect">
                      <a:avLst/>
                    </a:prstGeom>
                    <a:noFill/>
                  </pic:spPr>
                </pic:pic>
              </a:graphicData>
            </a:graphic>
          </wp:anchor>
        </w:drawing>
      </w:r>
    </w:p>
    <w:p>
      <w:pPr>
        <w:spacing w:after="0" w:line="3" w:lineRule="exact"/>
        <w:rPr>
          <w:rFonts w:ascii="Arial" w:cs="Arial" w:eastAsia="Arial" w:hAnsi="Arial"/>
          <w:sz w:val="16"/>
          <w:szCs w:val="16"/>
          <w:u w:val="single" w:color="auto"/>
          <w:color w:val="0000FF"/>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89">
        <w:r>
          <w:rPr>
            <w:rFonts w:ascii="Arial" w:cs="Arial" w:eastAsia="Arial" w:hAnsi="Arial"/>
            <w:sz w:val="16"/>
            <w:szCs w:val="16"/>
            <w:u w:val="single" w:color="auto"/>
            <w:color w:val="0000FF"/>
          </w:rPr>
          <w:t>Consent of PricewaterhouseCoopers LLP</w:t>
        </w:r>
      </w:hyperlink>
    </w:p>
    <w:p>
      <w:pPr>
        <w:spacing w:after="0" w:line="23" w:lineRule="exact"/>
        <w:rPr>
          <w:rFonts w:ascii="Arial" w:cs="Arial" w:eastAsia="Arial" w:hAnsi="Arial"/>
          <w:sz w:val="16"/>
          <w:szCs w:val="16"/>
          <w:u w:val="single" w:color="auto"/>
          <w:color w:val="0000FF"/>
        </w:rPr>
      </w:pPr>
    </w:p>
    <w:p>
      <w:pPr>
        <w:ind w:left="36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24.1</w:t>
      </w:r>
      <w:r>
        <w:rPr>
          <w:sz w:val="20"/>
          <w:szCs w:val="20"/>
          <w:color w:val="auto"/>
        </w:rPr>
        <w:tab/>
      </w:r>
      <w:hyperlink w:anchor="page86">
        <w:r>
          <w:rPr>
            <w:rFonts w:ascii="Arial" w:cs="Arial" w:eastAsia="Arial" w:hAnsi="Arial"/>
            <w:sz w:val="16"/>
            <w:szCs w:val="16"/>
            <w:u w:val="single" w:color="auto"/>
            <w:color w:val="0000FF"/>
          </w:rPr>
          <w:t>Power of Attorney (Included under Signatures)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77585"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spacing w:after="0" w:line="3" w:lineRule="exact"/>
        <w:rPr>
          <w:rFonts w:ascii="Arial" w:cs="Arial" w:eastAsia="Arial" w:hAnsi="Arial"/>
          <w:sz w:val="16"/>
          <w:szCs w:val="16"/>
          <w:u w:val="single" w:color="auto"/>
          <w:color w:val="0000FF"/>
        </w:rPr>
      </w:pPr>
    </w:p>
    <w:p>
      <w:pPr>
        <w:ind w:left="1260" w:right="1500"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90">
        <w:r>
          <w:rPr>
            <w:rFonts w:ascii="Arial" w:cs="Arial" w:eastAsia="Arial" w:hAnsi="Arial"/>
            <w:sz w:val="18"/>
            <w:szCs w:val="18"/>
            <w:u w:val="single" w:color="auto"/>
            <w:color w:val="0000FF"/>
          </w:rPr>
          <w:t>Certification of Robert V. Vitale pursuant to Rule 13a-14(a), as adopted pursuant to Section 302 of the Sarbanes-</w:t>
        </w:r>
      </w:hyperlink>
      <w:hyperlink w:anchor="page90">
        <w:r>
          <w:rPr>
            <w:rFonts w:ascii="Arial" w:cs="Arial" w:eastAsia="Arial" w:hAnsi="Arial"/>
            <w:sz w:val="18"/>
            <w:szCs w:val="18"/>
            <w:u w:val="single" w:color="auto"/>
            <w:color w:val="0000FF"/>
          </w:rPr>
          <w:t>Oxley Act of 2002, dated November 19, 2021</w:t>
        </w:r>
      </w:hyperlink>
    </w:p>
    <w:p>
      <w:pPr>
        <w:spacing w:after="0" w:line="1" w:lineRule="exact"/>
        <w:rPr>
          <w:sz w:val="20"/>
          <w:szCs w:val="20"/>
          <w:color w:val="auto"/>
        </w:rPr>
      </w:pPr>
    </w:p>
    <w:p>
      <w:pPr>
        <w:ind w:left="1260" w:right="1480"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91">
        <w:r>
          <w:rPr>
            <w:rFonts w:ascii="Arial" w:cs="Arial" w:eastAsia="Arial" w:hAnsi="Arial"/>
            <w:sz w:val="18"/>
            <w:szCs w:val="18"/>
            <w:u w:val="single" w:color="auto"/>
            <w:color w:val="0000FF"/>
          </w:rPr>
          <w:t>Certification of Darcy H. Davenport pursuant to Rule 13a-14(a), as adopted pursuant to Section 302 of the</w:t>
        </w:r>
      </w:hyperlink>
      <w:r>
        <w:rPr>
          <w:rFonts w:ascii="Arial" w:cs="Arial" w:eastAsia="Arial" w:hAnsi="Arial"/>
          <w:sz w:val="18"/>
          <w:szCs w:val="18"/>
          <w:u w:val="single" w:color="auto"/>
          <w:color w:val="0000FF"/>
        </w:rPr>
        <w:t xml:space="preserve"> </w:t>
      </w:r>
      <w:hyperlink w:anchor="page91">
        <w:r>
          <w:rPr>
            <w:rFonts w:ascii="Arial" w:cs="Arial" w:eastAsia="Arial" w:hAnsi="Arial"/>
            <w:sz w:val="18"/>
            <w:szCs w:val="18"/>
            <w:u w:val="single" w:color="auto"/>
            <w:color w:val="0000FF"/>
          </w:rPr>
          <w:t>Sarbanes-Oxley Act of 2002, dated November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6077585" cy="257175"/>
                    </a:xfrm>
                    <a:prstGeom prst="rect">
                      <a:avLst/>
                    </a:prstGeom>
                    <a:noFill/>
                  </pic:spPr>
                </pic:pic>
              </a:graphicData>
            </a:graphic>
          </wp:anchor>
        </w:drawing>
      </w:r>
    </w:p>
    <w:p>
      <w:pPr>
        <w:ind w:left="1260" w:right="1480"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31.3</w:t>
      </w:r>
      <w:r>
        <w:rPr>
          <w:sz w:val="20"/>
          <w:szCs w:val="20"/>
          <w:color w:val="auto"/>
        </w:rPr>
        <w:tab/>
      </w:r>
      <w:hyperlink w:anchor="page92">
        <w:r>
          <w:rPr>
            <w:rFonts w:ascii="Arial" w:cs="Arial" w:eastAsia="Arial" w:hAnsi="Arial"/>
            <w:sz w:val="18"/>
            <w:szCs w:val="18"/>
            <w:u w:val="single" w:color="auto"/>
            <w:color w:val="0000FF"/>
          </w:rPr>
          <w:t>Certification of Paul A. Rode pursuant to Rule 13a-14(a), as adopted pursuant to Section 302 of the Sarbanes-</w:t>
        </w:r>
      </w:hyperlink>
      <w:hyperlink w:anchor="page92">
        <w:r>
          <w:rPr>
            <w:rFonts w:ascii="Arial" w:cs="Arial" w:eastAsia="Arial" w:hAnsi="Arial"/>
            <w:sz w:val="18"/>
            <w:szCs w:val="18"/>
            <w:u w:val="single" w:color="auto"/>
            <w:color w:val="0000FF"/>
          </w:rPr>
          <w:t>Oxley Act of 2002, dated November, 19, 2021</w:t>
        </w:r>
      </w:hyperlink>
    </w:p>
    <w:p>
      <w:pPr>
        <w:spacing w:after="0" w:line="1" w:lineRule="exact"/>
        <w:rPr>
          <w:sz w:val="20"/>
          <w:szCs w:val="20"/>
          <w:color w:val="auto"/>
        </w:rPr>
      </w:pPr>
    </w:p>
    <w:p>
      <w:pPr>
        <w:ind w:left="1260" w:right="1500" w:hanging="890"/>
        <w:spacing w:after="0" w:line="23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93">
        <w:r>
          <w:rPr>
            <w:rFonts w:ascii="Arial" w:cs="Arial" w:eastAsia="Arial" w:hAnsi="Arial"/>
            <w:sz w:val="18"/>
            <w:szCs w:val="18"/>
            <w:u w:val="single" w:color="auto"/>
            <w:color w:val="0000FF"/>
          </w:rPr>
          <w:t>Certification of Robert V. Vitale, Darcy H. Davenport and Paul A. Rode, pursuant to 18 U.S.C. Section 1350 as</w:t>
        </w:r>
      </w:hyperlink>
      <w:r>
        <w:rPr>
          <w:rFonts w:ascii="Arial" w:cs="Arial" w:eastAsia="Arial" w:hAnsi="Arial"/>
          <w:sz w:val="18"/>
          <w:szCs w:val="18"/>
          <w:u w:val="single" w:color="auto"/>
          <w:color w:val="0000FF"/>
        </w:rPr>
        <w:t xml:space="preserve"> </w:t>
      </w:r>
      <w:hyperlink w:anchor="page93">
        <w:r>
          <w:rPr>
            <w:rFonts w:ascii="Arial" w:cs="Arial" w:eastAsia="Arial" w:hAnsi="Arial"/>
            <w:sz w:val="18"/>
            <w:szCs w:val="18"/>
            <w:u w:val="single" w:color="auto"/>
            <w:color w:val="0000FF"/>
          </w:rPr>
          <w:t>adopted pursuant to Section 906 of the Sarbanes-Oxley Act of 2002, dated November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077585" cy="368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6077585" cy="368300"/>
                    </a:xfrm>
                    <a:prstGeom prst="rect">
                      <a:avLst/>
                    </a:prstGeom>
                    <a:noFill/>
                  </pic:spPr>
                </pic:pic>
              </a:graphicData>
            </a:graphic>
          </wp:anchor>
        </w:drawing>
      </w:r>
    </w:p>
    <w:p>
      <w:pPr>
        <w:ind w:left="1260" w:right="2080" w:hanging="874"/>
        <w:spacing w:after="0" w:line="224"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Interactive Data File (Form 10-K for the year ended September 30, 2021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260" w:right="1920" w:hanging="874"/>
        <w:spacing w:after="0" w:line="234" w:lineRule="auto"/>
        <w:tabs>
          <w:tab w:leader="none" w:pos="1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cover page from the Company’s Form 10-K for the year ended September 30, 2021, formatted in iXBRL (Inline eXtensible Business Reporting Language) and contained in Exhibit 101</w:t>
      </w:r>
    </w:p>
    <w:p>
      <w:pPr>
        <w:spacing w:after="0" w:line="270" w:lineRule="exact"/>
        <w:rPr>
          <w:rFonts w:ascii="Arial" w:cs="Arial" w:eastAsia="Arial" w:hAnsi="Arial"/>
          <w:sz w:val="18"/>
          <w:szCs w:val="18"/>
          <w:color w:val="auto"/>
        </w:rPr>
      </w:pPr>
    </w:p>
    <w:p>
      <w:pPr>
        <w:ind w:left="480" w:hanging="454"/>
        <w:spacing w:after="0"/>
        <w:tabs>
          <w:tab w:leader="none" w:pos="480" w:val="left"/>
        </w:tabs>
        <w:numPr>
          <w:ilvl w:val="0"/>
          <w:numId w:val="34"/>
        </w:numPr>
        <w:rPr>
          <w:rFonts w:ascii="Arial" w:cs="Arial" w:eastAsia="Arial" w:hAnsi="Arial"/>
          <w:sz w:val="20"/>
          <w:szCs w:val="20"/>
          <w:color w:val="auto"/>
        </w:rPr>
      </w:pPr>
      <w:r>
        <w:rPr>
          <w:rFonts w:ascii="Arial" w:cs="Arial" w:eastAsia="Arial" w:hAnsi="Arial"/>
          <w:sz w:val="18"/>
          <w:szCs w:val="18"/>
          <w:color w:val="auto"/>
        </w:rPr>
        <w:t>These exhibits constitute management contracts, compensatory plans and arrangements.</w:t>
      </w:r>
    </w:p>
    <w:p>
      <w:pPr>
        <w:spacing w:after="0" w:line="18" w:lineRule="exact"/>
        <w:rPr>
          <w:sz w:val="20"/>
          <w:szCs w:val="20"/>
          <w:color w:val="auto"/>
        </w:rPr>
      </w:pPr>
    </w:p>
    <w:p>
      <w:pPr>
        <w:ind w:left="480" w:hanging="454"/>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200" w:lineRule="exact"/>
        <w:rPr>
          <w:sz w:val="20"/>
          <w:szCs w:val="20"/>
          <w:color w:val="auto"/>
        </w:rPr>
      </w:pPr>
    </w:p>
    <w:p>
      <w:pPr>
        <w:spacing w:after="0" w:line="27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10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700" w:right="2360" w:hanging="7181"/>
        <w:spacing w:after="0" w:line="273" w:lineRule="auto"/>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19, 2021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-3175</wp:posOffset>
            </wp:positionV>
            <wp:extent cx="23317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2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Paul A. Rode and Craig L. Rosenthal, and each of them,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6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341" w:right="339" w:bottom="1440" w:gutter="0" w:footer="0" w:header="0"/>
        </w:sectPr>
      </w:pPr>
    </w:p>
    <w:p>
      <w:pPr>
        <w:spacing w:after="0" w:line="34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485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17"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Robert V. Vitale</w:t>
      </w: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Darcy H. Davenport</w:t>
      </w:r>
    </w:p>
    <w:p>
      <w:pPr>
        <w:spacing w:after="0" w:line="33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Paul A. Rode</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Thomas P. Erickson</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0485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9"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Jennifer Kuperman Johnson</w:t>
      </w:r>
    </w:p>
    <w:p>
      <w:pPr>
        <w:spacing w:after="0" w:line="3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Chonda J. Nwamu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Chonda J. Nwamu</w:t>
      </w:r>
    </w:p>
    <w:p>
      <w:pPr>
        <w:spacing w:after="0" w:line="29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85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4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520"/>
        </w:trPr>
        <w:tc>
          <w:tcPr>
            <w:tcW w:w="46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Executive Chairman of the Board of Directors</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r>
        <w:trPr>
          <w:trHeight w:val="41"/>
        </w:trPr>
        <w:tc>
          <w:tcPr>
            <w:tcW w:w="4600" w:type="dxa"/>
            <w:vAlign w:val="bottom"/>
            <w:gridSpan w:val="2"/>
            <w:vMerge w:val="continue"/>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(Co-Principal Executive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6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President and Chief Executive Officer and 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r>
        <w:trPr>
          <w:trHeight w:val="40"/>
        </w:trPr>
        <w:tc>
          <w:tcPr>
            <w:tcW w:w="4600" w:type="dxa"/>
            <w:vAlign w:val="bottom"/>
            <w:gridSpan w:val="2"/>
            <w:vMerge w:val="continue"/>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(Co-Principal Executive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60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Chief Financial Officer and Treasurer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r>
        <w:trPr>
          <w:trHeight w:val="40"/>
        </w:trPr>
        <w:tc>
          <w:tcPr>
            <w:tcW w:w="4600" w:type="dxa"/>
            <w:vAlign w:val="bottom"/>
            <w:gridSpan w:val="2"/>
            <w:vMerge w:val="continue"/>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and Accounting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r>
        <w:trPr>
          <w:trHeight w:val="743"/>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r>
        <w:trPr>
          <w:trHeight w:val="742"/>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r>
        <w:trPr>
          <w:trHeight w:val="743"/>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November 19, 2021</w:t>
            </w: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2740" w:space="620"/>
            <w:col w:w="7880"/>
          </w:cols>
          <w:pgMar w:left="320" w:top="34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40"/>
          </w:cols>
          <w:pgMar w:left="320" w:top="341" w:right="3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0" w:type="dxa"/>
            <w:vAlign w:val="bottom"/>
            <w:gridSpan w:val="3"/>
          </w:tcPr>
          <w:p>
            <w:pPr>
              <w:ind w:left="480"/>
              <w:spacing w:after="0"/>
              <w:rPr>
                <w:sz w:val="20"/>
                <w:szCs w:val="20"/>
                <w:color w:val="auto"/>
              </w:rPr>
            </w:pPr>
            <w:r>
              <w:rPr>
                <w:rFonts w:ascii="Arial" w:cs="Arial" w:eastAsia="Arial" w:hAnsi="Arial"/>
                <w:sz w:val="18"/>
                <w:szCs w:val="18"/>
                <w:b w:val="1"/>
                <w:bCs w:val="1"/>
                <w:color w:val="auto"/>
              </w:rPr>
              <w:t>SUBSIDIARIES OF BELLRING BRANDS, INC.</w:t>
            </w:r>
          </w:p>
        </w:tc>
      </w:tr>
      <w:tr>
        <w:trPr>
          <w:trHeight w:val="364"/>
        </w:trPr>
        <w:tc>
          <w:tcPr>
            <w:tcW w:w="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r>
        <w:trPr>
          <w:trHeight w:val="183"/>
        </w:trPr>
        <w:tc>
          <w:tcPr>
            <w:tcW w:w="3200" w:type="dxa"/>
            <w:vAlign w:val="bottom"/>
            <w:tcBorders>
              <w:left w:val="single" w:sz="8" w:color="auto"/>
            </w:tcBorders>
            <w:gridSpan w:val="2"/>
          </w:tcPr>
          <w:p>
            <w:pPr>
              <w:ind w:left="20"/>
              <w:spacing w:after="0" w:line="182" w:lineRule="exact"/>
              <w:rPr>
                <w:sz w:val="20"/>
                <w:szCs w:val="20"/>
                <w:color w:val="auto"/>
              </w:rPr>
            </w:pPr>
            <w:r>
              <w:rPr>
                <w:rFonts w:ascii="Arial" w:cs="Arial" w:eastAsia="Arial" w:hAnsi="Arial"/>
                <w:sz w:val="18"/>
                <w:szCs w:val="18"/>
                <w:b w:val="1"/>
                <w:bCs w:val="1"/>
                <w:color w:val="auto"/>
              </w:rPr>
              <w:t>Name</w:t>
            </w:r>
          </w:p>
        </w:tc>
        <w:tc>
          <w:tcPr>
            <w:tcW w:w="2400" w:type="dxa"/>
            <w:vAlign w:val="bottom"/>
            <w:tcBorders>
              <w:righ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Jurisdiction of Incorporation / Formation</w:t>
            </w:r>
          </w:p>
        </w:tc>
      </w:tr>
      <w:tr>
        <w:trPr>
          <w:trHeight w:val="21"/>
        </w:trPr>
        <w:tc>
          <w:tcPr>
            <w:tcW w:w="4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Active Nutrition International GmbH</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Germany</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BellRing Brands,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Dymatize Enterprises,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Premier Nutrition Company,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Supreme Protein, LLC</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r>
        <w:trPr>
          <w:trHeight w:val="223"/>
        </w:trPr>
        <w:tc>
          <w:tcPr>
            <w:tcW w:w="320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TA/DEI-A Acquisition Corp.</w:t>
            </w:r>
          </w:p>
        </w:tc>
        <w:tc>
          <w:tcPr>
            <w:tcW w:w="240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00"/>
          </w:cols>
          <w:pgMar w:left="360" w:top="89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333-238306, No. 333-237494, No. 333-234290) of BellRing Brands, Inc. of our report dated November 19,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60"/>
              <w:spacing w:after="0"/>
              <w:rPr>
                <w:sz w:val="20"/>
                <w:szCs w:val="20"/>
                <w:color w:val="auto"/>
              </w:rPr>
            </w:pPr>
            <w:r>
              <w:rPr>
                <w:rFonts w:ascii="Arial" w:cs="Arial" w:eastAsia="Arial" w:hAnsi="Arial"/>
                <w:sz w:val="18"/>
                <w:szCs w:val="18"/>
                <w:color w:val="auto"/>
              </w:rPr>
              <w:t>November 19, 2021</w:t>
            </w:r>
          </w:p>
        </w:tc>
        <w:tc>
          <w:tcPr>
            <w:tcW w:w="4160" w:type="dxa"/>
            <w:vAlign w:val="bottom"/>
            <w:gridSpan w:val="2"/>
          </w:tcPr>
          <w:p>
            <w:pPr>
              <w:ind w:left="940"/>
              <w:spacing w:after="0"/>
              <w:rPr>
                <w:sz w:val="20"/>
                <w:szCs w:val="20"/>
                <w:color w:val="auto"/>
              </w:rPr>
            </w:pPr>
            <w:r>
              <w:rPr>
                <w:rFonts w:ascii="Arial" w:cs="Arial" w:eastAsia="Arial" w:hAnsi="Arial"/>
                <w:sz w:val="18"/>
                <w:szCs w:val="18"/>
                <w:color w:val="auto"/>
              </w:rPr>
              <w:t>By:  /s/ Robert V. Vitale</w:t>
            </w:r>
          </w:p>
        </w:tc>
      </w:tr>
      <w:tr>
        <w:trPr>
          <w:trHeight w:val="222"/>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Executive Chairman</w:t>
            </w:r>
          </w:p>
        </w:tc>
      </w:tr>
    </w:tbl>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60"/>
              <w:spacing w:after="0"/>
              <w:rPr>
                <w:sz w:val="20"/>
                <w:szCs w:val="20"/>
                <w:color w:val="auto"/>
              </w:rPr>
            </w:pPr>
            <w:r>
              <w:rPr>
                <w:rFonts w:ascii="Arial" w:cs="Arial" w:eastAsia="Arial" w:hAnsi="Arial"/>
                <w:sz w:val="18"/>
                <w:szCs w:val="18"/>
                <w:color w:val="auto"/>
              </w:rPr>
              <w:t>November 19, 2021</w:t>
            </w:r>
          </w:p>
        </w:tc>
        <w:tc>
          <w:tcPr>
            <w:tcW w:w="4160" w:type="dxa"/>
            <w:vAlign w:val="bottom"/>
            <w:gridSpan w:val="2"/>
          </w:tcPr>
          <w:p>
            <w:pPr>
              <w:ind w:left="940"/>
              <w:spacing w:after="0"/>
              <w:rPr>
                <w:sz w:val="20"/>
                <w:szCs w:val="20"/>
                <w:color w:val="auto"/>
              </w:rPr>
            </w:pPr>
            <w:r>
              <w:rPr>
                <w:rFonts w:ascii="Arial" w:cs="Arial" w:eastAsia="Arial" w:hAnsi="Arial"/>
                <w:sz w:val="18"/>
                <w:szCs w:val="18"/>
                <w:color w:val="auto"/>
              </w:rPr>
              <w:t>By:  /s/ Darcy H. Davenport</w:t>
            </w:r>
          </w:p>
        </w:tc>
      </w:tr>
      <w:tr>
        <w:trPr>
          <w:trHeight w:val="222"/>
        </w:trPr>
        <w:tc>
          <w:tcPr>
            <w:tcW w:w="5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w w:val="93"/>
              </w:rPr>
              <w:t>President and Chief Executive Officer</w:t>
            </w: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60" w:type="dxa"/>
            <w:vAlign w:val="bottom"/>
          </w:tcPr>
          <w:p>
            <w:pPr>
              <w:ind w:left="140"/>
              <w:spacing w:after="0"/>
              <w:rPr>
                <w:sz w:val="20"/>
                <w:szCs w:val="20"/>
                <w:color w:val="auto"/>
              </w:rPr>
            </w:pPr>
            <w:r>
              <w:rPr>
                <w:rFonts w:ascii="Arial" w:cs="Arial" w:eastAsia="Arial" w:hAnsi="Arial"/>
                <w:sz w:val="18"/>
                <w:szCs w:val="18"/>
                <w:color w:val="auto"/>
              </w:rPr>
              <w:t>November 19, 2021</w:t>
            </w:r>
          </w:p>
        </w:tc>
        <w:tc>
          <w:tcPr>
            <w:tcW w:w="4200" w:type="dxa"/>
            <w:vAlign w:val="bottom"/>
            <w:gridSpan w:val="2"/>
          </w:tcPr>
          <w:p>
            <w:pPr>
              <w:ind w:left="980"/>
              <w:spacing w:after="0"/>
              <w:rPr>
                <w:sz w:val="20"/>
                <w:szCs w:val="20"/>
                <w:color w:val="auto"/>
              </w:rPr>
            </w:pPr>
            <w:r>
              <w:rPr>
                <w:rFonts w:ascii="Arial" w:cs="Arial" w:eastAsia="Arial" w:hAnsi="Arial"/>
                <w:sz w:val="18"/>
                <w:szCs w:val="18"/>
                <w:color w:val="auto"/>
              </w:rPr>
              <w:t>By:  /s/ Paul A. Rode</w:t>
            </w:r>
          </w:p>
        </w:tc>
      </w:tr>
      <w:tr>
        <w:trPr>
          <w:trHeight w:val="222"/>
        </w:trPr>
        <w:tc>
          <w:tcPr>
            <w:tcW w:w="5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the Executive Chairman of BellRing Brands, Inc. (the “Company”), hereby certifies that, to his knowledge on the date hereof:</w:t>
      </w:r>
    </w:p>
    <w:p>
      <w:pPr>
        <w:spacing w:after="0" w:line="264" w:lineRule="exact"/>
        <w:rPr>
          <w:sz w:val="20"/>
          <w:szCs w:val="20"/>
          <w:color w:val="auto"/>
        </w:rPr>
      </w:pPr>
    </w:p>
    <w:p>
      <w:pPr>
        <w:ind w:left="660" w:right="860" w:hanging="652"/>
        <w:spacing w:after="0" w:line="342" w:lineRule="auto"/>
        <w:tabs>
          <w:tab w:leader="none" w:pos="39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2021,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1500" w:hanging="652"/>
        <w:spacing w:after="0" w:line="277" w:lineRule="auto"/>
        <w:tabs>
          <w:tab w:leader="none" w:pos="4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November 19, 2021</w:t>
            </w:r>
          </w:p>
        </w:tc>
        <w:tc>
          <w:tcPr>
            <w:tcW w:w="4300" w:type="dxa"/>
            <w:vAlign w:val="bottom"/>
            <w:gridSpan w:val="2"/>
          </w:tcPr>
          <w:p>
            <w:pPr>
              <w:ind w:left="920"/>
              <w:spacing w:after="0"/>
              <w:rPr>
                <w:sz w:val="20"/>
                <w:szCs w:val="20"/>
                <w:color w:val="auto"/>
              </w:rPr>
            </w:pPr>
            <w:r>
              <w:rPr>
                <w:rFonts w:ascii="Arial" w:cs="Arial" w:eastAsia="Arial" w:hAnsi="Arial"/>
                <w:sz w:val="18"/>
                <w:szCs w:val="18"/>
                <w:color w:val="auto"/>
              </w:rPr>
              <w:t>By:  /s/ Robert. V. Vitale</w:t>
            </w:r>
          </w:p>
        </w:tc>
      </w:tr>
      <w:tr>
        <w:trPr>
          <w:trHeight w:val="222"/>
        </w:trPr>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Executive Chairman</w:t>
            </w:r>
          </w:p>
        </w:tc>
      </w:tr>
    </w:tbl>
    <w:p>
      <w:pPr>
        <w:spacing w:after="0" w:line="200" w:lineRule="exact"/>
        <w:rPr>
          <w:sz w:val="20"/>
          <w:szCs w:val="20"/>
          <w:color w:val="auto"/>
        </w:rPr>
      </w:pPr>
    </w:p>
    <w:p>
      <w:pPr>
        <w:spacing w:after="0" w:line="32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93" w:name="page94"/>
    <w:bookmarkEnd w:id="93"/>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his knowledge on the date hereof:</w:t>
      </w:r>
    </w:p>
    <w:p>
      <w:pPr>
        <w:spacing w:after="0" w:line="197" w:lineRule="exact"/>
        <w:rPr>
          <w:sz w:val="20"/>
          <w:szCs w:val="20"/>
          <w:color w:val="auto"/>
        </w:rPr>
      </w:pPr>
    </w:p>
    <w:p>
      <w:pPr>
        <w:ind w:left="660" w:right="80" w:hanging="652"/>
        <w:spacing w:after="0" w:line="342" w:lineRule="auto"/>
        <w:tabs>
          <w:tab w:leader="none" w:pos="3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2021,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720" w:hanging="652"/>
        <w:spacing w:after="0" w:line="277" w:lineRule="auto"/>
        <w:tabs>
          <w:tab w:leader="none" w:pos="4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Date:   November 19, 2021</w:t>
            </w:r>
          </w:p>
        </w:tc>
        <w:tc>
          <w:tcPr>
            <w:tcW w:w="4300" w:type="dxa"/>
            <w:vAlign w:val="bottom"/>
            <w:gridSpan w:val="2"/>
          </w:tcPr>
          <w:p>
            <w:pPr>
              <w:ind w:left="920"/>
              <w:spacing w:after="0"/>
              <w:rPr>
                <w:sz w:val="20"/>
                <w:szCs w:val="20"/>
                <w:color w:val="auto"/>
              </w:rPr>
            </w:pPr>
            <w:r>
              <w:rPr>
                <w:rFonts w:ascii="Arial" w:cs="Arial" w:eastAsia="Arial" w:hAnsi="Arial"/>
                <w:sz w:val="18"/>
                <w:szCs w:val="18"/>
                <w:color w:val="auto"/>
              </w:rPr>
              <w:t>By:  /s/ Darcy H. Davenport</w:t>
            </w:r>
          </w:p>
        </w:tc>
      </w:tr>
      <w:tr>
        <w:trPr>
          <w:trHeight w:val="222"/>
        </w:trPr>
        <w:tc>
          <w:tcPr>
            <w:tcW w:w="3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3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w w:val="98"/>
              </w:rPr>
              <w:t>President and Chief Executive Officer</w:t>
            </w:r>
          </w:p>
        </w:tc>
      </w:tr>
    </w:tbl>
    <w:p>
      <w:pPr>
        <w:spacing w:after="0" w:line="200" w:lineRule="exact"/>
        <w:rPr>
          <w:sz w:val="20"/>
          <w:szCs w:val="20"/>
          <w:color w:val="auto"/>
        </w:rPr>
      </w:pPr>
    </w:p>
    <w:p>
      <w:pPr>
        <w:spacing w:after="0" w:line="3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138" w:right="1119" w:bottom="1440" w:gutter="0" w:footer="0" w:header="0"/>
        </w:sectPr>
      </w:pPr>
    </w:p>
    <w:bookmarkStart w:id="94" w:name="page95"/>
    <w:bookmarkEnd w:id="94"/>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U.S.C. Section 1350, as adopted pursuant to</w:t>
      </w:r>
    </w:p>
    <w:p>
      <w:pPr>
        <w:spacing w:after="0" w:line="9"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80" w:hanging="652"/>
        <w:spacing w:after="0" w:line="342" w:lineRule="auto"/>
        <w:tabs>
          <w:tab w:leader="none" w:pos="3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report on Form 10-K for the period ended September 30, 2021,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660" w:right="720" w:hanging="652"/>
        <w:spacing w:after="0" w:line="277" w:lineRule="auto"/>
        <w:tabs>
          <w:tab w:leader="none" w:pos="4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480" w:type="dxa"/>
            <w:vAlign w:val="bottom"/>
          </w:tcPr>
          <w:p>
            <w:pPr>
              <w:ind w:left="160"/>
              <w:spacing w:after="0"/>
              <w:rPr>
                <w:sz w:val="20"/>
                <w:szCs w:val="20"/>
                <w:color w:val="auto"/>
              </w:rPr>
            </w:pPr>
            <w:r>
              <w:rPr>
                <w:rFonts w:ascii="Arial" w:cs="Arial" w:eastAsia="Arial" w:hAnsi="Arial"/>
                <w:sz w:val="18"/>
                <w:szCs w:val="18"/>
                <w:color w:val="auto"/>
              </w:rPr>
              <w:t>November 19, 2021</w:t>
            </w:r>
          </w:p>
        </w:tc>
        <w:tc>
          <w:tcPr>
            <w:tcW w:w="4240" w:type="dxa"/>
            <w:vAlign w:val="bottom"/>
            <w:gridSpan w:val="2"/>
          </w:tcPr>
          <w:p>
            <w:pPr>
              <w:ind w:left="880"/>
              <w:spacing w:after="0"/>
              <w:rPr>
                <w:sz w:val="20"/>
                <w:szCs w:val="20"/>
                <w:color w:val="auto"/>
              </w:rPr>
            </w:pPr>
            <w:r>
              <w:rPr>
                <w:rFonts w:ascii="Arial" w:cs="Arial" w:eastAsia="Arial" w:hAnsi="Arial"/>
                <w:sz w:val="18"/>
                <w:szCs w:val="18"/>
                <w:color w:val="auto"/>
              </w:rPr>
              <w:t>By:  /s/ Paul A. Rode</w:t>
            </w:r>
          </w:p>
        </w:tc>
      </w:tr>
      <w:tr>
        <w:trPr>
          <w:trHeight w:val="222"/>
        </w:trPr>
        <w:tc>
          <w:tcPr>
            <w:tcW w:w="5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895"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lowerLetter"/>
      <w:start w:val="3"/>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Roman"/>
      <w:start w:val="3"/>
    </w:lvl>
  </w:abstractNum>
  <w:abstractNum w:abstractNumId="24">
    <w:nsid w:val="4516DDE9"/>
    <w:multiLevelType w:val="hybridMultilevel"/>
    <w:lvl w:ilvl="0">
      <w:lvlJc w:val="left"/>
      <w:lvlText w:val="(%1)"/>
      <w:numFmt w:val="lowerRoman"/>
      <w:start w:val="3"/>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Roman"/>
      <w:start w:val="2"/>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decimal"/>
      <w:start w:val="1"/>
    </w:lvl>
    <w:lvl w:ilvl="1">
      <w:lvlJc w:val="left"/>
      <w:lvlText w:val="•"/>
      <w:numFmt w:val="bullet"/>
      <w:start w:val="1"/>
    </w:lvl>
  </w:abstractNum>
  <w:abstractNum w:abstractNumId="32">
    <w:nsid w:val="77465F01"/>
    <w:multiLevelType w:val="hybridMultilevel"/>
    <w:lvl w:ilvl="0">
      <w:lvlJc w:val="left"/>
      <w:lvlText w:val="%1"/>
      <w:numFmt w:val="decimal"/>
      <w:start w:val="101"/>
    </w:lvl>
  </w:abstractNum>
  <w:abstractNum w:abstractNumId="33">
    <w:nsid w:val="7724C67E"/>
    <w:multiLevelType w:val="hybridMultilevel"/>
    <w:lvl w:ilvl="0">
      <w:lvlJc w:val="left"/>
      <w:lvlText w:val="†"/>
      <w:numFmt w:val="bullet"/>
      <w:start w:val="1"/>
    </w:lvl>
    <w:lvl w:ilvl="1">
      <w:lvlJc w:val="left"/>
      <w:lvlText w:val="%2"/>
      <w:numFmt w:val="decimal"/>
      <w:start w:val="104"/>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lowerLetter"/>
      <w:start w:val="1"/>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9" Type="http://schemas.openxmlformats.org/officeDocument/2006/relationships/image" Target="media/image98.png"/><Relationship Id="rId112" Type="http://schemas.openxmlformats.org/officeDocument/2006/relationships/image" Target="media/image99.png"/><Relationship Id="rId115" Type="http://schemas.openxmlformats.org/officeDocument/2006/relationships/image" Target="media/image100.png"/><Relationship Id="rId118" Type="http://schemas.openxmlformats.org/officeDocument/2006/relationships/image" Target="media/image101.png"/><Relationship Id="rId122" Type="http://schemas.openxmlformats.org/officeDocument/2006/relationships/image" Target="media/image102.png"/><Relationship Id="rId124" Type="http://schemas.openxmlformats.org/officeDocument/2006/relationships/image" Target="media/image103.png"/><Relationship Id="rId127" Type="http://schemas.openxmlformats.org/officeDocument/2006/relationships/image" Target="media/image104.png"/><Relationship Id="rId130"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7" Type="http://schemas.openxmlformats.org/officeDocument/2006/relationships/image" Target="media/image108.png"/><Relationship Id="rId140"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04" Type="http://schemas.openxmlformats.org/officeDocument/2006/relationships/hyperlink" Target="http://www.sec.gov/Archives/edgar/data/1772016/000119312519270862/d812149dex31.htm" TargetMode="External"/><Relationship Id="rId105" Type="http://schemas.openxmlformats.org/officeDocument/2006/relationships/hyperlink" Target="http://www.sec.gov/Archives/edgar/data/1772016/000177201621000006/exhib31amendedrestatedby.htm" TargetMode="External"/><Relationship Id="rId107" Type="http://schemas.openxmlformats.org/officeDocument/2006/relationships/hyperlink" Target="http://www.sec.gov/Archives/edgar/data/1772016/000119312519250692/d727525dex41.htm" TargetMode="External"/><Relationship Id="rId108" Type="http://schemas.openxmlformats.org/officeDocument/2006/relationships/hyperlink" Target="http://www.sec.gov/Archives/edgar/data/1772016/000177201619000038/brbr2019930ex42.htm" TargetMode="External"/><Relationship Id="rId110" Type="http://schemas.openxmlformats.org/officeDocument/2006/relationships/hyperlink" Target="http://www.sec.gov/Archives/edgar/data/1772016/000119312519266329/d727525dex101.htm" TargetMode="External"/><Relationship Id="rId111" Type="http://schemas.openxmlformats.org/officeDocument/2006/relationships/hyperlink" Target="http://www.sec.gov/Archives/edgar/data/1772016/000119312519270862/d812149dex102.htm" TargetMode="External"/><Relationship Id="rId113" Type="http://schemas.openxmlformats.org/officeDocument/2006/relationships/hyperlink" Target="http://www.sec.gov/Archives/edgar/data/1772016/000119312519270862/d812149dex103.htm" TargetMode="External"/><Relationship Id="rId114" Type="http://schemas.openxmlformats.org/officeDocument/2006/relationships/hyperlink" Target="http://www.sec.gov/Archives/edgar/data/1772016/000119312519270862/d812149dex101.htm" TargetMode="External"/><Relationship Id="rId116" Type="http://schemas.openxmlformats.org/officeDocument/2006/relationships/hyperlink" Target="http://www.sec.gov/Archives/edgar/data/1772016/000119312519270862/d812149dex104.htm" TargetMode="External"/><Relationship Id="rId117" Type="http://schemas.openxmlformats.org/officeDocument/2006/relationships/hyperlink" Target="http://www.sec.gov/Archives/edgar/data/1772016/000119312519270862/d812149dex105.htm" TargetMode="External"/><Relationship Id="rId119" Type="http://schemas.openxmlformats.org/officeDocument/2006/relationships/hyperlink" Target="http://www.sec.gov/Archives/edgar/data/1772016/000119312519270862/d812149dex106.htm" TargetMode="External"/><Relationship Id="rId120" Type="http://schemas.openxmlformats.org/officeDocument/2006/relationships/hyperlink" Target="http://www.sec.gov/Archives/edgar/data/1772016/000119312519270862/d812149dex107.htm" TargetMode="External"/><Relationship Id="rId121" Type="http://schemas.openxmlformats.org/officeDocument/2006/relationships/hyperlink" Target="http://www.sec.gov/Archives/edgar/data/1772016/000119312519263070/d727525dex109.htm" TargetMode="External"/><Relationship Id="rId123" Type="http://schemas.openxmlformats.org/officeDocument/2006/relationships/hyperlink" Target="http://www.sec.gov/Archives/edgar/data/1772016/000119312519270862/d812149dex109.htm" TargetMode="External"/><Relationship Id="rId125" Type="http://schemas.openxmlformats.org/officeDocument/2006/relationships/hyperlink" Target="http://www.sec.gov/Archives/edgar/data/1772016/000177201619000046/ex10-1brbrsrmgmtbonusprogr.htm" TargetMode="External"/><Relationship Id="rId126" Type="http://schemas.openxmlformats.org/officeDocument/2006/relationships/hyperlink" Target="http://www.sec.gov/Archives/edgar/data/1772016/000177201619000046/ex10-2formofrsuagmt.htm" TargetMode="External"/><Relationship Id="rId128" Type="http://schemas.openxmlformats.org/officeDocument/2006/relationships/hyperlink" Target="http://www.sec.gov/Archives/edgar/data/1772016/000177201619000046/ex10-3formofnqsoagmt.htm" TargetMode="External"/><Relationship Id="rId129" Type="http://schemas.openxmlformats.org/officeDocument/2006/relationships/hyperlink" Target="http://www.sec.gov/Archives/edgar/data/1772016/000177201619000046/ex10-4formofdirectorrsuagmt.htm" TargetMode="External"/><Relationship Id="rId131" Type="http://schemas.openxmlformats.org/officeDocument/2006/relationships/hyperlink" Target="http://www.sec.gov/Archives/edgar/data/1772016/000177201620000018/brbrq12020ex1018.htm" TargetMode="External"/><Relationship Id="rId132" Type="http://schemas.openxmlformats.org/officeDocument/2006/relationships/hyperlink" Target="http://www.sec.gov/Archives/edgar/data/1772016/000177201620000018/brbrq12020ex1019.htm" TargetMode="External"/><Relationship Id="rId135" Type="http://schemas.openxmlformats.org/officeDocument/2006/relationships/hyperlink" Target="http://www.sec.gov/Archives/edgar/data/1772016/000177201620000018/brbrq12020ex1020.htm" TargetMode="External"/><Relationship Id="rId136" Type="http://schemas.openxmlformats.org/officeDocument/2006/relationships/hyperlink" Target="http://www.sec.gov/Archives/edgar/data/1772016/000177201620000018/brbrq12020ex1021.htm" TargetMode="External"/><Relationship Id="rId138" Type="http://schemas.openxmlformats.org/officeDocument/2006/relationships/hyperlink" Target="http://www.sec.gov/Archives/edgar/data/1772016/000119312519250692/d727525dex1012.htm" TargetMode="External"/><Relationship Id="rId139" Type="http://schemas.openxmlformats.org/officeDocument/2006/relationships/hyperlink" Target="http://www.sec.gov/Archives/edgar/data/1772016/000177201620000035/brbrq22020ex1023.htm" TargetMode="External"/><Relationship Id="rId141" Type="http://schemas.openxmlformats.org/officeDocument/2006/relationships/hyperlink" Target="http://www.sec.gov/Archives/edgar/data/0001772016/000177201621000029/ex10-1_amend2creditagm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2021-11-19T11:27:14Z</dcterms:created>
  <dcterms:modified xsi:type="dcterms:W3CDTF">2021-11-19T11:27:14Z</dcterms:modified>
</cp:coreProperties>
</file>