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February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79375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tbl>
      <w:tblPr>
        <w:tblLayout w:type="fixed"/>
        <w:tblInd w:w="128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280" w:type="dxa"/>
            <w:vAlign w:val="bottom"/>
          </w:tcPr>
          <w:p>
            <w:pPr>
              <w:spacing w:after="0"/>
              <w:rPr>
                <w:sz w:val="13"/>
                <w:szCs w:val="13"/>
                <w:color w:val="auto"/>
              </w:rPr>
            </w:pPr>
          </w:p>
        </w:tc>
      </w:tr>
      <w:tr>
        <w:trPr>
          <w:trHeight w:val="184"/>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340" w:type="dxa"/>
            <w:vAlign w:val="bottom"/>
          </w:tcPr>
          <w:p>
            <w:pPr>
              <w:spacing w:after="0"/>
              <w:rPr>
                <w:sz w:val="16"/>
                <w:szCs w:val="16"/>
                <w:color w:val="auto"/>
              </w:rPr>
            </w:pPr>
          </w:p>
        </w:tc>
        <w:tc>
          <w:tcPr>
            <w:tcW w:w="2260" w:type="dxa"/>
            <w:vAlign w:val="bottom"/>
          </w:tcPr>
          <w:p>
            <w:pPr>
              <w:jc w:val="center"/>
              <w:ind w:right="1394"/>
              <w:spacing w:after="0"/>
              <w:rPr>
                <w:sz w:val="20"/>
                <w:szCs w:val="20"/>
                <w:color w:val="auto"/>
              </w:rPr>
            </w:pPr>
            <w:r>
              <w:rPr>
                <w:rFonts w:ascii="Times New Roman" w:cs="Times New Roman" w:eastAsia="Times New Roman" w:hAnsi="Times New Roman"/>
                <w:sz w:val="13"/>
                <w:szCs w:val="13"/>
                <w:b w:val="1"/>
                <w:bCs w:val="1"/>
                <w:color w:val="auto"/>
                <w:w w:val="99"/>
              </w:rPr>
              <w:t>001-39093</w:t>
            </w:r>
          </w:p>
        </w:tc>
        <w:tc>
          <w:tcPr>
            <w:tcW w:w="2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87-3296749</w:t>
            </w:r>
          </w:p>
        </w:tc>
      </w:tr>
      <w:tr>
        <w:trPr>
          <w:trHeight w:val="158"/>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80" w:type="dxa"/>
            <w:vAlign w:val="bottom"/>
          </w:tcPr>
          <w:p>
            <w:pPr>
              <w:jc w:val="center"/>
              <w:ind w:left="557"/>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91"/>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1 N Brentwood Blvd., Suite 1550</w:t>
            </w:r>
          </w:p>
        </w:tc>
        <w:tc>
          <w:tcPr>
            <w:tcW w:w="13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St. Louis</w:t>
            </w:r>
          </w:p>
        </w:tc>
        <w:tc>
          <w:tcPr>
            <w:tcW w:w="22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Missouri</w:t>
            </w:r>
          </w:p>
        </w:tc>
        <w:tc>
          <w:tcPr>
            <w:tcW w:w="2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63105</w:t>
            </w:r>
          </w:p>
        </w:tc>
      </w:tr>
      <w:tr>
        <w:trPr>
          <w:trHeight w:val="158"/>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644-7652</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9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5"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19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587375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-39370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-22225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7" w:right="3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 and Financial Condition.</w:t>
      </w:r>
    </w:p>
    <w:p>
      <w:pPr>
        <w:spacing w:after="0" w:line="17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On February 3, 2026, BellRing Brands, Inc. (the "Company") issued a press release announcing results for its first fiscal quarter ended December 31, 2025. A copy of the press release is attached hereto as Exhibit 99.1 and incorporated herein by reference.</w:t>
      </w:r>
    </w:p>
    <w:p>
      <w:pPr>
        <w:spacing w:after="0" w:line="12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 addition, on February 3, 2025, the Company published to the "Investor Relations" section of its website, www.bellringbrands.com, a supplemental presentation related to results for its first fiscal quarter ended December 31, 2025. A copy of the presentation is attached hereto as Exhibit 99.2 and incorporated herein by reference.</w:t>
      </w:r>
    </w:p>
    <w:p>
      <w:pPr>
        <w:spacing w:after="0" w:line="1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5.02.</w:t>
      </w:r>
      <w:r>
        <w:rPr>
          <w:sz w:val="20"/>
          <w:szCs w:val="20"/>
          <w:color w:val="auto"/>
        </w:rPr>
        <w:tab/>
      </w:r>
      <w:r>
        <w:rPr>
          <w:rFonts w:ascii="Times New Roman" w:cs="Times New Roman" w:eastAsia="Times New Roman" w:hAnsi="Times New Roman"/>
          <w:sz w:val="11"/>
          <w:szCs w:val="11"/>
          <w:b w:val="1"/>
          <w:bCs w:val="1"/>
          <w:color w:val="auto"/>
        </w:rPr>
        <w:t>Departure of Directors or Certain Officers; Election of Directors; Appointment of Certain Officers; Compensatory Arrangements of Certain Officers.</w:t>
      </w:r>
    </w:p>
    <w:p>
      <w:pPr>
        <w:spacing w:after="0" w:line="18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On February 3, 2026, the Company issued a press release announcing that, on February 2, 2026, Darcy H. Davenport notified the Board of Directors of BellRing Brands, Inc. of her retirement as President and Chief Executive Officer of the Company, effective on the earlier of the appointment of a new CEO or September 30, 2026. A copy of the press release is attached hereto as Exhibit 99.3 and incorporated herein by reference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retirement of Ms. Davenport did not result from any disagreement with the Company on any matter relating to its operations, policies or practices.</w:t>
      </w:r>
    </w:p>
    <w:p>
      <w:pPr>
        <w:spacing w:after="0" w:line="16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2"/>
          <w:szCs w:val="12"/>
          <w:b w:val="1"/>
          <w:bCs w:val="1"/>
          <w:color w:val="auto"/>
        </w:rPr>
        <w:t>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50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0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700" w:type="dxa"/>
            <w:vAlign w:val="bottom"/>
          </w:tcPr>
          <w:p>
            <w:pPr>
              <w:spacing w:after="0"/>
              <w:rPr>
                <w:sz w:val="20"/>
                <w:szCs w:val="20"/>
                <w:color w:val="auto"/>
              </w:rPr>
            </w:pPr>
          </w:p>
        </w:tc>
        <w:tc>
          <w:tcPr>
            <w:tcW w:w="904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Earnings Press Release dated February 3, 2026</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700" w:type="dxa"/>
            <w:vAlign w:val="bottom"/>
          </w:tcPr>
          <w:p>
            <w:pPr>
              <w:spacing w:after="0"/>
              <w:rPr>
                <w:sz w:val="11"/>
                <w:szCs w:val="11"/>
                <w:color w:val="auto"/>
              </w:rPr>
            </w:pPr>
          </w:p>
        </w:tc>
        <w:tc>
          <w:tcPr>
            <w:tcW w:w="9040" w:type="dxa"/>
            <w:vAlign w:val="bottom"/>
            <w:gridSpan w:val="5"/>
          </w:tcPr>
          <w:p>
            <w:pPr>
              <w:spacing w:after="0" w:line="133" w:lineRule="exact"/>
              <w:rPr>
                <w:sz w:val="20"/>
                <w:szCs w:val="20"/>
                <w:color w:val="auto"/>
              </w:rPr>
            </w:pPr>
            <w:r>
              <w:rPr>
                <w:rFonts w:ascii="Times New Roman" w:cs="Times New Roman" w:eastAsia="Times New Roman" w:hAnsi="Times New Roman"/>
                <w:sz w:val="12"/>
                <w:szCs w:val="12"/>
                <w:color w:val="0000FF"/>
              </w:rPr>
              <w:t>First Fiscal Quarter Ended December 31, 2025 Supplemental Presentation</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99.3</w:t>
            </w:r>
          </w:p>
        </w:tc>
        <w:tc>
          <w:tcPr>
            <w:tcW w:w="1700" w:type="dxa"/>
            <w:vAlign w:val="bottom"/>
          </w:tcPr>
          <w:p>
            <w:pPr>
              <w:spacing w:after="0"/>
              <w:rPr>
                <w:sz w:val="11"/>
                <w:szCs w:val="11"/>
                <w:color w:val="auto"/>
              </w:rPr>
            </w:pPr>
          </w:p>
        </w:tc>
        <w:tc>
          <w:tcPr>
            <w:tcW w:w="2880" w:type="dxa"/>
            <w:vAlign w:val="bottom"/>
            <w:tcBorders>
              <w:top w:val="single" w:sz="8" w:color="0000FF"/>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w w:val="99"/>
              </w:rPr>
              <w:t>Leadership Transition Press Release dated February 3, 2026</w:t>
            </w:r>
          </w:p>
        </w:tc>
        <w:tc>
          <w:tcPr>
            <w:tcW w:w="660" w:type="dxa"/>
            <w:vAlign w:val="bottom"/>
            <w:tcBorders>
              <w:top w:val="single" w:sz="8" w:color="0000FF"/>
            </w:tcBorders>
          </w:tcPr>
          <w:p>
            <w:pPr>
              <w:spacing w:after="0"/>
              <w:rPr>
                <w:sz w:val="11"/>
                <w:szCs w:val="11"/>
                <w:color w:val="auto"/>
              </w:rPr>
            </w:pPr>
          </w:p>
        </w:tc>
        <w:tc>
          <w:tcPr>
            <w:tcW w:w="5500" w:type="dxa"/>
            <w:vAlign w:val="bottom"/>
          </w:tcPr>
          <w:p>
            <w:pPr>
              <w:spacing w:after="0"/>
              <w:rPr>
                <w:sz w:val="11"/>
                <w:szCs w:val="1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700" w:type="dxa"/>
            <w:vAlign w:val="bottom"/>
          </w:tcPr>
          <w:p>
            <w:pPr>
              <w:spacing w:after="0"/>
              <w:rPr>
                <w:sz w:val="13"/>
                <w:szCs w:val="13"/>
                <w:color w:val="auto"/>
              </w:rPr>
            </w:pPr>
          </w:p>
        </w:tc>
        <w:tc>
          <w:tcPr>
            <w:tcW w:w="90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iXBRL tags are embedded within the Inline XBRL document)</w:t>
            </w:r>
          </w:p>
        </w:tc>
      </w:tr>
      <w:tr>
        <w:trPr>
          <w:trHeight w:val="2232"/>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2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3, 2026</w:t>
            </w:r>
          </w:p>
        </w:tc>
        <w:tc>
          <w:tcPr>
            <w:tcW w:w="7760" w:type="dxa"/>
            <w:vAlign w:val="bottom"/>
            <w:gridSpan w:val="2"/>
          </w:tcPr>
          <w:p>
            <w:pPr>
              <w:ind w:left="222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25"/>
        </w:trPr>
        <w:tc>
          <w:tcPr>
            <w:tcW w:w="3320" w:type="dxa"/>
            <w:vAlign w:val="bottom"/>
          </w:tcPr>
          <w:p>
            <w:pPr>
              <w:spacing w:after="0"/>
              <w:rPr>
                <w:sz w:val="19"/>
                <w:szCs w:val="19"/>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19"/>
                <w:szCs w:val="19"/>
                <w:color w:val="auto"/>
              </w:rPr>
            </w:pPr>
          </w:p>
        </w:tc>
      </w:tr>
      <w:tr>
        <w:trPr>
          <w:trHeight w:val="450"/>
        </w:trPr>
        <w:tc>
          <w:tcPr>
            <w:tcW w:w="3320" w:type="dxa"/>
            <w:vAlign w:val="bottom"/>
          </w:tcPr>
          <w:p>
            <w:pPr>
              <w:spacing w:after="0"/>
              <w:rPr>
                <w:sz w:val="24"/>
                <w:szCs w:val="24"/>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A. Rode</w:t>
            </w:r>
          </w:p>
        </w:tc>
      </w:tr>
      <w:tr>
        <w:trPr>
          <w:trHeight w:val="203"/>
        </w:trPr>
        <w:tc>
          <w:tcPr>
            <w:tcW w:w="3320" w:type="dxa"/>
            <w:vAlign w:val="bottom"/>
          </w:tcPr>
          <w:p>
            <w:pPr>
              <w:spacing w:after="0"/>
              <w:rPr>
                <w:sz w:val="17"/>
                <w:szCs w:val="17"/>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Paul A. Rode</w:t>
            </w:r>
          </w:p>
        </w:tc>
      </w:tr>
      <w:tr>
        <w:trPr>
          <w:trHeight w:val="155"/>
        </w:trPr>
        <w:tc>
          <w:tcPr>
            <w:tcW w:w="3320" w:type="dxa"/>
            <w:vAlign w:val="bottom"/>
          </w:tcPr>
          <w:p>
            <w:pPr>
              <w:spacing w:after="0"/>
              <w:rPr>
                <w:sz w:val="13"/>
                <w:szCs w:val="13"/>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994410" cy="474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Reports Results for the First Quarter of Fiscal Year 2026; Narrows Fiscal Year 2026 Outlook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 Louis - February 3, 2026 </w:t>
      </w:r>
      <w:r>
        <w:rPr>
          <w:rFonts w:ascii="Times New Roman" w:cs="Times New Roman" w:eastAsia="Times New Roman" w:hAnsi="Times New Roman"/>
          <w:sz w:val="12"/>
          <w:szCs w:val="12"/>
          <w:color w:val="auto"/>
        </w:rPr>
        <w:t>- BellRing Brands, Inc. (NYSE:BRBR) (“BellRing”), a holding company operating in the global proactive wellness category, today reported results for the first fiscal quarter ended December 31,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First quarter net sales of $537.3 million, up 1% year-over-year</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profit of $78.5 million, net earnings of $43.7 million and Adjusted EBITDA* of $90.3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Narrowed fiscal year 2026 net sales outlook of $2.41-$2.46 billion and Adjusted EBITDA* outlook of $425-$440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Repurchased $97 million or approximately 2.5% of common shares outstanding in the quarter</w:t>
      </w:r>
    </w:p>
    <w:p>
      <w:pPr>
        <w:spacing w:after="0" w:line="9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0"/>
          <w:szCs w:val="10"/>
          <w:i w:val="1"/>
          <w:iCs w:val="1"/>
          <w:color w:val="auto"/>
        </w:rPr>
        <w:t>*Adjusted EBITDA and Adjusted EBITDA as a percentage of net sales are non-GAAP measures. For additional information regarding non-GAAP measures, see the related explanations presented under “Use of Non-GAAP Measures” later in this release. BellRing provides Adjusted EBITDA and Adjusted EBITDA as a percentage of net sales guidance only on a non-GAAP basis and does not provide a reconciliation of its forward-looking Adjusted EBITDA or Adjusted EBITDA as a percentage of net sales non-GAAP guidance measure to the most directly comparable GAAP measure due to the inherent difficulty in forecasting and quantifying certain amounts that are necessary for such reconciliation, including the adjustments described under “Outlook” later in this release.</w:t>
      </w:r>
    </w:p>
    <w:p>
      <w:pPr>
        <w:spacing w:after="0" w:line="9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“We delivered first quarter results ahead of our guidance, primarily due to favorable timing, and our operating plans remain on track,” said Darcy H. Davenport, President and Chief Executive Officer of BellRing. “Our 2026 outlook has been modestly narrowed, reflecting increased category promotional frequency and higher whey protein costs, and continues to anticipate growth and second half acceleration as demand initiatives ramp. We remain highly focused on executing our strategic priorities of stepping up brand investment, accelerating our innovation pipeline and sharpening multi-channel execution to reach even more consumers.”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Quarter Consumption Trends</w:t>
      </w:r>
    </w:p>
    <w:p>
      <w:pPr>
        <w:spacing w:after="0" w:line="1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2"/>
          <w:szCs w:val="12"/>
          <w:color w:val="auto"/>
        </w:rPr>
        <w:t xml:space="preserve">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ready-to-drink (“RTD”) shakes decreased 2.2%,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powder products increased 2.9%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powder and RTD products increased 7.5% in the 13-week period ended December 28, 2025, as compared to the same period in 2024 (inclusive of Circana United States (“U.S.”) Multi Outlet Plus with Convenience and management estimates of untracked channels). For additional information regarding consumption metrics, see the supplemental presentation on BellRing’s website, which can be accessed by visiting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Quarter Operating Results</w:t>
      </w:r>
    </w:p>
    <w:p>
      <w:pPr>
        <w:spacing w:after="0" w:line="11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 xml:space="preserve">Net sales were $537.3 million, an increase of 0.8%, or $4.4 million, compared to the prior year period, driven by 0.7% increase in volume and 0.1% increase in price/mix. The first quarter of 2026 benefited from some timing of customer orders that were previously expected in the second quarter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strength. As expected, the first quarter of 2026 reflected tough prior year comparisons in the club channel including non-repeating promotions for both </w:t>
      </w:r>
      <w:r>
        <w:rPr>
          <w:rFonts w:ascii="Times New Roman" w:cs="Times New Roman" w:eastAsia="Times New Roman" w:hAnsi="Times New Roman"/>
          <w:sz w:val="12"/>
          <w:szCs w:val="12"/>
          <w:i w:val="1"/>
          <w:iCs w:val="1"/>
          <w:color w:val="auto"/>
        </w:rPr>
        <w:t xml:space="preserve">Premier Protein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i w:val="1"/>
          <w:iCs w:val="1"/>
          <w:color w:val="auto"/>
        </w:rPr>
        <w:t xml:space="preserve"> Dymatize</w:t>
      </w:r>
      <w:r>
        <w:rPr>
          <w:rFonts w:ascii="Times New Roman" w:cs="Times New Roman" w:eastAsia="Times New Roman" w:hAnsi="Times New Roman"/>
          <w:sz w:val="12"/>
          <w:szCs w:val="12"/>
          <w:color w:val="auto"/>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Premier Protein </w:t>
      </w:r>
      <w:r>
        <w:rPr>
          <w:rFonts w:ascii="Times New Roman" w:cs="Times New Roman" w:eastAsia="Times New Roman" w:hAnsi="Times New Roman"/>
          <w:sz w:val="12"/>
          <w:szCs w:val="12"/>
          <w:color w:val="auto"/>
        </w:rPr>
        <w:t>net sales decreased 1.2%, driven by 1.0% decrease in price/mix and 0.2% decrease in volume.</w:t>
      </w:r>
      <w:r>
        <w:rPr>
          <w:rFonts w:ascii="Times New Roman" w:cs="Times New Roman" w:eastAsia="Times New Roman" w:hAnsi="Times New Roman"/>
          <w:sz w:val="12"/>
          <w:szCs w:val="12"/>
          <w:i w:val="1"/>
          <w:iCs w:val="1"/>
          <w:color w:val="auto"/>
        </w:rPr>
        <w:t xml:space="preserve"> Premier Protein </w:t>
      </w:r>
      <w:r>
        <w:rPr>
          <w:rFonts w:ascii="Times New Roman" w:cs="Times New Roman" w:eastAsia="Times New Roman" w:hAnsi="Times New Roman"/>
          <w:sz w:val="12"/>
          <w:szCs w:val="12"/>
          <w:color w:val="auto"/>
        </w:rPr>
        <w:t>RTD shake net sales decreased 2.2%, driven by 1.9% decrease in price/mix and 0.3% decrease in volume.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Lower net pricing reflected incremental promotional investment.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Dymatize </w:t>
      </w:r>
      <w:r>
        <w:rPr>
          <w:rFonts w:ascii="Times New Roman" w:cs="Times New Roman" w:eastAsia="Times New Roman" w:hAnsi="Times New Roman"/>
          <w:sz w:val="12"/>
          <w:szCs w:val="12"/>
          <w:color w:val="auto"/>
        </w:rPr>
        <w:t>net sales increased 15.8% driven by strong volume growth, particularly in the international channel.</w:t>
      </w:r>
    </w:p>
    <w:p>
      <w:pPr>
        <w:spacing w:after="0" w:line="11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Gross profit was $160.8 million, or 29.9% of net sales, a decrease of $38.8 million, compared to $199.6 million, or 37.5% of net sales, in the prior year period. Gross profit was impacted by significant input cost inflation, inclusive of tariffs, unfavorable mix and lapping $5.0 million of non-recurring cost favorability in the prior year period.</w:t>
      </w:r>
    </w:p>
    <w:p>
      <w:pPr>
        <w:spacing w:after="0" w:line="75"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(“SG&amp;A”) expenses were $78.0 million, or 14.5% of net sales, a decrease of $2.1 million compared to $80.1 million, or 15.0% of net sales, in the prior year period. Marketing and consumer advertising expenses were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4" w:name="page5"/>
    <w:bookmarkEnd w:id="4"/>
    <w:p>
      <w:pPr>
        <w:ind w:right="60"/>
        <w:spacing w:after="0" w:line="283" w:lineRule="auto"/>
        <w:rPr>
          <w:sz w:val="20"/>
          <w:szCs w:val="20"/>
          <w:color w:val="auto"/>
        </w:rPr>
      </w:pPr>
      <w:r>
        <w:rPr>
          <w:rFonts w:ascii="Times New Roman" w:cs="Times New Roman" w:eastAsia="Times New Roman" w:hAnsi="Times New Roman"/>
          <w:sz w:val="12"/>
          <w:szCs w:val="12"/>
          <w:color w:val="auto"/>
        </w:rPr>
        <w:t xml:space="preserve">$12.4 million, a decrease of $2.7 million compared to the prior year period, driven by a reduction for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SG&amp;A expenses in the first quarter of 2026 included $1.3 million of office relocation and separation costs, both of which are discussed later in this release and were treated as adjustments for non-GAAP measures.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profit was $78.5 million, a decrease of $36.8 million, compared to $115.3 million in the prior year period driven by lower gross margins.</w:t>
      </w:r>
    </w:p>
    <w:p>
      <w:pPr>
        <w:spacing w:after="0" w:line="11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Interest expense, net was $20.0 million and $14.4 million in the first quarter of 2026 and 2025, respectively, with the increase primarily driven by higher outstanding borrowings under BellRing’s revolving credit facility. Income tax expense was $14.8 million in the first quarter of 2026 compared to $24.0 million in the first quarter of 2025. The effective income tax rate was 25.3% and 23.8% in the first quarter of 2026 and 2025, respectively.</w:t>
      </w:r>
    </w:p>
    <w:p>
      <w:pPr>
        <w:spacing w:after="0" w:line="75"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Net earnings were $43.7 million, a decrease of $33.2 million, compared to $76.9 million in the prior year period. Net earnings per diluted common share were $0.36 compared to $0.59 in the prior year period. Adjusted net earnings* were $44.7 million, a decrease of $31.5 million, compared to $76.2 million in the prior year period. Adjusted diluted earnings per common share* were $0.37 compared to $0.58 in the prior year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$90.3 million, a decrease of $35.0 million, compared to $125.3 million in the prior 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118"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12"/>
          <w:szCs w:val="12"/>
          <w:color w:val="auto"/>
        </w:rPr>
        <w:t>During the first quarter of 2026, BellRing repurchased 3.0 million shares for $96.9 million at an average price of $31.95 per share. As of December 31, 2025, BellRing had $543.1 million remaining under its share repurchase authorization.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18"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For fiscal year 2026, BellRing management has narrowed its previously issued guidance, as shown in the table below. As previously indicated, net sales growth is expected to accelerate beyond the first quarter as merchandising initiatives, advertising and innovation become more meaningful.</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Metric</w:t>
            </w:r>
          </w:p>
        </w:tc>
        <w:tc>
          <w:tcPr>
            <w:tcW w:w="5260" w:type="dxa"/>
            <w:vAlign w:val="bottom"/>
            <w:tcBorders>
              <w:bottom w:val="single" w:sz="8" w:color="auto"/>
            </w:tcBorders>
          </w:tcPr>
          <w:p>
            <w:pPr>
              <w:jc w:val="center"/>
              <w:ind w:left="2960"/>
              <w:spacing w:after="0"/>
              <w:rPr>
                <w:sz w:val="20"/>
                <w:szCs w:val="20"/>
                <w:color w:val="auto"/>
              </w:rPr>
            </w:pPr>
            <w:r>
              <w:rPr>
                <w:rFonts w:ascii="Times New Roman" w:cs="Times New Roman" w:eastAsia="Times New Roman" w:hAnsi="Times New Roman"/>
                <w:sz w:val="12"/>
                <w:szCs w:val="12"/>
                <w:b w:val="1"/>
                <w:bCs w:val="1"/>
                <w:color w:val="auto"/>
                <w:w w:val="98"/>
              </w:rPr>
              <w:t>Fiscal Year 2026</w:t>
            </w:r>
          </w:p>
        </w:tc>
      </w:tr>
      <w:tr>
        <w:trPr>
          <w:trHeight w:val="14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5260" w:type="dxa"/>
            <w:vAlign w:val="bottom"/>
            <w:shd w:val="clear" w:color="auto" w:fill="CCEEFF"/>
          </w:tcPr>
          <w:p>
            <w:pPr>
              <w:jc w:val="center"/>
              <w:ind w:left="2960"/>
              <w:spacing w:after="0"/>
              <w:rPr>
                <w:sz w:val="20"/>
                <w:szCs w:val="20"/>
                <w:color w:val="auto"/>
              </w:rPr>
            </w:pPr>
            <w:r>
              <w:rPr>
                <w:rFonts w:ascii="Times New Roman" w:cs="Times New Roman" w:eastAsia="Times New Roman" w:hAnsi="Times New Roman"/>
                <w:sz w:val="12"/>
                <w:szCs w:val="12"/>
                <w:color w:val="auto"/>
                <w:w w:val="99"/>
              </w:rPr>
              <w:t>$2.41-$2.46 billion</w:t>
            </w:r>
          </w:p>
        </w:tc>
      </w:tr>
      <w:tr>
        <w:trPr>
          <w:trHeight w:val="153"/>
        </w:trPr>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Net Sales Growth</w:t>
            </w:r>
          </w:p>
        </w:tc>
        <w:tc>
          <w:tcPr>
            <w:tcW w:w="5260" w:type="dxa"/>
            <w:vAlign w:val="bottom"/>
          </w:tcPr>
          <w:p>
            <w:pPr>
              <w:jc w:val="center"/>
              <w:ind w:left="2960"/>
              <w:spacing w:after="0"/>
              <w:rPr>
                <w:sz w:val="20"/>
                <w:szCs w:val="20"/>
                <w:color w:val="auto"/>
              </w:rPr>
            </w:pPr>
            <w:r>
              <w:rPr>
                <w:rFonts w:ascii="Times New Roman" w:cs="Times New Roman" w:eastAsia="Times New Roman" w:hAnsi="Times New Roman"/>
                <w:sz w:val="12"/>
                <w:szCs w:val="12"/>
                <w:color w:val="auto"/>
              </w:rPr>
              <w:t>4% to 6%</w:t>
            </w:r>
          </w:p>
        </w:tc>
      </w:tr>
      <w:tr>
        <w:trPr>
          <w:trHeight w:val="15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5260" w:type="dxa"/>
            <w:vAlign w:val="bottom"/>
            <w:shd w:val="clear" w:color="auto" w:fill="CCEEFF"/>
          </w:tcPr>
          <w:p>
            <w:pPr>
              <w:jc w:val="center"/>
              <w:ind w:left="2980"/>
              <w:spacing w:after="0"/>
              <w:rPr>
                <w:sz w:val="20"/>
                <w:szCs w:val="20"/>
                <w:color w:val="auto"/>
              </w:rPr>
            </w:pPr>
            <w:r>
              <w:rPr>
                <w:rFonts w:ascii="Times New Roman" w:cs="Times New Roman" w:eastAsia="Times New Roman" w:hAnsi="Times New Roman"/>
                <w:sz w:val="12"/>
                <w:szCs w:val="12"/>
                <w:color w:val="auto"/>
              </w:rPr>
              <w:t>$425-$440 million</w:t>
            </w:r>
          </w:p>
        </w:tc>
      </w:tr>
      <w:tr>
        <w:trPr>
          <w:trHeight w:val="153"/>
        </w:trPr>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 as a percentage of Net Sales</w:t>
            </w:r>
          </w:p>
        </w:tc>
        <w:tc>
          <w:tcPr>
            <w:tcW w:w="5260" w:type="dxa"/>
            <w:vAlign w:val="bottom"/>
          </w:tcPr>
          <w:p>
            <w:pPr>
              <w:jc w:val="center"/>
              <w:ind w:left="2980"/>
              <w:spacing w:after="0"/>
              <w:rPr>
                <w:sz w:val="20"/>
                <w:szCs w:val="20"/>
                <w:color w:val="auto"/>
              </w:rPr>
            </w:pPr>
            <w:r>
              <w:rPr>
                <w:rFonts w:ascii="Times New Roman" w:cs="Times New Roman" w:eastAsia="Times New Roman" w:hAnsi="Times New Roman"/>
                <w:sz w:val="12"/>
                <w:szCs w:val="12"/>
                <w:color w:val="auto"/>
              </w:rPr>
              <w:t>Approximately 18%</w:t>
            </w:r>
          </w:p>
        </w:tc>
      </w:tr>
      <w:tr>
        <w:trPr>
          <w:trHeight w:val="15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Expenditures</w:t>
            </w:r>
          </w:p>
        </w:tc>
        <w:tc>
          <w:tcPr>
            <w:tcW w:w="5260" w:type="dxa"/>
            <w:vAlign w:val="bottom"/>
            <w:shd w:val="clear" w:color="auto" w:fill="CCEEFF"/>
          </w:tcPr>
          <w:p>
            <w:pPr>
              <w:jc w:val="center"/>
              <w:ind w:left="2980"/>
              <w:spacing w:after="0"/>
              <w:rPr>
                <w:sz w:val="20"/>
                <w:szCs w:val="20"/>
                <w:color w:val="auto"/>
              </w:rPr>
            </w:pPr>
            <w:r>
              <w:rPr>
                <w:rFonts w:ascii="Times New Roman" w:cs="Times New Roman" w:eastAsia="Times New Roman" w:hAnsi="Times New Roman"/>
                <w:sz w:val="12"/>
                <w:szCs w:val="12"/>
                <w:color w:val="auto"/>
              </w:rPr>
              <w:t>$8 million</w:t>
            </w:r>
          </w:p>
        </w:tc>
      </w:tr>
    </w:tbl>
    <w:p>
      <w:pPr>
        <w:spacing w:after="0" w:line="15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BellRing provides Adjusted EBITDA and Adjusted EBITDA as a percentage of net sales guidance only on a non-GAAP basis and does not provide a reconciliation of its forward-looking Adjusted EBITDA and Adjusted EBITDA as a percentage of net sales non-GAAP guidance measure to the most directly comparable GAAP measure due to the inherent difficulty in forecasting and quantifying certain amounts that are necessary for such reconciliation, including adjustments that could be made for mark-to-market adjustments on commodity hedges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gross profit, Adjusted gross profit margin, Adjusted net earnings, Adjusted diluted earnings per common share, Adjusted EBITDA and Adjusted EBITDA as a percentage of net sales.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and Adjusted EBITDA as a percentage of net sales,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60"/>
          </w:cols>
          <w:pgMar w:left="300" w:top="640" w:right="339" w:bottom="1440" w:gutter="0" w:footer="0" w:header="0"/>
        </w:sectPr>
      </w:pPr>
    </w:p>
    <w:bookmarkStart w:id="5" w:name="page6"/>
    <w:bookmarkEnd w:id="5"/>
    <w:p>
      <w:pPr>
        <w:ind w:right="40"/>
        <w:spacing w:after="0" w:line="265" w:lineRule="auto"/>
        <w:rPr>
          <w:sz w:val="20"/>
          <w:szCs w:val="20"/>
          <w:color w:val="auto"/>
        </w:rPr>
      </w:pPr>
      <w:r>
        <w:rPr>
          <w:rFonts w:ascii="Times New Roman" w:cs="Times New Roman" w:eastAsia="Times New Roman" w:hAnsi="Times New Roman"/>
          <w:sz w:val="12"/>
          <w:szCs w:val="12"/>
          <w:color w:val="auto"/>
        </w:rPr>
        <w:t>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to Discuss Earnings Results and Outlook</w:t>
      </w:r>
    </w:p>
    <w:p>
      <w:pPr>
        <w:spacing w:after="0" w:line="118"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Tuesday, February 3, 2026 at 8:30 a.m. ET to discuss financial results for the first quarter of fiscal year 2026 and fiscal year 2026 outlook and to respond to questions. Darcy H. Davenport, President and Chief Executive Officer, and Paul A. Rode, Chief Financial Officer, will participate in the call.</w:t>
      </w:r>
    </w:p>
    <w:p>
      <w:pPr>
        <w:spacing w:after="0" w:line="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Interested parties may join the conference call by registering in advance at the following link: BellRing Q1 2026 Earnings Conference Call. Upon registration, participants will receive a dial-in number and a unique passcode to access the conference call.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Adjusted EBITDA, Adjusted EBITDA as a percentage of net sales and capital expenditures outlook for fiscal year 2026.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spacing w:after="0" w:line="1"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continue to compete in its product categories and its ability to retain its market position and favorable perceptions of its brands;</w:t>
      </w:r>
    </w:p>
    <w:p>
      <w:pPr>
        <w:spacing w:after="0" w:line="6" w:lineRule="exact"/>
        <w:rPr>
          <w:rFonts w:ascii="Times New Roman" w:cs="Times New Roman" w:eastAsia="Times New Roman" w:hAnsi="Times New Roman"/>
          <w:sz w:val="12"/>
          <w:szCs w:val="12"/>
          <w:color w:val="auto"/>
        </w:rPr>
      </w:pPr>
    </w:p>
    <w:p>
      <w:pPr>
        <w:ind w:left="420" w:right="20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BellRing’s supply chain, including as a result of BellRing’s reliance on third-party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third-party contract manufacturers for the manufacture of most of its products, including one manufacturer for nearly half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BellRing’s third-party contract manufacturers to produce an amount of BellRing’s products that enables BellRing to meet customer and consumer demand for the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 or availability of inputs to BellRing’s business (including freight, raw materials, packaging, energy, labor and other supplies), including as a result of tariffs or inflationary pressures;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behaviors and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as well as new laws and regulations and changes to existing laws and regulations and interpretations thereof, affecting BellRing’s business,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60"/>
          </w:cols>
          <w:pgMar w:left="300" w:top="642" w:right="339" w:bottom="1440" w:gutter="0" w:footer="0" w:header="0"/>
        </w:sectPr>
      </w:pPr>
    </w:p>
    <w:bookmarkStart w:id="6" w:name="page7"/>
    <w:bookmarkEnd w:id="6"/>
    <w:p>
      <w:pPr>
        <w:ind w:left="420"/>
        <w:spacing w:after="0"/>
        <w:rPr>
          <w:sz w:val="20"/>
          <w:szCs w:val="20"/>
          <w:color w:val="auto"/>
        </w:rPr>
      </w:pPr>
      <w:r>
        <w:rPr>
          <w:rFonts w:ascii="Times New Roman" w:cs="Times New Roman" w:eastAsia="Times New Roman" w:hAnsi="Times New Roman"/>
          <w:sz w:val="12"/>
          <w:szCs w:val="12"/>
          <w:color w:val="auto"/>
        </w:rPr>
        <w:t>including current and future laws and regulations regarding food safety, advertising, labeling, tax matters and environmental matters;</w:t>
      </w:r>
    </w:p>
    <w:p>
      <w:pPr>
        <w:spacing w:after="0" w:line="17"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the net selling prices of its products and manage promotional activities with respect to its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obtain additional financing (including both secured and unsecured debt) and its ability to service its outstanding debt (including covenants that restrict the operation of its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critical accounting estimates;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 or unfavorable economic conditions that limit customer and consumer demand for BellRing’s products or increase its costs;</w:t>
      </w:r>
    </w:p>
    <w:p>
      <w:pPr>
        <w:spacing w:after="0" w:line="6" w:lineRule="exact"/>
        <w:rPr>
          <w:rFonts w:ascii="Times New Roman" w:cs="Times New Roman" w:eastAsia="Times New Roman" w:hAnsi="Times New Roman"/>
          <w:sz w:val="12"/>
          <w:szCs w:val="12"/>
          <w:color w:val="auto"/>
        </w:rPr>
      </w:pPr>
    </w:p>
    <w:p>
      <w:pPr>
        <w:ind w:left="420" w:right="46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Holdings, Inc. (“Post”) following BellRing’s separation from Post and Post’s distribution of BellRing stock to Post’s shareholders (“ the Spin-off”), including BellRing’s obligations under various agreements with Post;</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conflicting interests or the appearance of conflicting interests resulting from certain of BellRing’s directors also serving as officers and/or directors of Post;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previously completed Spin-off;</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 and to continue to use third-party intellectual property subject to intellectual property licenses;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technology failures, cybersecurity incidents and corruption of BellRing’s data privacy protections;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 assets or other long-lived assets;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hire and retain talented personnel, employee absenteeism, labor strikes, work stoppages or unionization efforts;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any guidance BellRing may give regarding its performance;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Securities and Exchange Commission.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0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2"/>
          <w:szCs w:val="12"/>
          <w:color w:val="auto"/>
        </w:rPr>
        <w:t xml:space="preserve">BellRing Brands, Inc. (NYSE: BRBR) is a dynamic and fast-growing consumer brands business with the purpose of Changing Lives with Good Energy. Focused on growing the proactive wellness category, the company’s brands include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the #1 ready-to-drink protein and proactive wellness brand,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the brand behind the #1 hydrolyzed protein powder. A culture-driven, pure-play company, BellRing Brands believes nutrition is at the core of a healthy world and produces products with best-in-class nutritional profiles and exceptional flavors. Its products are distributed in over 90 countries across club, mass, food, eCommerce, specialty, drug and convenience. To learn more visit www.bellring.com.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(415) 814-9388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20"/>
          </w:cols>
          <w:pgMar w:left="300" w:top="642" w:right="37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CONDENSED 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140" w:type="dxa"/>
            <w:vAlign w:val="bottom"/>
            <w:tcBorders>
              <w:bottom w:val="single" w:sz="8" w:color="auto"/>
            </w:tcBorders>
          </w:tcPr>
          <w:p>
            <w:pPr>
              <w:spacing w:after="0"/>
              <w:rPr>
                <w:sz w:val="12"/>
                <w:szCs w:val="12"/>
                <w:color w:val="auto"/>
              </w:rPr>
            </w:pPr>
          </w:p>
        </w:tc>
      </w:tr>
      <w:tr>
        <w:trPr>
          <w:trHeight w:val="134"/>
        </w:trPr>
        <w:tc>
          <w:tcPr>
            <w:tcW w:w="71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114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537.3</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532.9</w:t>
            </w:r>
          </w:p>
        </w:tc>
      </w:tr>
      <w:tr>
        <w:trPr>
          <w:trHeight w:val="153"/>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1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376.5</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333.3</w:t>
            </w:r>
          </w:p>
        </w:tc>
      </w:tr>
      <w:tr>
        <w:trPr>
          <w:trHeight w:val="14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1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160.8</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w:t>
            </w: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80.1</w:t>
            </w: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2"/>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1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115.3</w:t>
            </w: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r>
      <w:tr>
        <w:trPr>
          <w:trHeight w:val="142"/>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1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100.9</w:t>
            </w: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r>
      <w:tr>
        <w:trPr>
          <w:trHeight w:val="158"/>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1140" w:type="dxa"/>
            <w:vAlign w:val="bottom"/>
            <w:tcBorders>
              <w:bottom w:val="single" w:sz="8" w:color="auto"/>
            </w:tcBorders>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76.9</w:t>
            </w:r>
          </w:p>
        </w:tc>
      </w:tr>
      <w:tr>
        <w:trPr>
          <w:trHeight w:val="153"/>
        </w:trPr>
        <w:tc>
          <w:tcPr>
            <w:tcW w:w="7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114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0.37</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0.60</w:t>
            </w: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1140" w:type="dxa"/>
            <w:vAlign w:val="bottom"/>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0.36</w:t>
            </w:r>
          </w:p>
        </w:tc>
        <w:tc>
          <w:tcPr>
            <w:tcW w:w="340" w:type="dxa"/>
            <w:vAlign w:val="bottom"/>
          </w:tcPr>
          <w:p>
            <w:pPr>
              <w:spacing w:after="0"/>
              <w:rPr>
                <w:sz w:val="13"/>
                <w:szCs w:val="13"/>
                <w:color w:val="auto"/>
              </w:rPr>
            </w:pPr>
          </w:p>
        </w:tc>
        <w:tc>
          <w:tcPr>
            <w:tcW w:w="74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0.59</w:t>
            </w:r>
          </w:p>
        </w:tc>
      </w:tr>
      <w:tr>
        <w:trPr>
          <w:trHeight w:val="171"/>
        </w:trPr>
        <w:tc>
          <w:tcPr>
            <w:tcW w:w="7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119.3</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128.9</w:t>
            </w:r>
          </w:p>
        </w:tc>
      </w:tr>
      <w:tr>
        <w:trPr>
          <w:trHeight w:val="155"/>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20"/>
          </w:cols>
          <w:pgMar w:left="340" w:top="638"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8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460" w:type="dxa"/>
            <w:vAlign w:val="bottom"/>
            <w:tcBorders>
              <w:bottom w:val="single" w:sz="8" w:color="auto"/>
            </w:tcBorders>
          </w:tcPr>
          <w:p>
            <w:pPr>
              <w:spacing w:after="0"/>
              <w:rPr>
                <w:sz w:val="12"/>
                <w:szCs w:val="12"/>
                <w:color w:val="auto"/>
              </w:rPr>
            </w:pPr>
          </w:p>
        </w:tc>
      </w:tr>
      <w:tr>
        <w:trPr>
          <w:trHeight w:val="162"/>
        </w:trPr>
        <w:tc>
          <w:tcPr>
            <w:tcW w:w="3180" w:type="dxa"/>
            <w:vAlign w:val="bottom"/>
            <w:shd w:val="clear" w:color="auto" w:fill="CCEEFF"/>
          </w:tcPr>
          <w:p>
            <w:pPr>
              <w:spacing w:after="0"/>
              <w:rPr>
                <w:sz w:val="14"/>
                <w:szCs w:val="14"/>
                <w:color w:val="auto"/>
              </w:rPr>
            </w:pPr>
          </w:p>
        </w:tc>
        <w:tc>
          <w:tcPr>
            <w:tcW w:w="5380" w:type="dxa"/>
            <w:vAlign w:val="bottom"/>
            <w:gridSpan w:val="2"/>
            <w:shd w:val="clear" w:color="auto" w:fill="CCEEFF"/>
          </w:tcPr>
          <w:p>
            <w:pPr>
              <w:jc w:val="center"/>
              <w:ind w:right="483"/>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3"/>
        </w:trPr>
        <w:tc>
          <w:tcPr>
            <w:tcW w:w="3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380" w:type="dxa"/>
            <w:vAlign w:val="bottom"/>
            <w:gridSpan w:val="2"/>
            <w:shd w:val="clear" w:color="auto" w:fill="CCEEFF"/>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71.8</w:t>
            </w: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Restricted cash</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Receivables, net</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246.0</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223.4</w:t>
            </w: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435.2</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6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w:t>
            </w:r>
          </w:p>
        </w:tc>
      </w:tr>
      <w:tr>
        <w:trPr>
          <w:trHeight w:val="142"/>
        </w:trPr>
        <w:tc>
          <w:tcPr>
            <w:tcW w:w="318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786.3</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665.5</w:t>
            </w:r>
          </w:p>
        </w:tc>
      </w:tr>
      <w:tr>
        <w:trPr>
          <w:trHeight w:val="144"/>
        </w:trPr>
        <w:tc>
          <w:tcPr>
            <w:tcW w:w="318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r>
      <w:tr>
        <w:trPr>
          <w:trHeight w:val="15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r>
      <w:tr>
        <w:trPr>
          <w:trHeight w:val="153"/>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120.7</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w:t>
            </w:r>
          </w:p>
        </w:tc>
      </w:tr>
      <w:tr>
        <w:trPr>
          <w:trHeight w:val="15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r>
      <w:tr>
        <w:trPr>
          <w:trHeight w:val="153"/>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96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w:t>
            </w:r>
          </w:p>
        </w:tc>
      </w:tr>
      <w:tr>
        <w:trPr>
          <w:trHeight w:val="169"/>
        </w:trPr>
        <w:tc>
          <w:tcPr>
            <w:tcW w:w="3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96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1,060.3</w:t>
            </w:r>
          </w:p>
        </w:tc>
        <w:tc>
          <w:tcPr>
            <w:tcW w:w="3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941.0</w:t>
            </w:r>
          </w:p>
        </w:tc>
      </w:tr>
      <w:tr>
        <w:trPr>
          <w:trHeight w:val="320"/>
        </w:trPr>
        <w:tc>
          <w:tcPr>
            <w:tcW w:w="3180" w:type="dxa"/>
            <w:vAlign w:val="bottom"/>
          </w:tcPr>
          <w:p>
            <w:pPr>
              <w:spacing w:after="0"/>
              <w:rPr>
                <w:sz w:val="24"/>
                <w:szCs w:val="24"/>
                <w:color w:val="auto"/>
              </w:rPr>
            </w:pPr>
          </w:p>
        </w:tc>
        <w:tc>
          <w:tcPr>
            <w:tcW w:w="3960" w:type="dxa"/>
            <w:vAlign w:val="bottom"/>
          </w:tcPr>
          <w:p>
            <w:pPr>
              <w:jc w:val="center"/>
              <w:ind w:left="823"/>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DEFICIT</w:t>
            </w:r>
          </w:p>
        </w:tc>
        <w:tc>
          <w:tcPr>
            <w:tcW w:w="14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r>
      <w:tr>
        <w:trPr>
          <w:trHeight w:val="15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5380" w:type="dxa"/>
            <w:vAlign w:val="bottom"/>
            <w:gridSpan w:val="2"/>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178.6</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119.5</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96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173.4</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163.3</w:t>
            </w:r>
          </w:p>
        </w:tc>
      </w:tr>
      <w:tr>
        <w:trPr>
          <w:trHeight w:val="142"/>
        </w:trPr>
        <w:tc>
          <w:tcPr>
            <w:tcW w:w="318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352.0</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282.8</w:t>
            </w:r>
          </w:p>
        </w:tc>
      </w:tr>
      <w:tr>
        <w:trPr>
          <w:trHeight w:val="144"/>
        </w:trPr>
        <w:tc>
          <w:tcPr>
            <w:tcW w:w="318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1,184.6</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1,084.3</w:t>
            </w:r>
          </w:p>
        </w:tc>
      </w:tr>
      <w:tr>
        <w:trPr>
          <w:trHeight w:val="15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96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27.4</w:t>
            </w:r>
          </w:p>
        </w:tc>
      </w:tr>
      <w:tr>
        <w:trPr>
          <w:trHeight w:val="142"/>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9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1,571.0</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1,394.9</w:t>
            </w:r>
          </w:p>
        </w:tc>
      </w:tr>
      <w:tr>
        <w:trPr>
          <w:trHeight w:val="144"/>
        </w:trPr>
        <w:tc>
          <w:tcPr>
            <w:tcW w:w="31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w:t>
            </w: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Retained earnings</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316.3</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272.6</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53"/>
        </w:trPr>
        <w:tc>
          <w:tcPr>
            <w:tcW w:w="3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Treasury stock, at cost</w:t>
            </w:r>
          </w:p>
        </w:tc>
        <w:tc>
          <w:tcPr>
            <w:tcW w:w="396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(873.4)</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(775.6)</w:t>
            </w:r>
          </w:p>
        </w:tc>
      </w:tr>
      <w:tr>
        <w:trPr>
          <w:trHeight w:val="142"/>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96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(510.7)</w:t>
            </w:r>
          </w:p>
        </w:tc>
        <w:tc>
          <w:tcPr>
            <w:tcW w:w="3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(453.9)</w:t>
            </w:r>
          </w:p>
        </w:tc>
      </w:tr>
      <w:tr>
        <w:trPr>
          <w:trHeight w:val="142"/>
        </w:trPr>
        <w:tc>
          <w:tcPr>
            <w:tcW w:w="318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3960" w:type="dxa"/>
            <w:vAlign w:val="bottom"/>
          </w:tcPr>
          <w:p>
            <w:pPr>
              <w:spacing w:after="0"/>
              <w:rPr>
                <w:sz w:val="12"/>
                <w:szCs w:val="12"/>
                <w:color w:val="auto"/>
              </w:rPr>
            </w:pPr>
          </w:p>
        </w:tc>
        <w:tc>
          <w:tcPr>
            <w:tcW w:w="1420" w:type="dxa"/>
            <w:vAlign w:val="bottom"/>
            <w:tcBorders>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1,060.3</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941.0</w:t>
            </w:r>
          </w:p>
        </w:tc>
      </w:tr>
      <w:tr>
        <w:trPr>
          <w:trHeight w:val="20"/>
        </w:trPr>
        <w:tc>
          <w:tcPr>
            <w:tcW w:w="31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478"/>
        </w:trPr>
        <w:tc>
          <w:tcPr>
            <w:tcW w:w="3180" w:type="dxa"/>
            <w:vAlign w:val="bottom"/>
          </w:tcPr>
          <w:p>
            <w:pPr>
              <w:spacing w:after="0"/>
              <w:rPr>
                <w:sz w:val="24"/>
                <w:szCs w:val="24"/>
                <w:color w:val="auto"/>
              </w:rPr>
            </w:pPr>
          </w:p>
        </w:tc>
        <w:tc>
          <w:tcPr>
            <w:tcW w:w="5380" w:type="dxa"/>
            <w:vAlign w:val="bottom"/>
            <w:gridSpan w:val="2"/>
          </w:tcPr>
          <w:p>
            <w:pPr>
              <w:jc w:val="center"/>
              <w:ind w:right="483"/>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2"/>
        </w:trPr>
        <w:tc>
          <w:tcPr>
            <w:tcW w:w="3180" w:type="dxa"/>
            <w:vAlign w:val="bottom"/>
          </w:tcPr>
          <w:p>
            <w:pPr>
              <w:spacing w:after="0"/>
              <w:rPr>
                <w:sz w:val="12"/>
                <w:szCs w:val="12"/>
                <w:color w:val="auto"/>
              </w:rPr>
            </w:pPr>
          </w:p>
        </w:tc>
        <w:tc>
          <w:tcPr>
            <w:tcW w:w="5380" w:type="dxa"/>
            <w:vAlign w:val="bottom"/>
            <w:gridSpan w:val="2"/>
          </w:tcPr>
          <w:p>
            <w:pPr>
              <w:jc w:val="center"/>
              <w:ind w:right="483"/>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5"/>
        </w:trPr>
        <w:tc>
          <w:tcPr>
            <w:tcW w:w="31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62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460" w:type="dxa"/>
            <w:vAlign w:val="bottom"/>
            <w:tcBorders>
              <w:bottom w:val="single" w:sz="8" w:color="auto"/>
            </w:tcBorders>
          </w:tcPr>
          <w:p>
            <w:pPr>
              <w:spacing w:after="0"/>
              <w:rPr>
                <w:sz w:val="13"/>
                <w:szCs w:val="13"/>
                <w:color w:val="auto"/>
              </w:rPr>
            </w:pPr>
          </w:p>
        </w:tc>
      </w:tr>
      <w:tr>
        <w:trPr>
          <w:trHeight w:val="134"/>
        </w:trPr>
        <w:tc>
          <w:tcPr>
            <w:tcW w:w="3180" w:type="dxa"/>
            <w:vAlign w:val="bottom"/>
            <w:tcBorders>
              <w:bottom w:val="single" w:sz="8" w:color="CCEEFF"/>
            </w:tcBorders>
          </w:tcPr>
          <w:p>
            <w:pPr>
              <w:spacing w:after="0"/>
              <w:rPr>
                <w:sz w:val="11"/>
                <w:szCs w:val="11"/>
                <w:color w:val="auto"/>
              </w:rPr>
            </w:pPr>
          </w:p>
        </w:tc>
        <w:tc>
          <w:tcPr>
            <w:tcW w:w="396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1"/>
                <w:szCs w:val="11"/>
                <w:color w:val="auto"/>
              </w:rPr>
            </w:pPr>
          </w:p>
        </w:tc>
      </w:tr>
      <w:tr>
        <w:trPr>
          <w:trHeight w:val="134"/>
        </w:trPr>
        <w:tc>
          <w:tcPr>
            <w:tcW w:w="31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(used in) provided by:</w:t>
            </w:r>
          </w:p>
        </w:tc>
        <w:tc>
          <w:tcPr>
            <w:tcW w:w="39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53"/>
        </w:trPr>
        <w:tc>
          <w:tcPr>
            <w:tcW w:w="31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5380" w:type="dxa"/>
            <w:vAlign w:val="bottom"/>
            <w:gridSpan w:val="2"/>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53"/>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53"/>
        </w:trPr>
        <w:tc>
          <w:tcPr>
            <w:tcW w:w="31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r>
      <w:tr>
        <w:trPr>
          <w:trHeight w:val="153"/>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3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decrease in cash, cash equivalents and restricted cash</w:t>
            </w:r>
          </w:p>
        </w:tc>
        <w:tc>
          <w:tcPr>
            <w:tcW w:w="396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34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w:t>
            </w:r>
          </w:p>
        </w:tc>
      </w:tr>
      <w:tr>
        <w:trPr>
          <w:trHeight w:val="20"/>
        </w:trPr>
        <w:tc>
          <w:tcPr>
            <w:tcW w:w="31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20"/>
          </w:cols>
          <w:pgMar w:left="340" w:top="638"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gross profit, Adjusted gross profit margin, Adjusted net earnings, Adjusted diluted earnings per common share, Adjusted EBITDA and Adjusted EBITDA as a percentage of net sales.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gross profit and Adjusted gross profit margin</w:t>
      </w:r>
    </w:p>
    <w:p>
      <w:pPr>
        <w:spacing w:after="0" w:line="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2"/>
          <w:szCs w:val="12"/>
          <w:color w:val="auto"/>
        </w:rPr>
        <w:t>BellRing believes Adjusted gross profit is useful to investors in evaluating BellRing’s underlying profitability of its revenue-generating activities as it excludes mark-to-market adjustments on commodity hedges (which are primarily non-cash and not consistent across periods; see the explanation below for more information). BellRing believes Adjusted gross profit margin (Adjusted gross profit as a percentage of net sales) is useful to investors in evaluating BellRing’s operating performance because it allows for more meaningful comparison of operating performance across periods.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and Adjusted diluted earnings per common share</w:t>
      </w:r>
    </w:p>
    <w:p>
      <w:pPr>
        <w:spacing w:after="0" w:line="1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and Adjusted diluted earnings per common share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and Adjusted diluted earnings per common share are adjusted for the following items:</w:t>
      </w:r>
    </w:p>
    <w:p>
      <w:pPr>
        <w:spacing w:after="0" w:line="17" w:lineRule="exact"/>
        <w:rPr>
          <w:sz w:val="20"/>
          <w:szCs w:val="20"/>
          <w:color w:val="auto"/>
        </w:rPr>
      </w:pPr>
    </w:p>
    <w:p>
      <w:pPr>
        <w:ind w:left="420" w:right="6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Mark-to-market adjustments on commodity hedges</w:t>
      </w:r>
      <w:r>
        <w:rPr>
          <w:rFonts w:ascii="Times New Roman" w:cs="Times New Roman" w:eastAsia="Times New Roman" w:hAnsi="Times New Roman"/>
          <w:sz w:val="12"/>
          <w:szCs w:val="12"/>
          <w:color w:val="auto"/>
        </w:rPr>
        <w:t>: BellRing has excluded the impact of mark-to-market adjustments on commodity hedges due to the inherent uncertainty and volatility associated with such amounts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assumptions with respect to fair value estimates. Additionally, these adjustments are primarily non-cash items and the amount and frequency of such adjustments are not consistent.</w:t>
      </w:r>
    </w:p>
    <w:p>
      <w:pPr>
        <w:ind w:left="42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Office relocation costs</w:t>
      </w:r>
      <w:r>
        <w:rPr>
          <w:rFonts w:ascii="Times New Roman" w:cs="Times New Roman" w:eastAsia="Times New Roman" w:hAnsi="Times New Roman"/>
          <w:sz w:val="12"/>
          <w:szCs w:val="12"/>
          <w:color w:val="auto"/>
        </w:rPr>
        <w:t>: BellRing has excluded certain duplicative costs associated with new office moves as the amount and frequency of such expenses are not consistent. Additionally, BellRing believes that these costs do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reflect expected ongoing future operating expenses and do not contribute to a meaningful evaluation of BellRing’s current operating performance or comparisons of BellRing’s operating performance to other periods.</w:t>
      </w:r>
    </w:p>
    <w:p>
      <w:pPr>
        <w:ind w:left="420" w:right="50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14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Separation costs</w:t>
      </w:r>
      <w:r>
        <w:rPr>
          <w:rFonts w:ascii="Times New Roman" w:cs="Times New Roman" w:eastAsia="Times New Roman" w:hAnsi="Times New Roman"/>
          <w:sz w:val="12"/>
          <w:szCs w:val="12"/>
          <w:color w:val="auto"/>
        </w:rPr>
        <w:t>: BellRing has excluded certain expenses incurred to transition services to BellRing from Post ahead of the anticipated termination of the master services agreement with Post, as the amount and frequency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200" w:hanging="212"/>
        <w:spacing w:after="0" w:line="26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 effect on adjustments</w:t>
      </w:r>
      <w:r>
        <w:rPr>
          <w:rFonts w:ascii="Times New Roman" w:cs="Times New Roman" w:eastAsia="Times New Roman" w:hAnsi="Times New Roman"/>
          <w:sz w:val="12"/>
          <w:szCs w:val="12"/>
          <w:color w:val="auto"/>
        </w:rPr>
        <w:t>: BellRing has included the income tax impact of the non-GAAP adjustments using a rate described in the applicable footnote of the reconciliation tables, as BellRing believes that its GAAP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 income tax rate as reported is not representative of the income tax expense impact of the adjustments.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 and Adjusted EBITDA as a percentage of net sales</w:t>
      </w:r>
    </w:p>
    <w:p>
      <w:pPr>
        <w:spacing w:after="0" w:line="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 BellRing believes that Adjusted EBITDA as a percentage of net sales is useful to investors in evaluating BellRing’s operating performance because it allows for more meaningful comparison of operating performance across periods.</w:t>
      </w:r>
    </w:p>
    <w:p>
      <w:pPr>
        <w:spacing w:after="0" w:line="90"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Adjusted EBITDA reflects adjustments for income tax expense, interest expense, net and depreciation and amortization, and the following adjustments discussed above: mark-to-market adjustments on commodity hedges, office relocation costs, foreign currency gain/loss on intercompany loans and separation costs. Additionally, Adjusted EBITDA reflects an adjustment for the following item:</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80"/>
          </w:cols>
          <w:pgMar w:left="300" w:top="641" w:right="319" w:bottom="1440" w:gutter="0" w:footer="0" w:header="0"/>
        </w:sectPr>
      </w:pPr>
    </w:p>
    <w:bookmarkStart w:id="10" w:name="page11"/>
    <w:bookmarkEnd w:id="10"/>
    <w:p>
      <w:pPr>
        <w:ind w:left="420" w:hanging="212"/>
        <w:spacing w:after="0" w:line="258" w:lineRule="auto"/>
        <w:tabs>
          <w:tab w:leader="none" w:pos="41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includes the use of BellRing stock-based compensation to attract and retain executives and employees by aligning their long-term compensation interests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RECONCILIATION OF GROSS PROFIT TO ADJUSTED GROSS PROFIT (Unaudited)</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1140" w:type="dxa"/>
            <w:vAlign w:val="bottom"/>
            <w:tcBorders>
              <w:bottom w:val="single" w:sz="8" w:color="auto"/>
            </w:tcBorders>
          </w:tcPr>
          <w:p>
            <w:pPr>
              <w:spacing w:after="0"/>
              <w:rPr>
                <w:sz w:val="13"/>
                <w:szCs w:val="13"/>
                <w:color w:val="auto"/>
              </w:rPr>
            </w:pPr>
          </w:p>
        </w:tc>
      </w:tr>
      <w:tr>
        <w:trPr>
          <w:trHeight w:val="142"/>
        </w:trPr>
        <w:tc>
          <w:tcPr>
            <w:tcW w:w="70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2025</w:t>
            </w:r>
          </w:p>
        </w:tc>
        <w:tc>
          <w:tcPr>
            <w:tcW w:w="78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1140" w:type="dxa"/>
            <w:vAlign w:val="bottom"/>
            <w:shd w:val="clear" w:color="auto" w:fill="CCEEFF"/>
          </w:tcPr>
          <w:p>
            <w:pPr>
              <w:jc w:val="right"/>
              <w:ind w:right="10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160.8</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199.6</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140" w:type="dxa"/>
            <w:vAlign w:val="bottom"/>
          </w:tcPr>
          <w:p>
            <w:pPr>
              <w:spacing w:after="0"/>
              <w:rPr>
                <w:sz w:val="13"/>
                <w:szCs w:val="13"/>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(1.5)</w:t>
            </w:r>
          </w:p>
        </w:tc>
      </w:tr>
      <w:tr>
        <w:trPr>
          <w:trHeight w:val="162"/>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Profit</w:t>
            </w:r>
          </w:p>
        </w:tc>
        <w:tc>
          <w:tcPr>
            <w:tcW w:w="1140" w:type="dxa"/>
            <w:vAlign w:val="bottom"/>
            <w:tcBorders>
              <w:top w:val="single" w:sz="8" w:color="auto"/>
              <w:bottom w:val="single" w:sz="8" w:color="auto"/>
            </w:tcBorders>
            <w:shd w:val="clear" w:color="auto" w:fill="CCEEFF"/>
          </w:tcPr>
          <w:p>
            <w:pPr>
              <w:jc w:val="right"/>
              <w:ind w:right="10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160.8</w:t>
            </w: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198.1</w:t>
            </w:r>
          </w:p>
        </w:tc>
      </w:tr>
      <w:tr>
        <w:trPr>
          <w:trHeight w:val="149"/>
        </w:trPr>
        <w:tc>
          <w:tcPr>
            <w:tcW w:w="7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Gross Profit as a percentage of Net Sales</w:t>
            </w:r>
          </w:p>
        </w:tc>
        <w:tc>
          <w:tcPr>
            <w:tcW w:w="1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29.9 %</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37.5 %</w:t>
            </w:r>
          </w:p>
        </w:tc>
      </w:tr>
      <w:tr>
        <w:trPr>
          <w:trHeight w:val="15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Profit as a percentage of Net Sales</w:t>
            </w:r>
          </w:p>
        </w:tc>
        <w:tc>
          <w:tcPr>
            <w:tcW w:w="1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29.9 %</w:t>
            </w: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20"/>
          </w:cols>
          <w:pgMar w:left="300" w:top="640" w:right="37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NET EARNINGS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140" w:type="dxa"/>
            <w:vAlign w:val="bottom"/>
            <w:tcBorders>
              <w:bottom w:val="single" w:sz="8" w:color="auto"/>
            </w:tcBorders>
          </w:tcPr>
          <w:p>
            <w:pPr>
              <w:spacing w:after="0"/>
              <w:rPr>
                <w:sz w:val="12"/>
                <w:szCs w:val="12"/>
                <w:color w:val="auto"/>
              </w:rPr>
            </w:pPr>
          </w:p>
        </w:tc>
      </w:tr>
      <w:tr>
        <w:trPr>
          <w:trHeight w:val="134"/>
        </w:trPr>
        <w:tc>
          <w:tcPr>
            <w:tcW w:w="71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114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76.9</w:t>
            </w:r>
          </w:p>
        </w:tc>
      </w:tr>
      <w:tr>
        <w:trPr>
          <w:trHeight w:val="180"/>
        </w:trPr>
        <w:tc>
          <w:tcPr>
            <w:tcW w:w="7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1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53"/>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Office relocation costs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1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loss on intercompany loans</w:t>
            </w:r>
          </w:p>
        </w:tc>
        <w:tc>
          <w:tcPr>
            <w:tcW w:w="1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0.6</w:t>
            </w:r>
          </w:p>
        </w:tc>
      </w:tr>
      <w:tr>
        <w:trPr>
          <w:trHeight w:val="153"/>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71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1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r>
      <w:tr>
        <w:trPr>
          <w:trHeight w:val="153"/>
        </w:trPr>
        <w:tc>
          <w:tcPr>
            <w:tcW w:w="71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0.2</w:t>
            </w:r>
          </w:p>
        </w:tc>
      </w:tr>
      <w:tr>
        <w:trPr>
          <w:trHeight w:val="142"/>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Net Earnings</w:t>
            </w:r>
          </w:p>
        </w:tc>
        <w:tc>
          <w:tcPr>
            <w:tcW w:w="1140" w:type="dxa"/>
            <w:vAlign w:val="bottom"/>
            <w:tcBorders>
              <w:bottom w:val="single" w:sz="8" w:color="auto"/>
            </w:tcBorders>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340" w:type="dxa"/>
            <w:vAlign w:val="bottom"/>
          </w:tcPr>
          <w:p>
            <w:pPr>
              <w:spacing w:after="0"/>
              <w:rPr>
                <w:sz w:val="12"/>
                <w:szCs w:val="12"/>
                <w:color w:val="auto"/>
              </w:rPr>
            </w:pPr>
          </w:p>
        </w:tc>
        <w:tc>
          <w:tcPr>
            <w:tcW w:w="7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76.2</w:t>
            </w:r>
          </w:p>
        </w:tc>
      </w:tr>
      <w:tr>
        <w:trPr>
          <w:trHeight w:val="20"/>
        </w:trPr>
        <w:tc>
          <w:tcPr>
            <w:tcW w:w="7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120" w:hanging="111"/>
        <w:spacing w:after="0"/>
        <w:tabs>
          <w:tab w:leader="none" w:pos="12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Income tax effect on adjustments was calculated on all items using a rate of 24.0%.</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200" w:type="dxa"/>
            <w:vAlign w:val="bottom"/>
          </w:tcPr>
          <w:p>
            <w:pPr>
              <w:spacing w:after="0"/>
              <w:rPr>
                <w:sz w:val="11"/>
                <w:szCs w:val="11"/>
                <w:color w:val="auto"/>
              </w:rPr>
            </w:pPr>
          </w:p>
        </w:tc>
        <w:tc>
          <w:tcPr>
            <w:tcW w:w="5080" w:type="dxa"/>
            <w:vAlign w:val="bottom"/>
            <w:gridSpan w:val="2"/>
          </w:tcPr>
          <w:p>
            <w:pPr>
              <w:jc w:val="right"/>
              <w:ind w:right="882"/>
              <w:spacing w:after="0"/>
              <w:rPr>
                <w:sz w:val="20"/>
                <w:szCs w:val="20"/>
                <w:color w:val="auto"/>
              </w:rPr>
            </w:pPr>
            <w:r>
              <w:rPr>
                <w:rFonts w:ascii="Times New Roman" w:cs="Times New Roman" w:eastAsia="Times New Roman" w:hAnsi="Times New Roman"/>
                <w:sz w:val="11"/>
                <w:szCs w:val="11"/>
                <w:b w:val="1"/>
                <w:bCs w:val="1"/>
                <w:color w:val="auto"/>
              </w:rPr>
              <w:t>RECONCILIATION OF DILUTED EARNINGS PER COMMON SHARE</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2"/>
        </w:trPr>
        <w:tc>
          <w:tcPr>
            <w:tcW w:w="3200" w:type="dxa"/>
            <w:vAlign w:val="bottom"/>
          </w:tcPr>
          <w:p>
            <w:pPr>
              <w:spacing w:after="0"/>
              <w:rPr>
                <w:sz w:val="12"/>
                <w:szCs w:val="12"/>
                <w:color w:val="auto"/>
              </w:rPr>
            </w:pPr>
          </w:p>
        </w:tc>
        <w:tc>
          <w:tcPr>
            <w:tcW w:w="5080" w:type="dxa"/>
            <w:vAlign w:val="bottom"/>
            <w:gridSpan w:val="2"/>
          </w:tcPr>
          <w:p>
            <w:pPr>
              <w:jc w:val="right"/>
              <w:ind w:right="802"/>
              <w:spacing w:after="0"/>
              <w:rPr>
                <w:sz w:val="20"/>
                <w:szCs w:val="20"/>
                <w:color w:val="auto"/>
              </w:rPr>
            </w:pPr>
            <w:r>
              <w:rPr>
                <w:rFonts w:ascii="Times New Roman" w:cs="Times New Roman" w:eastAsia="Times New Roman" w:hAnsi="Times New Roman"/>
                <w:sz w:val="11"/>
                <w:szCs w:val="11"/>
                <w:b w:val="1"/>
                <w:bCs w:val="1"/>
                <w:color w:val="auto"/>
              </w:rPr>
              <w:t>TO ADJUSTED DILUTED EARNINGS PER COMMON SHARE (Unaudited)</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5"/>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140" w:type="dxa"/>
            <w:vAlign w:val="bottom"/>
            <w:tcBorders>
              <w:bottom w:val="single" w:sz="8" w:color="auto"/>
            </w:tcBorders>
          </w:tcPr>
          <w:p>
            <w:pPr>
              <w:spacing w:after="0"/>
              <w:rPr>
                <w:sz w:val="13"/>
                <w:szCs w:val="13"/>
                <w:color w:val="auto"/>
              </w:rPr>
            </w:pPr>
          </w:p>
        </w:tc>
      </w:tr>
      <w:tr>
        <w:trPr>
          <w:trHeight w:val="134"/>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Diluted Earnings per Common Share</w:t>
            </w:r>
          </w:p>
        </w:tc>
        <w:tc>
          <w:tcPr>
            <w:tcW w:w="39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0.36</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0.59</w:t>
            </w:r>
          </w:p>
        </w:tc>
      </w:tr>
      <w:tr>
        <w:trPr>
          <w:trHeight w:val="180"/>
        </w:trPr>
        <w:tc>
          <w:tcPr>
            <w:tcW w:w="32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3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3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3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Office relocation costs</w:t>
            </w:r>
          </w:p>
        </w:tc>
        <w:tc>
          <w:tcPr>
            <w:tcW w:w="394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320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3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32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Income tax effect on adjustments</w:t>
            </w:r>
            <w:r>
              <w:rPr>
                <w:rFonts w:ascii="Times New Roman" w:cs="Times New Roman" w:eastAsia="Times New Roman" w:hAnsi="Times New Roman"/>
                <w:sz w:val="15"/>
                <w:szCs w:val="15"/>
                <w:color w:val="auto"/>
                <w:vertAlign w:val="superscript"/>
              </w:rPr>
              <w:t>(1)</w:t>
            </w:r>
          </w:p>
        </w:tc>
        <w:tc>
          <w:tcPr>
            <w:tcW w:w="3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Diluted Earnings per Common Share</w:t>
            </w:r>
          </w:p>
        </w:tc>
        <w:tc>
          <w:tcPr>
            <w:tcW w:w="39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0.37</w:t>
            </w:r>
          </w:p>
        </w:tc>
        <w:tc>
          <w:tcPr>
            <w:tcW w:w="3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0.58</w:t>
            </w:r>
          </w:p>
        </w:tc>
      </w:tr>
      <w:tr>
        <w:trPr>
          <w:trHeight w:val="20"/>
        </w:trPr>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120" w:hanging="111"/>
        <w:spacing w:after="0"/>
        <w:tabs>
          <w:tab w:leader="none" w:pos="1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Income tax effect on adjustments was calculated on all items using a rate of 24.0%.</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20"/>
          </w:cols>
          <w:pgMar w:left="340" w:top="641"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EBITDA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00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200" w:type="dxa"/>
            <w:vAlign w:val="bottom"/>
            <w:tcBorders>
              <w:bottom w:val="single" w:sz="8" w:color="auto"/>
            </w:tcBorders>
          </w:tcPr>
          <w:p>
            <w:pPr>
              <w:spacing w:after="0"/>
              <w:rPr>
                <w:sz w:val="12"/>
                <w:szCs w:val="12"/>
                <w:color w:val="auto"/>
              </w:rPr>
            </w:pPr>
          </w:p>
        </w:tc>
      </w:tr>
      <w:tr>
        <w:trPr>
          <w:trHeight w:val="134"/>
        </w:trPr>
        <w:tc>
          <w:tcPr>
            <w:tcW w:w="70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2025</w:t>
            </w:r>
          </w:p>
        </w:tc>
        <w:tc>
          <w:tcPr>
            <w:tcW w:w="76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118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43.7</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76.9</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14.8</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24.0</w:t>
            </w:r>
          </w:p>
        </w:tc>
      </w:tr>
      <w:tr>
        <w:trPr>
          <w:trHeight w:val="15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20.0</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14.4</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4.9</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4.6</w:t>
            </w:r>
          </w:p>
        </w:tc>
      </w:tr>
      <w:tr>
        <w:trPr>
          <w:trHeight w:val="15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6.3</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180" w:type="dxa"/>
            <w:vAlign w:val="bottom"/>
          </w:tcPr>
          <w:p>
            <w:pPr>
              <w:spacing w:after="0"/>
              <w:rPr>
                <w:sz w:val="13"/>
                <w:szCs w:val="13"/>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(1.5)</w:t>
            </w:r>
          </w:p>
        </w:tc>
      </w:tr>
      <w:tr>
        <w:trPr>
          <w:trHeight w:val="15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 relocation costs</w:t>
            </w: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0.9</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loss on intercompany loans</w:t>
            </w:r>
          </w:p>
        </w:tc>
        <w:tc>
          <w:tcPr>
            <w:tcW w:w="1180" w:type="dxa"/>
            <w:vAlign w:val="bottom"/>
          </w:tcPr>
          <w:p>
            <w:pPr>
              <w:spacing w:after="0"/>
              <w:rPr>
                <w:sz w:val="13"/>
                <w:szCs w:val="13"/>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0.6</w:t>
            </w:r>
          </w:p>
        </w:tc>
      </w:tr>
      <w:tr>
        <w:trPr>
          <w:trHeight w:val="15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Separation costs</w:t>
            </w:r>
          </w:p>
        </w:tc>
        <w:tc>
          <w:tcPr>
            <w:tcW w:w="1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180" w:type="dxa"/>
            <w:vAlign w:val="bottom"/>
            <w:tcBorders>
              <w:bottom w:val="single" w:sz="8" w:color="auto"/>
            </w:tcBorders>
          </w:tcPr>
          <w:p>
            <w:pPr>
              <w:jc w:val="right"/>
              <w:ind w:right="1042"/>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90.3</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125.3</w:t>
            </w:r>
          </w:p>
        </w:tc>
      </w:tr>
      <w:tr>
        <w:trPr>
          <w:trHeight w:val="169"/>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as a percentage of Net Sales</w:t>
            </w:r>
          </w:p>
        </w:tc>
        <w:tc>
          <w:tcPr>
            <w:tcW w:w="1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8.1 %</w:t>
            </w:r>
          </w:p>
        </w:tc>
        <w:tc>
          <w:tcPr>
            <w:tcW w:w="3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14.4 %</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 as a percentage of Net Sales</w:t>
            </w:r>
          </w:p>
        </w:tc>
        <w:tc>
          <w:tcPr>
            <w:tcW w:w="1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16.8 %</w:t>
            </w:r>
          </w:p>
        </w:tc>
        <w:tc>
          <w:tcPr>
            <w:tcW w:w="3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23.5 %</w:t>
            </w:r>
          </w:p>
        </w:tc>
      </w:tr>
      <w:tr>
        <w:trPr>
          <w:trHeight w:val="20"/>
        </w:trPr>
        <w:tc>
          <w:tcPr>
            <w:tcW w:w="7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20"/>
          </w:cols>
          <w:pgMar w:left="340" w:top="749" w:right="339" w:bottom="1440"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994410" cy="4743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441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Announces Leadership Transition Plan</w:t>
      </w:r>
    </w:p>
    <w:p>
      <w:pPr>
        <w:spacing w:after="0" w:line="159" w:lineRule="exact"/>
        <w:rPr>
          <w:sz w:val="20"/>
          <w:szCs w:val="20"/>
          <w:color w:val="auto"/>
        </w:rPr>
      </w:pPr>
    </w:p>
    <w:p>
      <w:pPr>
        <w:ind w:right="160"/>
        <w:spacing w:after="0" w:line="333" w:lineRule="auto"/>
        <w:rPr>
          <w:sz w:val="20"/>
          <w:szCs w:val="20"/>
          <w:color w:val="auto"/>
        </w:rPr>
      </w:pPr>
      <w:r>
        <w:rPr>
          <w:rFonts w:ascii="Times New Roman" w:cs="Times New Roman" w:eastAsia="Times New Roman" w:hAnsi="Times New Roman"/>
          <w:sz w:val="12"/>
          <w:szCs w:val="12"/>
          <w:b w:val="1"/>
          <w:bCs w:val="1"/>
          <w:color w:val="auto"/>
        </w:rPr>
        <w:t xml:space="preserve">St. Louis - February 3, 2026 </w:t>
      </w:r>
      <w:r>
        <w:rPr>
          <w:rFonts w:ascii="Times New Roman" w:cs="Times New Roman" w:eastAsia="Times New Roman" w:hAnsi="Times New Roman"/>
          <w:sz w:val="12"/>
          <w:szCs w:val="12"/>
          <w:color w:val="auto"/>
        </w:rPr>
        <w:t>- BellRing Brands, Inc. (NYSE:BRBR) (“BellRing”)(the “Company”) today announced that its President and Chief Executive Officer Darcy Davenport has decided to retire from the Company, effective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upon the earlier of the appointment of a new Chief Executive Officer or September 30, 2026, the end of the Company’s fiscal year.</w:t>
      </w:r>
    </w:p>
    <w:p>
      <w:pPr>
        <w:spacing w:after="0" w:line="98" w:lineRule="exact"/>
        <w:rPr>
          <w:sz w:val="20"/>
          <w:szCs w:val="20"/>
          <w:color w:val="auto"/>
        </w:rPr>
      </w:pPr>
    </w:p>
    <w:p>
      <w:pPr>
        <w:ind w:right="400"/>
        <w:spacing w:after="0" w:line="373" w:lineRule="auto"/>
        <w:rPr>
          <w:sz w:val="20"/>
          <w:szCs w:val="20"/>
          <w:color w:val="auto"/>
        </w:rPr>
      </w:pPr>
      <w:r>
        <w:rPr>
          <w:rFonts w:ascii="Times New Roman" w:cs="Times New Roman" w:eastAsia="Times New Roman" w:hAnsi="Times New Roman"/>
          <w:sz w:val="12"/>
          <w:szCs w:val="12"/>
          <w:color w:val="auto"/>
        </w:rPr>
        <w:t>Ms. Davenport will continue to serve as President and Chief Executive Officer and as a member of the Board until the effective date of the transition, after which she will serve in an advisory role to ensure a smooth transition of leadership responsibilities and provide strategic support. The Board has commenced a comprehensive external search to identify the Company’s next CEO.</w:t>
      </w:r>
    </w:p>
    <w:p>
      <w:pPr>
        <w:spacing w:after="0" w:line="84"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2"/>
          <w:szCs w:val="12"/>
          <w:color w:val="auto"/>
        </w:rPr>
        <w:t>“On behalf of the BellRing Board, I want to thank Darcy for her leadership and incredible contributions to the Company,” said Robert V. Vitale, Chairman of the Board of Directors. “Darcy started with Premier Nutrition as Vice President, Marketing in 2011 and became the leader of Premier Nutrition Company after Post Holdings acquired it in 2014. Managing the integration of Dymatize and PowerBar into Premier Nutrition, she led sales growth from $140 million to over $2.3 billion and helped create a pure-play company focused on proactive wellness. Under Darcy’s leadership, BellRing has built a portfolio of category-leading products, expanded key customer relationships and laid a strong foundation for long-term growth. We appreciate her continued leadership through this transition and look forward to working with her in an advisory capacity to continue to help shape our strategy.”</w:t>
      </w:r>
    </w:p>
    <w:p>
      <w:pPr>
        <w:spacing w:after="0" w:line="117" w:lineRule="exact"/>
        <w:rPr>
          <w:sz w:val="20"/>
          <w:szCs w:val="20"/>
          <w:color w:val="auto"/>
        </w:rPr>
      </w:pPr>
    </w:p>
    <w:p>
      <w:pPr>
        <w:ind w:right="40"/>
        <w:spacing w:after="0" w:line="304" w:lineRule="auto"/>
        <w:rPr>
          <w:sz w:val="20"/>
          <w:szCs w:val="20"/>
          <w:color w:val="auto"/>
        </w:rPr>
      </w:pPr>
      <w:r>
        <w:rPr>
          <w:rFonts w:ascii="Times New Roman" w:cs="Times New Roman" w:eastAsia="Times New Roman" w:hAnsi="Times New Roman"/>
          <w:sz w:val="12"/>
          <w:szCs w:val="12"/>
          <w:color w:val="auto"/>
        </w:rPr>
        <w:t>Ms. Davenport said, “It has been an honor to lead BellRing and work alongside such a talented team. I am proud of what we have accomplished together, the company culture of good energy that we have created and the roadmap we have established for the future. As the Board conducts its search, I remain focused on achieving our fiscal 2026 objectives and continuing to execute on our strategic priorities. The foundation of BellRing is strong, and I look forward to helping the Board and the Company’s new CEO advance toward its next chapter of growth.”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81"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2"/>
          <w:szCs w:val="12"/>
          <w:color w:val="auto"/>
        </w:rPr>
        <w:t>Forward-looking statements, within the meaning of Section 27A of the Securities Act of 1933, as amended, and Section 21E of the Securities Exchange Act of 1934, as amended, are made in this press release.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 are subject to a number of important factors, risks, uncertainties and assumptions that could cause actual results to differ materially from those described in any forward-looking statements. These factors and risks include, but are not limited to, financial, operational and legal risks and uncertainties detailed from time to time in BellRing’s cautionary statements contained in its filings with the Securities and Exchange Commission. These forward-looking statements represent BellRing’s judgment as of the date of this press release. BellRing disclaims, however, any intent or obligation to update these forward-looking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81" w:lineRule="exact"/>
        <w:rPr>
          <w:sz w:val="20"/>
          <w:szCs w:val="20"/>
          <w:color w:val="auto"/>
        </w:rPr>
      </w:pPr>
    </w:p>
    <w:p>
      <w:pPr>
        <w:ind w:right="360"/>
        <w:spacing w:after="0" w:line="311" w:lineRule="auto"/>
        <w:rPr>
          <w:sz w:val="20"/>
          <w:szCs w:val="20"/>
          <w:color w:val="auto"/>
        </w:rPr>
      </w:pPr>
      <w:r>
        <w:rPr>
          <w:rFonts w:ascii="Times New Roman" w:cs="Times New Roman" w:eastAsia="Times New Roman" w:hAnsi="Times New Roman"/>
          <w:sz w:val="12"/>
          <w:szCs w:val="12"/>
          <w:color w:val="auto"/>
        </w:rPr>
        <w:t xml:space="preserve">BellRing Brands, Inc. (NYSE: BRBR) is a dynamic and fast-growing consumer brands business with the purpose of Changing Lives with Good Energy. Focused on growing the proactive wellness category, the company’s brands include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w:t>
      </w:r>
    </w:p>
    <w:p>
      <w:pPr>
        <w:sectPr>
          <w:pgSz w:w="11900" w:h="16838" w:orient="portrait"/>
          <w:cols w:equalWidth="0" w:num="1">
            <w:col w:w="11300"/>
          </w:cols>
          <w:pgMar w:left="300" w:top="642" w:right="299" w:bottom="1440" w:gutter="0" w:footer="0" w:header="0"/>
        </w:sectPr>
      </w:pPr>
    </w:p>
    <w:bookmarkStart w:id="36" w:name="page37"/>
    <w:bookmarkEnd w:id="36"/>
    <w:p>
      <w:pPr>
        <w:spacing w:after="0" w:line="306" w:lineRule="auto"/>
        <w:rPr>
          <w:sz w:val="20"/>
          <w:szCs w:val="20"/>
          <w:color w:val="auto"/>
        </w:rPr>
      </w:pPr>
      <w:r>
        <w:rPr>
          <w:rFonts w:ascii="Times New Roman" w:cs="Times New Roman" w:eastAsia="Times New Roman" w:hAnsi="Times New Roman"/>
          <w:sz w:val="12"/>
          <w:szCs w:val="12"/>
          <w:color w:val="auto"/>
        </w:rPr>
        <w:t xml:space="preserve">the #1 ready-to-drink protein and proactive wellness brand,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the brand behind the #1 hydrolyzed protein powder. A culture-driven, pure-play company, BellRing Brands believes nutrition is at the core of a healthy world and produces products with best-in-class nutritional profiles and exceptional flavors. Its products are distributed in over 90 countries across club, mass, food, eCommerce, specialty, drug and convenience. To learn more visit www.bellring.com.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(415) 814-9388</w:t>
      </w:r>
    </w:p>
    <w:sectPr>
      <w:pgSz w:w="11900" w:h="16838" w:orient="portrait"/>
      <w:cols w:equalWidth="0" w:num="1">
        <w:col w:w="11140"/>
      </w:cols>
      <w:pgMar w:left="300" w:top="6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2026-02-03T06:11:43Z</dcterms:created>
  <dcterms:modified xsi:type="dcterms:W3CDTF">2026-02-03T06:11:43Z</dcterms:modified>
</cp:coreProperties>
</file>