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BELLRING BRANDS,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079823100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079823100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42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580" w:type="dxa"/>
            <w:vAlign w:val="bottom"/>
          </w:tcPr>
          <w:p>
            <w:pPr>
              <w:ind w:left="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420" w:type="dxa"/>
            <w:vAlign w:val="bottom"/>
          </w:tcPr>
          <w:p>
            <w:pPr>
              <w:spacing w:after="0"/>
              <w:rPr>
                <w:sz w:val="4"/>
                <w:szCs w:val="4"/>
                <w:color w:val="auto"/>
              </w:rPr>
            </w:pPr>
          </w:p>
        </w:tc>
        <w:tc>
          <w:tcPr>
            <w:tcW w:w="2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42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580" w:type="dxa"/>
            <w:vAlign w:val="bottom"/>
            <w:vMerge w:val="restart"/>
          </w:tcPr>
          <w:p>
            <w:pPr>
              <w:ind w:left="780"/>
              <w:spacing w:after="0"/>
              <w:rPr>
                <w:sz w:val="20"/>
                <w:szCs w:val="20"/>
                <w:color w:val="auto"/>
              </w:rPr>
            </w:pPr>
            <w:r>
              <w:rPr>
                <w:rFonts w:ascii="Arial" w:cs="Arial" w:eastAsia="Arial" w:hAnsi="Arial"/>
                <w:sz w:val="22"/>
                <w:szCs w:val="22"/>
                <w:color w:val="auto"/>
              </w:rPr>
              <w:t>421,404</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420" w:type="dxa"/>
            <w:vAlign w:val="bottom"/>
            <w:vMerge w:val="continue"/>
          </w:tcPr>
          <w:p>
            <w:pPr>
              <w:spacing w:after="0"/>
              <w:rPr>
                <w:sz w:val="14"/>
                <w:szCs w:val="14"/>
                <w:color w:val="auto"/>
              </w:rPr>
            </w:pPr>
          </w:p>
        </w:tc>
        <w:tc>
          <w:tcPr>
            <w:tcW w:w="2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4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42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580" w:type="dxa"/>
            <w:vAlign w:val="bottom"/>
            <w:vMerge w:val="restart"/>
          </w:tcPr>
          <w:p>
            <w:pPr>
              <w:ind w:left="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420" w:type="dxa"/>
            <w:vAlign w:val="bottom"/>
            <w:vMerge w:val="continue"/>
          </w:tcPr>
          <w:p>
            <w:pPr>
              <w:spacing w:after="0"/>
              <w:rPr>
                <w:sz w:val="12"/>
                <w:szCs w:val="12"/>
                <w:color w:val="auto"/>
              </w:rPr>
            </w:pPr>
          </w:p>
        </w:tc>
        <w:tc>
          <w:tcPr>
            <w:tcW w:w="2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42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580" w:type="dxa"/>
            <w:vAlign w:val="bottom"/>
            <w:vMerge w:val="restart"/>
          </w:tcPr>
          <w:p>
            <w:pPr>
              <w:ind w:left="780"/>
              <w:spacing w:after="0"/>
              <w:rPr>
                <w:sz w:val="20"/>
                <w:szCs w:val="20"/>
                <w:color w:val="auto"/>
              </w:rPr>
            </w:pPr>
            <w:r>
              <w:rPr>
                <w:rFonts w:ascii="Arial" w:cs="Arial" w:eastAsia="Arial" w:hAnsi="Arial"/>
                <w:sz w:val="22"/>
                <w:szCs w:val="22"/>
                <w:color w:val="auto"/>
              </w:rPr>
              <w:t>671,024</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20" w:type="dxa"/>
            <w:vAlign w:val="bottom"/>
            <w:vMerge w:val="continue"/>
          </w:tcPr>
          <w:p>
            <w:pPr>
              <w:spacing w:after="0"/>
              <w:rPr>
                <w:sz w:val="7"/>
                <w:szCs w:val="7"/>
                <w:color w:val="auto"/>
              </w:rPr>
            </w:pP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Arial" w:cs="Arial" w:eastAsia="Arial" w:hAnsi="Arial"/>
                <w:sz w:val="22"/>
                <w:szCs w:val="22"/>
                <w:color w:val="auto"/>
              </w:rPr>
              <w:t>671,024</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94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Arial" w:cs="Arial" w:eastAsia="Arial" w:hAnsi="Arial"/>
                <w:sz w:val="22"/>
                <w:szCs w:val="22"/>
                <w:color w:val="auto"/>
              </w:rPr>
              <w:t>1.72%</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94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420" w:type="dxa"/>
            <w:vAlign w:val="bottom"/>
            <w:tcBorders>
              <w:bottom w:val="single" w:sz="8" w:color="808080"/>
            </w:tcBorders>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079823100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42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580" w:type="dxa"/>
            <w:vAlign w:val="bottom"/>
          </w:tcPr>
          <w:p>
            <w:pPr>
              <w:ind w:left="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420" w:type="dxa"/>
            <w:vAlign w:val="bottom"/>
          </w:tcPr>
          <w:p>
            <w:pPr>
              <w:spacing w:after="0"/>
              <w:rPr>
                <w:sz w:val="4"/>
                <w:szCs w:val="4"/>
                <w:color w:val="auto"/>
              </w:rPr>
            </w:pPr>
          </w:p>
        </w:tc>
        <w:tc>
          <w:tcPr>
            <w:tcW w:w="2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42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580" w:type="dxa"/>
            <w:vAlign w:val="bottom"/>
            <w:vMerge w:val="restart"/>
          </w:tcPr>
          <w:p>
            <w:pPr>
              <w:ind w:left="780"/>
              <w:spacing w:after="0"/>
              <w:rPr>
                <w:sz w:val="20"/>
                <w:szCs w:val="20"/>
                <w:color w:val="auto"/>
              </w:rPr>
            </w:pPr>
            <w:r>
              <w:rPr>
                <w:rFonts w:ascii="Arial" w:cs="Arial" w:eastAsia="Arial" w:hAnsi="Arial"/>
                <w:sz w:val="22"/>
                <w:szCs w:val="22"/>
                <w:color w:val="auto"/>
              </w:rPr>
              <w:t>421,404</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420" w:type="dxa"/>
            <w:vAlign w:val="bottom"/>
            <w:vMerge w:val="continue"/>
          </w:tcPr>
          <w:p>
            <w:pPr>
              <w:spacing w:after="0"/>
              <w:rPr>
                <w:sz w:val="14"/>
                <w:szCs w:val="14"/>
                <w:color w:val="auto"/>
              </w:rPr>
            </w:pPr>
          </w:p>
        </w:tc>
        <w:tc>
          <w:tcPr>
            <w:tcW w:w="2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4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42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580" w:type="dxa"/>
            <w:vAlign w:val="bottom"/>
            <w:vMerge w:val="restart"/>
          </w:tcPr>
          <w:p>
            <w:pPr>
              <w:ind w:left="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420" w:type="dxa"/>
            <w:vAlign w:val="bottom"/>
            <w:vMerge w:val="continue"/>
          </w:tcPr>
          <w:p>
            <w:pPr>
              <w:spacing w:after="0"/>
              <w:rPr>
                <w:sz w:val="12"/>
                <w:szCs w:val="12"/>
                <w:color w:val="auto"/>
              </w:rPr>
            </w:pPr>
          </w:p>
        </w:tc>
        <w:tc>
          <w:tcPr>
            <w:tcW w:w="2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42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580" w:type="dxa"/>
            <w:vAlign w:val="bottom"/>
            <w:vMerge w:val="restart"/>
          </w:tcPr>
          <w:p>
            <w:pPr>
              <w:ind w:left="780"/>
              <w:spacing w:after="0"/>
              <w:rPr>
                <w:sz w:val="20"/>
                <w:szCs w:val="20"/>
                <w:color w:val="auto"/>
              </w:rPr>
            </w:pPr>
            <w:r>
              <w:rPr>
                <w:rFonts w:ascii="Arial" w:cs="Arial" w:eastAsia="Arial" w:hAnsi="Arial"/>
                <w:sz w:val="22"/>
                <w:szCs w:val="22"/>
                <w:color w:val="auto"/>
              </w:rPr>
              <w:t>671,024</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20" w:type="dxa"/>
            <w:vAlign w:val="bottom"/>
            <w:vMerge w:val="continue"/>
          </w:tcPr>
          <w:p>
            <w:pPr>
              <w:spacing w:after="0"/>
              <w:rPr>
                <w:sz w:val="7"/>
                <w:szCs w:val="7"/>
                <w:color w:val="auto"/>
              </w:rPr>
            </w:pP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Arial" w:cs="Arial" w:eastAsia="Arial" w:hAnsi="Arial"/>
                <w:sz w:val="22"/>
                <w:szCs w:val="22"/>
                <w:color w:val="auto"/>
              </w:rPr>
              <w:t>671,024</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94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Arial" w:cs="Arial" w:eastAsia="Arial" w:hAnsi="Arial"/>
                <w:sz w:val="22"/>
                <w:szCs w:val="22"/>
                <w:color w:val="auto"/>
              </w:rPr>
              <w:t>1.72%</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94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420" w:type="dxa"/>
            <w:vAlign w:val="bottom"/>
            <w:tcBorders>
              <w:bottom w:val="single" w:sz="8" w:color="808080"/>
            </w:tcBorders>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079823100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42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580" w:type="dxa"/>
            <w:vAlign w:val="bottom"/>
          </w:tcPr>
          <w:p>
            <w:pPr>
              <w:ind w:left="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420" w:type="dxa"/>
            <w:vAlign w:val="bottom"/>
          </w:tcPr>
          <w:p>
            <w:pPr>
              <w:spacing w:after="0"/>
              <w:rPr>
                <w:sz w:val="4"/>
                <w:szCs w:val="4"/>
                <w:color w:val="auto"/>
              </w:rPr>
            </w:pPr>
          </w:p>
        </w:tc>
        <w:tc>
          <w:tcPr>
            <w:tcW w:w="2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42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580" w:type="dxa"/>
            <w:vAlign w:val="bottom"/>
            <w:vMerge w:val="restart"/>
          </w:tcPr>
          <w:p>
            <w:pPr>
              <w:ind w:left="780"/>
              <w:spacing w:after="0"/>
              <w:rPr>
                <w:sz w:val="20"/>
                <w:szCs w:val="20"/>
                <w:color w:val="auto"/>
              </w:rPr>
            </w:pPr>
            <w:r>
              <w:rPr>
                <w:rFonts w:ascii="Arial" w:cs="Arial" w:eastAsia="Arial" w:hAnsi="Arial"/>
                <w:sz w:val="22"/>
                <w:szCs w:val="22"/>
                <w:color w:val="auto"/>
              </w:rPr>
              <w:t>421,404</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420" w:type="dxa"/>
            <w:vAlign w:val="bottom"/>
            <w:vMerge w:val="continue"/>
          </w:tcPr>
          <w:p>
            <w:pPr>
              <w:spacing w:after="0"/>
              <w:rPr>
                <w:sz w:val="14"/>
                <w:szCs w:val="14"/>
                <w:color w:val="auto"/>
              </w:rPr>
            </w:pPr>
          </w:p>
        </w:tc>
        <w:tc>
          <w:tcPr>
            <w:tcW w:w="2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4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42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580" w:type="dxa"/>
            <w:vAlign w:val="bottom"/>
            <w:vMerge w:val="restart"/>
          </w:tcPr>
          <w:p>
            <w:pPr>
              <w:ind w:left="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420" w:type="dxa"/>
            <w:vAlign w:val="bottom"/>
            <w:vMerge w:val="continue"/>
          </w:tcPr>
          <w:p>
            <w:pPr>
              <w:spacing w:after="0"/>
              <w:rPr>
                <w:sz w:val="12"/>
                <w:szCs w:val="12"/>
                <w:color w:val="auto"/>
              </w:rPr>
            </w:pPr>
          </w:p>
        </w:tc>
        <w:tc>
          <w:tcPr>
            <w:tcW w:w="2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42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580" w:type="dxa"/>
            <w:vAlign w:val="bottom"/>
            <w:vMerge w:val="restart"/>
          </w:tcPr>
          <w:p>
            <w:pPr>
              <w:ind w:left="780"/>
              <w:spacing w:after="0"/>
              <w:rPr>
                <w:sz w:val="20"/>
                <w:szCs w:val="20"/>
                <w:color w:val="auto"/>
              </w:rPr>
            </w:pPr>
            <w:r>
              <w:rPr>
                <w:rFonts w:ascii="Arial" w:cs="Arial" w:eastAsia="Arial" w:hAnsi="Arial"/>
                <w:sz w:val="22"/>
                <w:szCs w:val="22"/>
                <w:color w:val="auto"/>
              </w:rPr>
              <w:t>671,024</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20" w:type="dxa"/>
            <w:vAlign w:val="bottom"/>
            <w:vMerge w:val="continue"/>
          </w:tcPr>
          <w:p>
            <w:pPr>
              <w:spacing w:after="0"/>
              <w:rPr>
                <w:sz w:val="7"/>
                <w:szCs w:val="7"/>
                <w:color w:val="auto"/>
              </w:rPr>
            </w:pPr>
          </w:p>
        </w:tc>
        <w:tc>
          <w:tcPr>
            <w:tcW w:w="2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Arial" w:cs="Arial" w:eastAsia="Arial" w:hAnsi="Arial"/>
                <w:sz w:val="22"/>
                <w:szCs w:val="22"/>
                <w:color w:val="auto"/>
              </w:rPr>
              <w:t>671,024</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94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940" w:type="dxa"/>
            <w:vAlign w:val="bottom"/>
            <w:gridSpan w:val="2"/>
          </w:tcPr>
          <w:p>
            <w:pPr>
              <w:ind w:left="100"/>
              <w:spacing w:after="0"/>
              <w:rPr>
                <w:sz w:val="20"/>
                <w:szCs w:val="20"/>
                <w:color w:val="auto"/>
              </w:rPr>
            </w:pPr>
            <w:r>
              <w:rPr>
                <w:rFonts w:ascii="Arial" w:cs="Arial" w:eastAsia="Arial" w:hAnsi="Arial"/>
                <w:sz w:val="22"/>
                <w:szCs w:val="22"/>
                <w:color w:val="auto"/>
              </w:rPr>
              <w:t>1.72%</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94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420" w:type="dxa"/>
            <w:vAlign w:val="bottom"/>
            <w:tcBorders>
              <w:bottom w:val="single" w:sz="8" w:color="808080"/>
            </w:tcBorders>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4" w:name="page5"/>
    <w:bookmarkEnd w:id="4"/>
    <w:p>
      <w:pPr>
        <w:spacing w:after="0" w:line="236" w:lineRule="auto"/>
        <w:framePr w:w="180" w:h="192" w:wrap="auto" w:vAnchor="page" w:hAnchor="page" w:x="6980" w:y="15635"/>
        <w:rPr>
          <w:rFonts w:ascii="Arial" w:cs="Arial" w:eastAsia="Arial" w:hAnsi="Arial"/>
          <w:sz w:val="17"/>
          <w:szCs w:val="17"/>
          <w:color w:val="auto"/>
        </w:rPr>
      </w:pPr>
      <w:r>
        <w:rPr>
          <w:rFonts w:ascii="Arial" w:cs="Arial" w:eastAsia="Arial" w:hAnsi="Arial"/>
          <w:sz w:val="17"/>
          <w:szCs w:val="17"/>
          <w:color w:val="auto"/>
        </w:rPr>
        <w:t>0</w:t>
      </w:r>
    </w:p>
    <w:p>
      <w:pPr>
        <w:spacing w:after="0" w:line="206" w:lineRule="auto"/>
        <w:framePr w:w="4320" w:h="435" w:wrap="auto" w:vAnchor="page" w:hAnchor="page" w:x="6980" w:y="16013"/>
        <w:rPr>
          <w:rFonts w:ascii="Arial" w:cs="Arial" w:eastAsia="Arial" w:hAnsi="Arial"/>
          <w:sz w:val="22"/>
          <w:szCs w:val="22"/>
          <w:color w:val="auto"/>
        </w:rPr>
      </w:pPr>
      <w:r>
        <w:rPr>
          <w:rFonts w:ascii="Arial" w:cs="Arial" w:eastAsia="Arial" w:hAnsi="Arial"/>
          <w:sz w:val="22"/>
          <w:szCs w:val="22"/>
          <w:color w:val="auto"/>
        </w:rPr>
        <w:t>See the responses to Item 6 on the attached cover pages.</w:t>
      </w: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BELLRING BRANDS, INC.</w:t>
      </w:r>
    </w:p>
    <w:p>
      <w:pPr>
        <w:spacing w:after="0" w:line="101" w:lineRule="exact"/>
        <w:rPr>
          <w:rFonts w:ascii="Arial" w:cs="Arial" w:eastAsia="Arial" w:hAnsi="Arial"/>
          <w:sz w:val="22"/>
          <w:szCs w:val="22"/>
          <w:b w:val="1"/>
          <w:bCs w:val="1"/>
          <w:color w:val="auto"/>
        </w:rPr>
      </w:pPr>
    </w:p>
    <w:p>
      <w:pPr>
        <w:ind w:left="1760" w:right="4960" w:hanging="401"/>
        <w:spacing w:after="0" w:line="241" w:lineRule="auto"/>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2503 South Hanley Road</w:t>
      </w:r>
    </w:p>
    <w:p>
      <w:pPr>
        <w:spacing w:after="0" w:line="1" w:lineRule="exact"/>
        <w:rPr>
          <w:rFonts w:ascii="Arial" w:cs="Arial" w:eastAsia="Arial" w:hAnsi="Arial"/>
          <w:sz w:val="22"/>
          <w:szCs w:val="22"/>
          <w:b w:val="1"/>
          <w:bCs w:val="1"/>
          <w:color w:val="auto"/>
        </w:rPr>
      </w:pP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St. Louis, MO 63144</w:t>
      </w:r>
    </w:p>
    <w:p>
      <w:pPr>
        <w:spacing w:after="0" w:line="101" w:lineRule="exact"/>
        <w:rPr>
          <w:rFonts w:ascii="Arial" w:cs="Arial" w:eastAsia="Arial" w:hAnsi="Arial"/>
          <w:sz w:val="22"/>
          <w:szCs w:val="22"/>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60" w:right="5180"/>
        <w:spacing w:after="0" w:line="248"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w:t>
      </w:r>
    </w:p>
    <w:p>
      <w:pPr>
        <w:spacing w:after="0" w:line="91" w:lineRule="exact"/>
        <w:rPr>
          <w:rFonts w:ascii="Arial" w:cs="Arial" w:eastAsia="Arial" w:hAnsi="Arial"/>
          <w:sz w:val="22"/>
          <w:szCs w:val="22"/>
          <w:b w:val="1"/>
          <w:bCs w:val="1"/>
          <w:color w:val="auto"/>
        </w:rPr>
      </w:pPr>
    </w:p>
    <w:p>
      <w:pPr>
        <w:ind w:left="1760" w:right="3880" w:hanging="401"/>
        <w:spacing w:after="0" w:line="241" w:lineRule="auto"/>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spacing w:after="0" w:line="1" w:lineRule="exact"/>
        <w:rPr>
          <w:rFonts w:ascii="Arial" w:cs="Arial" w:eastAsia="Arial" w:hAnsi="Arial"/>
          <w:sz w:val="22"/>
          <w:szCs w:val="22"/>
          <w:b w:val="1"/>
          <w:bCs w:val="1"/>
          <w:color w:val="auto"/>
        </w:rPr>
      </w:pPr>
    </w:p>
    <w:p>
      <w:pPr>
        <w:ind w:left="1760" w:right="75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60" w:right="4180"/>
        <w:spacing w:after="0" w:line="248"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w:t>
      </w:r>
    </w:p>
    <w:p>
      <w:pPr>
        <w:spacing w:after="0" w:line="91" w:lineRule="exact"/>
        <w:rPr>
          <w:rFonts w:ascii="Arial" w:cs="Arial" w:eastAsia="Arial" w:hAnsi="Arial"/>
          <w:sz w:val="22"/>
          <w:szCs w:val="22"/>
          <w:b w:val="1"/>
          <w:bCs w:val="1"/>
          <w:color w:val="auto"/>
        </w:rPr>
      </w:pPr>
    </w:p>
    <w:p>
      <w:pPr>
        <w:ind w:left="1760" w:right="688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760" w:right="780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079823100</w:t>
      </w:r>
    </w:p>
    <w:p>
      <w:pPr>
        <w:spacing w:after="0" w:line="13" w:lineRule="exact"/>
        <w:rPr>
          <w:rFonts w:ascii="Arial" w:cs="Arial" w:eastAsia="Arial" w:hAnsi="Arial"/>
          <w:sz w:val="22"/>
          <w:szCs w:val="22"/>
          <w:color w:val="auto"/>
        </w:rPr>
      </w:pPr>
    </w:p>
    <w:p>
      <w:pPr>
        <w:ind w:left="1360" w:hanging="1349"/>
        <w:spacing w:after="0" w:line="256" w:lineRule="auto"/>
        <w:tabs>
          <w:tab w:leader="none" w:pos="13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7"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20" w:right="12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investment adviser in accordance with Rule 240.13d-1(b)(1)(ii)(E);</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1"/>
          <w:szCs w:val="21"/>
          <w:color w:val="auto"/>
        </w:rPr>
      </w:pPr>
      <w:r>
        <w:rPr>
          <w:rFonts w:ascii="Arial" w:cs="Arial" w:eastAsia="Arial" w:hAnsi="Arial"/>
          <w:sz w:val="21"/>
          <w:szCs w:val="21"/>
          <w:color w:val="auto"/>
        </w:rPr>
        <w:t>[ ]   An employee benefit plan or endowment fund in accordance with Rule 240.13d-1(b)(1)(ii)(F);</w:t>
      </w:r>
    </w:p>
    <w:p>
      <w:pPr>
        <w:spacing w:after="0" w:line="136" w:lineRule="exact"/>
        <w:rPr>
          <w:rFonts w:ascii="Arial" w:cs="Arial" w:eastAsia="Arial" w:hAnsi="Arial"/>
          <w:sz w:val="21"/>
          <w:szCs w:val="21"/>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2220" w:right="46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savings association as defined in Section 3(b) of the Federal Deposit Insurance Act (12 U.S.C. 1813);</w:t>
      </w:r>
    </w:p>
    <w:p>
      <w:pPr>
        <w:spacing w:after="0" w:line="93" w:lineRule="exact"/>
        <w:rPr>
          <w:rFonts w:ascii="Arial" w:cs="Arial" w:eastAsia="Arial" w:hAnsi="Arial"/>
          <w:sz w:val="22"/>
          <w:szCs w:val="22"/>
          <w:color w:val="auto"/>
        </w:rPr>
      </w:pPr>
    </w:p>
    <w:p>
      <w:pPr>
        <w:ind w:left="2220" w:right="14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rFonts w:ascii="Arial" w:cs="Arial" w:eastAsia="Arial" w:hAnsi="Arial"/>
          <w:sz w:val="22"/>
          <w:szCs w:val="22"/>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rFonts w:ascii="Arial" w:cs="Arial" w:eastAsia="Arial" w:hAnsi="Arial"/>
          <w:sz w:val="22"/>
          <w:szCs w:val="22"/>
          <w:color w:val="auto"/>
        </w:rPr>
      </w:pPr>
    </w:p>
    <w:p>
      <w:pPr>
        <w:ind w:right="68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11 on the attached cover pages.</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1760"/>
        <w:spacing w:after="0"/>
        <w:tabs>
          <w:tab w:leader="none" w:pos="2200" w:val="left"/>
        </w:tabs>
        <w:rPr>
          <w:sz w:val="20"/>
          <w:szCs w:val="20"/>
          <w:color w:val="auto"/>
        </w:rPr>
      </w:pPr>
      <w:r>
        <w:rPr>
          <w:rFonts w:ascii="Arial" w:cs="Arial" w:eastAsia="Arial" w:hAnsi="Arial"/>
          <w:sz w:val="22"/>
          <w:szCs w:val="22"/>
          <w:color w:val="auto"/>
        </w:rPr>
        <w:t>(i)</w:t>
        <w:tab/>
        <w:t>sole power to vote or to direct the vote</w:t>
      </w:r>
    </w:p>
    <w:p>
      <w:pPr>
        <w:spacing w:after="0" w:line="247" w:lineRule="exact"/>
        <w:rPr>
          <w:rFonts w:ascii="Arial" w:cs="Arial" w:eastAsia="Arial" w:hAnsi="Arial"/>
          <w:sz w:val="22"/>
          <w:szCs w:val="22"/>
          <w:color w:val="auto"/>
        </w:rPr>
      </w:pPr>
    </w:p>
    <w:p>
      <w:pPr>
        <w:ind w:left="1760"/>
        <w:spacing w:after="0"/>
        <w:tabs>
          <w:tab w:leader="none" w:pos="220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19"/>
          <w:szCs w:val="19"/>
          <w:color w:val="auto"/>
        </w:rPr>
        <w:t>shared power to vote or to direct the vote</w:t>
      </w:r>
    </w:p>
    <w:p>
      <w:pPr>
        <w:sectPr>
          <w:pgSz w:w="11900" w:h="16838" w:orient="portrait"/>
          <w:cols w:equalWidth="0" w:num="1">
            <w:col w:w="11040"/>
          </w:cols>
          <w:pgMar w:left="400" w:top="409" w:right="459" w:bottom="0" w:gutter="0" w:footer="0" w:header="0"/>
        </w:sectPr>
      </w:pPr>
    </w:p>
    <w:bookmarkStart w:id="5" w:name="page6"/>
    <w:bookmarkEnd w:id="5"/>
    <w:p>
      <w:pPr>
        <w:ind w:left="1760"/>
        <w:spacing w:after="0"/>
        <w:tabs>
          <w:tab w:leader="none" w:pos="6600" w:val="left"/>
        </w:tabs>
        <w:rPr>
          <w:sz w:val="20"/>
          <w:szCs w:val="20"/>
          <w:color w:val="auto"/>
        </w:rPr>
      </w:pPr>
      <w:r>
        <w:rPr>
          <w:rFonts w:ascii="Arial" w:cs="Arial" w:eastAsia="Arial" w:hAnsi="Arial"/>
          <w:sz w:val="21"/>
          <w:szCs w:val="21"/>
          <w:color w:val="auto"/>
        </w:rPr>
        <w:t>(iii) sole power to dispose or to direct the disposition</w:t>
      </w:r>
      <w:r>
        <w:rPr>
          <w:sz w:val="20"/>
          <w:szCs w:val="20"/>
          <w:color w:val="auto"/>
        </w:rPr>
        <w:tab/>
      </w:r>
      <w:r>
        <w:rPr>
          <w:rFonts w:ascii="Arial" w:cs="Arial" w:eastAsia="Arial" w:hAnsi="Arial"/>
          <w:sz w:val="17"/>
          <w:szCs w:val="17"/>
          <w:color w:val="auto"/>
        </w:rPr>
        <w:t>0</w:t>
      </w:r>
    </w:p>
    <w:p>
      <w:pPr>
        <w:spacing w:after="0" w:line="20" w:lineRule="exact"/>
        <w:rPr>
          <w:sz w:val="20"/>
          <w:szCs w:val="20"/>
          <w:color w:val="auto"/>
        </w:rPr>
      </w:pPr>
    </w:p>
    <w:p>
      <w:pPr>
        <w:ind w:left="2220"/>
        <w:spacing w:after="0"/>
        <w:rPr>
          <w:sz w:val="20"/>
          <w:szCs w:val="20"/>
          <w:color w:val="auto"/>
        </w:rPr>
      </w:pPr>
      <w:r>
        <w:rPr>
          <w:rFonts w:ascii="Arial" w:cs="Arial" w:eastAsia="Arial" w:hAnsi="Arial"/>
          <w:sz w:val="22"/>
          <w:szCs w:val="22"/>
          <w:color w:val="auto"/>
        </w:rPr>
        <w:t>of</w:t>
      </w:r>
    </w:p>
    <w:p>
      <w:pPr>
        <w:sectPr>
          <w:pgSz w:w="11900" w:h="16838" w:orient="portrait"/>
          <w:cols w:equalWidth="0" w:num="1">
            <w:col w:w="10940"/>
          </w:cols>
          <w:pgMar w:left="400" w:top="118" w:right="559" w:bottom="491" w:gutter="0" w:footer="0" w:header="0"/>
        </w:sectPr>
      </w:pPr>
    </w:p>
    <w:p>
      <w:pPr>
        <w:spacing w:after="0" w:line="107" w:lineRule="exact"/>
        <w:rPr>
          <w:sz w:val="20"/>
          <w:szCs w:val="20"/>
          <w:color w:val="auto"/>
        </w:rPr>
      </w:pPr>
    </w:p>
    <w:p>
      <w:pPr>
        <w:ind w:left="2220" w:right="280" w:hanging="456"/>
        <w:spacing w:after="0" w:line="183" w:lineRule="auto"/>
        <w:tabs>
          <w:tab w:leader="none" w:pos="2220" w:val="left"/>
        </w:tabs>
        <w:numPr>
          <w:ilvl w:val="0"/>
          <w:numId w:val="6"/>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See the responses to Item 8 on the attached cover pages.</w:t>
      </w:r>
    </w:p>
    <w:p>
      <w:pPr>
        <w:spacing w:after="0" w:line="88" w:lineRule="exact"/>
        <w:rPr>
          <w:sz w:val="20"/>
          <w:szCs w:val="20"/>
          <w:color w:val="auto"/>
        </w:rPr>
      </w:pPr>
    </w:p>
    <w:p>
      <w:pPr>
        <w:sectPr>
          <w:pgSz w:w="11900" w:h="16838" w:orient="portrait"/>
          <w:cols w:equalWidth="0" w:num="2">
            <w:col w:w="5900" w:space="720"/>
            <w:col w:w="4320"/>
          </w:cols>
          <w:pgMar w:left="400" w:top="118" w:right="559" w:bottom="491" w:gutter="0" w:footer="0" w:header="0"/>
          <w:type w:val="continuous"/>
        </w:sectPr>
      </w:pPr>
    </w:p>
    <w:tbl>
      <w:tblPr>
        <w:tblLayout w:type="fixed"/>
        <w:tblInd w:w="0" w:type="dxa"/>
        <w:tblCellMar>
          <w:top w:w="0" w:type="dxa"/>
          <w:left w:w="0" w:type="dxa"/>
          <w:bottom w:w="0" w:type="dxa"/>
          <w:right w:w="0" w:type="dxa"/>
        </w:tblCellMar>
      </w:tblPr>
      <w:tr>
        <w:trPr>
          <w:trHeight w:val="280"/>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the beneficial owner of more than five percent of the class of securities, check the following: [X]</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3"/>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4"/>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9"/>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2"/>
              </w:rPr>
              <w:t>sale of, such securities. No such client is known to have such right or power with respect to more than five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w:t>
            </w:r>
          </w:p>
        </w:tc>
      </w:tr>
      <w:tr>
        <w:trPr>
          <w:trHeight w:val="280"/>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1"/>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0"/>
              </w:rPr>
              <w:t>of or with the effect of changing or influencing the control of the issuer of the securities and were not acquired</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6"/>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February 14, 2022</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7"/>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February 14, 2022</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February 14,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342900</wp:posOffset>
            </wp:positionV>
            <wp:extent cx="573024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ectPr>
          <w:pgSz w:w="11900" w:h="16838" w:orient="portrait"/>
          <w:cols w:equalWidth="0" w:num="1">
            <w:col w:w="10940"/>
          </w:cols>
          <w:pgMar w:left="400" w:top="118" w:right="559" w:bottom="491"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321" w:lineRule="exact"/>
        <w:rPr>
          <w:sz w:val="20"/>
          <w:szCs w:val="20"/>
          <w:color w:val="auto"/>
        </w:rPr>
      </w:pPr>
    </w:p>
    <w:p>
      <w:pPr>
        <w:ind w:left="60" w:right="219"/>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7" w:lineRule="exact"/>
        <w:rPr>
          <w:sz w:val="20"/>
          <w:szCs w:val="20"/>
          <w:color w:val="auto"/>
        </w:rPr>
      </w:pPr>
    </w:p>
    <w:p>
      <w:pPr>
        <w:ind w:left="60" w:right="4399"/>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ind w:left="60" w:right="119"/>
        <w:spacing w:after="0" w:line="234" w:lineRule="auto"/>
        <w:rPr>
          <w:sz w:val="20"/>
          <w:szCs w:val="20"/>
          <w:color w:val="auto"/>
        </w:rPr>
      </w:pPr>
      <w:r>
        <w:rPr>
          <w:rFonts w:ascii="Arial" w:cs="Arial" w:eastAsia="Arial" w:hAnsi="Arial"/>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573024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B</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ind w:left="60" w:right="199"/>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BELLRING BRANDS,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07"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14, 2022</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Investment Advisors Holdings LLP</w:t>
      </w:r>
    </w:p>
    <w:p>
      <w:pPr>
        <w:sectPr>
          <w:pgSz w:w="11900" w:h="16838" w:orient="portrait"/>
          <w:cols w:equalWidth="0" w:num="1">
            <w:col w:w="9019"/>
          </w:cols>
          <w:pgMar w:left="1440" w:top="111" w:right="1440" w:bottom="0" w:gutter="0" w:footer="0" w:header="0"/>
        </w:sectPr>
      </w:pPr>
    </w:p>
    <w:bookmarkStart w:id="7" w:name="page8"/>
    <w:bookmarkEnd w:id="7"/>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5"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19"/>
          <w:szCs w:val="19"/>
          <w:color w:val="auto"/>
        </w:rPr>
        <w:t>Title: Regulatory Analyst</w:t>
      </w:r>
    </w:p>
    <w:p>
      <w:pPr>
        <w:spacing w:after="0" w:line="79" w:lineRule="exact"/>
        <w:rPr>
          <w:sz w:val="20"/>
          <w:szCs w:val="20"/>
          <w:color w:val="auto"/>
        </w:rPr>
      </w:pPr>
    </w:p>
    <w:p>
      <w:pPr>
        <w:ind w:left="3440"/>
        <w:spacing w:after="0"/>
        <w:rPr>
          <w:sz w:val="20"/>
          <w:szCs w:val="20"/>
          <w:color w:val="auto"/>
        </w:rPr>
      </w:pPr>
      <w:r>
        <w:rPr>
          <w:rFonts w:ascii="Arial" w:cs="Arial" w:eastAsia="Arial" w:hAnsi="Arial"/>
          <w:sz w:val="19"/>
          <w:szCs w:val="19"/>
          <w:color w:val="auto"/>
        </w:rPr>
        <w:t>Date: February 14, 2022</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2022-02-04T08:30:34Z</dcterms:created>
  <dcterms:modified xsi:type="dcterms:W3CDTF">2022-02-04T08:30:34Z</dcterms:modified>
</cp:coreProperties>
</file>