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99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99330"/>
                    </a:xfrm>
                    <a:prstGeom prst="rect">
                      <a:avLst/>
                    </a:prstGeom>
                    <a:noFill/>
                  </pic:spPr>
                </pic:pic>
              </a:graphicData>
            </a:graphic>
          </wp:anchor>
        </w:drawing>
      </w:r>
    </w:p>
    <w:p>
      <w:pPr>
        <w:sectPr>
          <w:pgSz w:w="11900" w:h="16838" w:orient="portrait"/>
          <w:cols w:equalWidth="0" w:num="1">
            <w:col w:w="10940"/>
          </w:cols>
          <w:pgMar w:left="480" w:top="236" w:right="479" w:bottom="33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ERICKSON THOMAS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331"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331"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13,740</w:t>
            </w:r>
            <w:r>
              <w:rPr>
                <w:rFonts w:ascii="Arial" w:cs="Arial" w:eastAsia="Arial" w:hAnsi="Arial"/>
                <w:sz w:val="25"/>
                <w:szCs w:val="25"/>
                <w:color w:val="008000"/>
                <w:vertAlign w:val="superscript"/>
              </w:rPr>
              <w:t>(1)(2)</w:t>
            </w:r>
          </w:p>
        </w:tc>
        <w:tc>
          <w:tcPr>
            <w:tcW w:w="980" w:type="dxa"/>
            <w:vAlign w:val="bottom"/>
            <w:tcBorders>
              <w:bottom w:val="single" w:sz="8" w:color="2C2C2C"/>
            </w:tcBorders>
            <w:gridSpan w:val="2"/>
          </w:tcPr>
          <w:p>
            <w:pPr>
              <w:ind w:left="80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18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7"/>
              </w:rPr>
              <w:t>BellRing Brands, Inc. Common</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(3)</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vMerge w:val="restart"/>
          </w:tcPr>
          <w:p>
            <w:pPr>
              <w:ind w:left="180"/>
              <w:spacing w:after="0"/>
              <w:rPr>
                <w:sz w:val="20"/>
                <w:szCs w:val="20"/>
                <w:color w:val="auto"/>
              </w:rPr>
            </w:pPr>
            <w:r>
              <w:rPr>
                <w:rFonts w:ascii="Arial" w:cs="Arial" w:eastAsia="Arial" w:hAnsi="Arial"/>
                <w:sz w:val="20"/>
                <w:szCs w:val="20"/>
                <w:color w:val="0000FF"/>
                <w:w w:val="95"/>
              </w:rPr>
              <w:t>7,521.29</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Equivalents</w:t>
            </w: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100" w:firstLine="5"/>
        <w:spacing w:after="0" w:line="235"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stock equivalents in New BellRing common stock ("Stock Equivalents") which were received by the Reporting Person in connection with the Transactions. The original grant of Class A Common Stock of Old BellRing equivalents (the "Old BellRing Stock Equivalents") were to be distributed (on a one-for-one basis) into shares of Class A Common Stock of Old BellRing upon Reporting Person's retirement from the Board of Directors. The Stock Equivalents have no fixed exercisable or expiration dates. The Old BellRing Stock Equivalents were assumed by New BellRing in connection with the Transactions and replaced with an equal number of Stock Equivalents having the same terms and conditions as the Old BellRing Stock Equivalents. Such award may be adjusted to account for the cash consideration payable to stockholders of Old BellRing in the Transactions.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331"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Thomas P. Erickson</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Name: Thomas P. Erickson</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0535"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2022-03-10T16:38:03Z</dcterms:created>
  <dcterms:modified xsi:type="dcterms:W3CDTF">2022-03-10T16:38:03Z</dcterms:modified>
</cp:coreProperties>
</file>