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BellRing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07831C103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07831C103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4,693,062.00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6,750,018.00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6,750,018.00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BellRing Brands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N. BRENTWOOD BOULEVARD, SUITE 1550, CLAYTON, MO, 63105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4080"/>
        <w:spacing w:after="0" w:line="256" w:lineRule="auto"/>
        <w:rPr>
          <w:sz w:val="20"/>
          <w:szCs w:val="20"/>
          <w:color w:val="auto"/>
        </w:rPr>
      </w:pPr>
      <w:r>
        <w:rPr>
          <w:rFonts w:ascii="Times New Roman" w:cs="Times New Roman" w:eastAsia="Times New Roman" w:hAnsi="Times New Roman"/>
          <w:sz w:val="22"/>
          <w:szCs w:val="22"/>
          <w:color w:val="auto"/>
        </w:rPr>
        <w:t>505 Wakara Way, 3rd Floor, Salt Lake City, 84108,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07831C103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6,750,018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4,693,062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6,750,018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Wasatch Advisors LP</w:t>
      </w:r>
    </w:p>
    <w:p>
      <w:pPr>
        <w:spacing w:after="0" w:line="152"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Mike Yeates</w:t>
      </w:r>
    </w:p>
    <w:p>
      <w:pPr>
        <w:spacing w:after="0" w:line="44"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Name/Title: CEO</w:t>
      </w:r>
    </w:p>
    <w:p>
      <w:pPr>
        <w:spacing w:after="0" w:line="44" w:lineRule="exact"/>
        <w:rPr>
          <w:sz w:val="20"/>
          <w:szCs w:val="20"/>
          <w:color w:val="auto"/>
        </w:rPr>
      </w:pPr>
    </w:p>
    <w:p>
      <w:pPr>
        <w:ind w:left="2360"/>
        <w:spacing w:after="0"/>
        <w:tabs>
          <w:tab w:leader="none" w:pos="3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sectPr>
      <w:pgSz w:w="11900" w:h="16838" w:orient="portrait"/>
      <w:cols w:equalWidth="0" w:num="1">
        <w:col w:w="11140"/>
      </w:cols>
      <w:pgMar w:left="360" w:top="126"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2025-11-13T19:18:59Z</dcterms:created>
  <dcterms:modified xsi:type="dcterms:W3CDTF">2025-11-13T19:18:59Z</dcterms:modified>
</cp:coreProperties>
</file>