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313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31330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3"/>
          <w:szCs w:val="13"/>
          <w:u w:val="single" w:color="auto"/>
          <w:color w:val="0000EE"/>
        </w:rPr>
      </w:pPr>
      <w:hyperlink r:id="rId11">
        <w:r>
          <w:rPr>
            <w:rFonts w:ascii="Arial" w:cs="Arial" w:eastAsia="Arial" w:hAnsi="Arial"/>
            <w:sz w:val="13"/>
            <w:szCs w:val="13"/>
            <w:u w:val="single" w:color="auto"/>
            <w:color w:val="0000EE"/>
          </w:rPr>
          <w:t>DAVENPORT DARCY HORN</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10/16/2019</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4"/>
          <w:szCs w:val="14"/>
          <w:color w:val="0000EE"/>
        </w:rPr>
      </w:pPr>
      <w:hyperlink r:id="rId12">
        <w:r>
          <w:rPr>
            <w:rFonts w:ascii="Arial" w:cs="Arial" w:eastAsia="Arial" w:hAnsi="Arial"/>
            <w:sz w:val="14"/>
            <w:szCs w:val="14"/>
            <w:u w:val="single" w:color="auto"/>
            <w:color w:val="0000EE"/>
          </w:rPr>
          <w:t>BELLRING BRANDS, INC.</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BRBR</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273"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1080" w:type="dxa"/>
            <w:vAlign w:val="bottom"/>
          </w:tcPr>
          <w:p>
            <w:pPr>
              <w:ind w:left="280"/>
              <w:spacing w:after="0"/>
              <w:rPr>
                <w:sz w:val="20"/>
                <w:szCs w:val="20"/>
                <w:color w:val="auto"/>
              </w:rPr>
            </w:pPr>
            <w:r>
              <w:rPr>
                <w:rFonts w:ascii="Arial" w:cs="Arial" w:eastAsia="Arial" w:hAnsi="Arial"/>
                <w:sz w:val="9"/>
                <w:szCs w:val="9"/>
                <w:color w:val="auto"/>
              </w:rPr>
              <w:t>(First)</w:t>
            </w:r>
          </w:p>
        </w:tc>
        <w:tc>
          <w:tcPr>
            <w:tcW w:w="1380" w:type="dxa"/>
            <w:vAlign w:val="bottom"/>
          </w:tcPr>
          <w:p>
            <w:pPr>
              <w:ind w:left="30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900" w:type="dxa"/>
            <w:vAlign w:val="bottom"/>
            <w:gridSpan w:val="2"/>
          </w:tcPr>
          <w:p>
            <w:pPr>
              <w:spacing w:after="0"/>
              <w:rPr>
                <w:sz w:val="20"/>
                <w:szCs w:val="20"/>
                <w:color w:val="auto"/>
              </w:rPr>
            </w:pPr>
            <w:r>
              <w:rPr>
                <w:rFonts w:ascii="Arial" w:cs="Arial" w:eastAsia="Arial" w:hAnsi="Arial"/>
                <w:sz w:val="12"/>
                <w:szCs w:val="12"/>
                <w:color w:val="0000FF"/>
              </w:rPr>
              <w:t>C/O BELLRING BRANDS, INC.</w:t>
            </w:r>
          </w:p>
        </w:tc>
        <w:tc>
          <w:tcPr>
            <w:tcW w:w="1380" w:type="dxa"/>
            <w:vAlign w:val="bottom"/>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1900" w:type="dxa"/>
            <w:vAlign w:val="bottom"/>
            <w:gridSpan w:val="2"/>
          </w:tcPr>
          <w:p>
            <w:pPr>
              <w:spacing w:after="0"/>
              <w:rPr>
                <w:sz w:val="20"/>
                <w:szCs w:val="20"/>
                <w:color w:val="auto"/>
              </w:rPr>
            </w:pPr>
            <w:r>
              <w:rPr>
                <w:rFonts w:ascii="Arial" w:cs="Arial" w:eastAsia="Arial" w:hAnsi="Arial"/>
                <w:sz w:val="12"/>
                <w:szCs w:val="12"/>
                <w:color w:val="0000FF"/>
              </w:rPr>
              <w:t>2503 S. HANLEY ROAD</w:t>
            </w:r>
          </w:p>
        </w:tc>
        <w:tc>
          <w:tcPr>
            <w:tcW w:w="1380" w:type="dxa"/>
            <w:vAlign w:val="bottom"/>
          </w:tcPr>
          <w:p>
            <w:pPr>
              <w:spacing w:after="0"/>
              <w:rPr>
                <w:sz w:val="15"/>
                <w:szCs w:val="15"/>
                <w:color w:val="auto"/>
              </w:rPr>
            </w:pPr>
          </w:p>
        </w:tc>
      </w:tr>
      <w:tr>
        <w:trPr>
          <w:trHeight w:val="101"/>
        </w:trPr>
        <w:tc>
          <w:tcPr>
            <w:tcW w:w="40" w:type="dxa"/>
            <w:vAlign w:val="bottom"/>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ST. LOUIS</w:t>
            </w:r>
          </w:p>
        </w:tc>
        <w:tc>
          <w:tcPr>
            <w:tcW w:w="1080" w:type="dxa"/>
            <w:vAlign w:val="bottom"/>
          </w:tcPr>
          <w:p>
            <w:pPr>
              <w:ind w:left="280"/>
              <w:spacing w:after="0"/>
              <w:rPr>
                <w:sz w:val="20"/>
                <w:szCs w:val="20"/>
                <w:color w:val="auto"/>
              </w:rPr>
            </w:pPr>
            <w:r>
              <w:rPr>
                <w:rFonts w:ascii="Arial" w:cs="Arial" w:eastAsia="Arial" w:hAnsi="Arial"/>
                <w:sz w:val="12"/>
                <w:szCs w:val="12"/>
                <w:color w:val="0000FF"/>
              </w:rPr>
              <w:t>MO</w:t>
            </w:r>
          </w:p>
        </w:tc>
        <w:tc>
          <w:tcPr>
            <w:tcW w:w="1380" w:type="dxa"/>
            <w:vAlign w:val="bottom"/>
          </w:tcPr>
          <w:p>
            <w:pPr>
              <w:ind w:left="300"/>
              <w:spacing w:after="0"/>
              <w:rPr>
                <w:sz w:val="20"/>
                <w:szCs w:val="20"/>
                <w:color w:val="auto"/>
              </w:rPr>
            </w:pPr>
            <w:r>
              <w:rPr>
                <w:rFonts w:ascii="Arial" w:cs="Arial" w:eastAsia="Arial" w:hAnsi="Arial"/>
                <w:sz w:val="12"/>
                <w:szCs w:val="12"/>
                <w:color w:val="0000FF"/>
              </w:rPr>
              <w:t>63144</w:t>
            </w:r>
          </w:p>
        </w:tc>
      </w:tr>
    </w:tbl>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spacing w:after="0" w:line="19" w:lineRule="exact"/>
        <w:rPr>
          <w:sz w:val="24"/>
          <w:szCs w:val="24"/>
          <w:color w:val="auto"/>
        </w:rPr>
      </w:pPr>
    </w:p>
    <w:p>
      <w:pPr>
        <w:ind w:left="531"/>
        <w:spacing w:after="0"/>
        <w:tabs>
          <w:tab w:leader="none" w:pos="2170" w:val="left"/>
        </w:tabs>
        <w:rPr>
          <w:sz w:val="20"/>
          <w:szCs w:val="20"/>
          <w:color w:val="auto"/>
        </w:rPr>
      </w:pP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73" w:lineRule="exact"/>
        <w:rPr>
          <w:sz w:val="24"/>
          <w:szCs w:val="24"/>
          <w:color w:val="auto"/>
        </w:rPr>
      </w:pPr>
    </w:p>
    <w:p>
      <w:pPr>
        <w:ind w:left="1251"/>
        <w:spacing w:after="0"/>
        <w:rPr>
          <w:sz w:val="20"/>
          <w:szCs w:val="20"/>
          <w:color w:val="auto"/>
        </w:rPr>
      </w:pPr>
      <w:r>
        <w:rPr>
          <w:rFonts w:ascii="Arial" w:cs="Arial" w:eastAsia="Arial" w:hAnsi="Arial"/>
          <w:sz w:val="12"/>
          <w:szCs w:val="12"/>
          <w:color w:val="0000FF"/>
        </w:rPr>
        <w:t>PRES. AND CEO</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38"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338"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1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2. Amount of Securities Beneficially Owned</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r>
      <w:tr>
        <w:trPr>
          <w:trHeight w:val="118"/>
        </w:trPr>
        <w:tc>
          <w:tcPr>
            <w:tcW w:w="3140" w:type="dxa"/>
            <w:vAlign w:val="bottom"/>
          </w:tcPr>
          <w:p>
            <w:pPr>
              <w:spacing w:after="0"/>
              <w:rPr>
                <w:sz w:val="10"/>
                <w:szCs w:val="10"/>
                <w:color w:val="auto"/>
              </w:rPr>
            </w:pP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(Instr. 4)</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(D) or Indirect (I) (Instr. 5)</w:t>
            </w:r>
          </w:p>
        </w:tc>
      </w:tr>
      <w:tr>
        <w:trPr>
          <w:trHeight w:val="44"/>
        </w:trPr>
        <w:tc>
          <w:tcPr>
            <w:tcW w:w="3140" w:type="dxa"/>
            <w:vAlign w:val="bottom"/>
            <w:tcBorders>
              <w:bottom w:val="single" w:sz="8" w:color="2C2C2C"/>
            </w:tcBorders>
          </w:tcPr>
          <w:p>
            <w:pPr>
              <w:spacing w:after="0"/>
              <w:rPr>
                <w:sz w:val="3"/>
                <w:szCs w:val="3"/>
                <w:color w:val="auto"/>
              </w:rPr>
            </w:pPr>
          </w:p>
        </w:tc>
        <w:tc>
          <w:tcPr>
            <w:tcW w:w="3980" w:type="dxa"/>
            <w:vAlign w:val="bottom"/>
            <w:tcBorders>
              <w:bottom w:val="single" w:sz="8" w:color="2C2C2C"/>
            </w:tcBorders>
          </w:tcPr>
          <w:p>
            <w:pPr>
              <w:spacing w:after="0"/>
              <w:rPr>
                <w:sz w:val="3"/>
                <w:szCs w:val="3"/>
                <w:color w:val="auto"/>
              </w:rPr>
            </w:pPr>
          </w:p>
        </w:tc>
        <w:tc>
          <w:tcPr>
            <w:tcW w:w="4360" w:type="dxa"/>
            <w:vAlign w:val="bottom"/>
            <w:tcBorders>
              <w:bottom w:val="single" w:sz="8" w:color="2C2C2C"/>
            </w:tcBorders>
          </w:tcPr>
          <w:p>
            <w:pPr>
              <w:spacing w:after="0"/>
              <w:rPr>
                <w:sz w:val="3"/>
                <w:szCs w:val="3"/>
                <w:color w:val="auto"/>
              </w:rPr>
            </w:pPr>
          </w:p>
        </w:tc>
      </w:tr>
    </w:tbl>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II - Derivative Securities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(e.g., puts, calls, warrants, options, convertible securities)</w:t>
      </w:r>
    </w:p>
    <w:p>
      <w:pPr>
        <w:spacing w:after="0" w:line="70" w:lineRule="exact"/>
        <w:rPr>
          <w:sz w:val="24"/>
          <w:szCs w:val="24"/>
          <w:color w:val="auto"/>
        </w:rPr>
      </w:pPr>
    </w:p>
    <w:tbl>
      <w:tblPr>
        <w:tblLayout w:type="fixed"/>
        <w:tblInd w:w="40" w:type="dxa"/>
        <w:tblCellMar>
          <w:top w:w="0" w:type="dxa"/>
          <w:left w:w="0" w:type="dxa"/>
          <w:bottom w:w="0" w:type="dxa"/>
          <w:right w:w="0" w:type="dxa"/>
        </w:tblCellMar>
      </w:tblPr>
      <w:tr>
        <w:trPr>
          <w:trHeight w:val="103"/>
        </w:trPr>
        <w:tc>
          <w:tcPr>
            <w:tcW w:w="3900" w:type="dxa"/>
            <w:vAlign w:val="bottom"/>
          </w:tcPr>
          <w:p>
            <w:pPr>
              <w:spacing w:after="0"/>
              <w:rPr>
                <w:sz w:val="20"/>
                <w:szCs w:val="20"/>
                <w:color w:val="auto"/>
              </w:rPr>
            </w:pPr>
            <w:r>
              <w:rPr>
                <w:rFonts w:ascii="Arial" w:cs="Arial" w:eastAsia="Arial" w:hAnsi="Arial"/>
                <w:sz w:val="9"/>
                <w:szCs w:val="9"/>
                <w:b w:val="1"/>
                <w:bCs w:val="1"/>
                <w:color w:val="auto"/>
              </w:rPr>
              <w:t>1. Title of Derivative Security (Instr. 4)</w:t>
            </w:r>
          </w:p>
        </w:tc>
        <w:tc>
          <w:tcPr>
            <w:tcW w:w="114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2980" w:type="dxa"/>
            <w:vAlign w:val="bottom"/>
            <w:gridSpan w:val="2"/>
          </w:tcPr>
          <w:p>
            <w:pPr>
              <w:ind w:left="8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tcPr>
          <w:p>
            <w:pPr>
              <w:ind w:left="40"/>
              <w:spacing w:after="0"/>
              <w:rPr>
                <w:sz w:val="20"/>
                <w:szCs w:val="20"/>
                <w:color w:val="auto"/>
              </w:rPr>
            </w:pPr>
            <w:r>
              <w:rPr>
                <w:rFonts w:ascii="Arial" w:cs="Arial" w:eastAsia="Arial" w:hAnsi="Arial"/>
                <w:sz w:val="9"/>
                <w:szCs w:val="9"/>
                <w:b w:val="1"/>
                <w:bCs w:val="1"/>
                <w:color w:val="auto"/>
              </w:rPr>
              <w:t>5. Ownership</w:t>
            </w:r>
          </w:p>
        </w:tc>
        <w:tc>
          <w:tcPr>
            <w:tcW w:w="1340" w:type="dxa"/>
            <w:vAlign w:val="bottom"/>
          </w:tcPr>
          <w:p>
            <w:pPr>
              <w:ind w:left="40"/>
              <w:spacing w:after="0"/>
              <w:rPr>
                <w:sz w:val="20"/>
                <w:szCs w:val="20"/>
                <w:color w:val="auto"/>
              </w:rPr>
            </w:pPr>
            <w:r>
              <w:rPr>
                <w:rFonts w:ascii="Arial" w:cs="Arial" w:eastAsia="Arial" w:hAnsi="Arial"/>
                <w:sz w:val="9"/>
                <w:szCs w:val="9"/>
                <w:b w:val="1"/>
                <w:bCs w:val="1"/>
                <w:color w:val="auto"/>
                <w:w w:val="98"/>
              </w:rPr>
              <w:t>6. Nature of Indirect Beneficial</w:t>
            </w:r>
          </w:p>
        </w:tc>
        <w:tc>
          <w:tcPr>
            <w:tcW w:w="0" w:type="dxa"/>
            <w:vAlign w:val="bottom"/>
          </w:tcPr>
          <w:p>
            <w:pPr>
              <w:spacing w:after="0"/>
              <w:rPr>
                <w:sz w:val="1"/>
                <w:szCs w:val="1"/>
                <w:color w:val="auto"/>
              </w:rPr>
            </w:pPr>
          </w:p>
        </w:tc>
      </w:tr>
      <w:tr>
        <w:trPr>
          <w:trHeight w:val="99"/>
        </w:trPr>
        <w:tc>
          <w:tcPr>
            <w:tcW w:w="390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1380" w:type="dxa"/>
            <w:vAlign w:val="bottom"/>
          </w:tcPr>
          <w:p>
            <w:pPr>
              <w:ind w:left="80"/>
              <w:spacing w:after="0" w:line="99" w:lineRule="exact"/>
              <w:rPr>
                <w:sz w:val="20"/>
                <w:szCs w:val="20"/>
                <w:color w:val="auto"/>
              </w:rPr>
            </w:pPr>
            <w:r>
              <w:rPr>
                <w:rFonts w:ascii="Arial" w:cs="Arial" w:eastAsia="Arial" w:hAnsi="Arial"/>
                <w:sz w:val="9"/>
                <w:szCs w:val="9"/>
                <w:b w:val="1"/>
                <w:bCs w:val="1"/>
                <w:color w:val="auto"/>
              </w:rPr>
              <w:t>(Instr. 4)</w:t>
            </w:r>
          </w:p>
        </w:tc>
        <w:tc>
          <w:tcPr>
            <w:tcW w:w="160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3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0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3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9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600" w:type="dxa"/>
            <w:vAlign w:val="bottom"/>
            <w:vMerge w:val="restart"/>
          </w:tcPr>
          <w:p>
            <w:pPr>
              <w:ind w:left="96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0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380" w:type="dxa"/>
            <w:vAlign w:val="bottom"/>
          </w:tcPr>
          <w:p>
            <w:pPr>
              <w:spacing w:after="0"/>
              <w:rPr>
                <w:sz w:val="8"/>
                <w:szCs w:val="8"/>
                <w:color w:val="auto"/>
              </w:rPr>
            </w:pPr>
          </w:p>
        </w:tc>
        <w:tc>
          <w:tcPr>
            <w:tcW w:w="1600" w:type="dxa"/>
            <w:vAlign w:val="bottom"/>
          </w:tcPr>
          <w:p>
            <w:pPr>
              <w:ind w:left="96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0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380" w:type="dxa"/>
            <w:vAlign w:val="bottom"/>
          </w:tcPr>
          <w:p>
            <w:pPr>
              <w:ind w:left="80"/>
              <w:spacing w:after="0"/>
              <w:rPr>
                <w:sz w:val="20"/>
                <w:szCs w:val="20"/>
                <w:color w:val="auto"/>
              </w:rPr>
            </w:pPr>
            <w:r>
              <w:rPr>
                <w:rFonts w:ascii="Arial" w:cs="Arial" w:eastAsia="Arial" w:hAnsi="Arial"/>
                <w:sz w:val="9"/>
                <w:szCs w:val="9"/>
                <w:b w:val="1"/>
                <w:bCs w:val="1"/>
                <w:color w:val="auto"/>
              </w:rPr>
              <w:t>Title</w:t>
            </w:r>
          </w:p>
        </w:tc>
        <w:tc>
          <w:tcPr>
            <w:tcW w:w="1600" w:type="dxa"/>
            <w:vAlign w:val="bottom"/>
          </w:tcPr>
          <w:p>
            <w:pPr>
              <w:ind w:left="96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pacing w:after="0" w:line="30"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38" w:lineRule="exact"/>
        <w:rPr>
          <w:sz w:val="24"/>
          <w:szCs w:val="24"/>
          <w:color w:val="auto"/>
        </w:rPr>
      </w:pPr>
    </w:p>
    <w:p>
      <w:pPr>
        <w:ind w:left="20"/>
        <w:spacing w:after="0"/>
        <w:rPr>
          <w:sz w:val="20"/>
          <w:szCs w:val="20"/>
          <w:color w:val="auto"/>
        </w:rPr>
      </w:pPr>
      <w:r>
        <w:rPr>
          <w:rFonts w:ascii="Arial" w:cs="Arial" w:eastAsia="Arial" w:hAnsi="Arial"/>
          <w:sz w:val="9"/>
          <w:szCs w:val="9"/>
          <w:color w:val="008000"/>
        </w:rPr>
        <w:t>See attached Exhibit 24 - Power of Attorney.</w:t>
      </w:r>
    </w:p>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b w:val="1"/>
          <w:bCs w:val="1"/>
          <w:color w:val="auto"/>
        </w:rPr>
        <w:t>No securities are beneficially owned.</w:t>
      </w:r>
    </w:p>
    <w:p>
      <w:pPr>
        <w:spacing w:after="0" w:line="39" w:lineRule="exact"/>
        <w:rPr>
          <w:sz w:val="24"/>
          <w:szCs w:val="24"/>
          <w:color w:val="auto"/>
        </w:rPr>
      </w:pPr>
    </w:p>
    <w:tbl>
      <w:tblPr>
        <w:tblLayout w:type="fixed"/>
        <w:tblInd w:w="6900" w:type="dxa"/>
        <w:tblCellMar>
          <w:top w:w="0" w:type="dxa"/>
          <w:left w:w="0" w:type="dxa"/>
          <w:bottom w:w="0" w:type="dxa"/>
          <w:right w:w="0" w:type="dxa"/>
        </w:tblCellMar>
      </w:tblPr>
      <w:tr>
        <w:trPr>
          <w:trHeight w:val="138"/>
        </w:trPr>
        <w:tc>
          <w:tcPr>
            <w:tcW w:w="2280" w:type="dxa"/>
            <w:vAlign w:val="bottom"/>
            <w:gridSpan w:val="2"/>
          </w:tcPr>
          <w:p>
            <w:pPr>
              <w:spacing w:after="0"/>
              <w:rPr>
                <w:sz w:val="20"/>
                <w:szCs w:val="20"/>
                <w:color w:val="auto"/>
              </w:rPr>
            </w:pPr>
            <w:r>
              <w:rPr>
                <w:rFonts w:ascii="Arial" w:cs="Arial" w:eastAsia="Arial" w:hAnsi="Arial"/>
                <w:sz w:val="12"/>
                <w:szCs w:val="12"/>
                <w:color w:val="0000FF"/>
              </w:rPr>
              <w:t>/s/ Craig L. Rosenthal, Attorney-in-Fact</w:t>
            </w:r>
          </w:p>
        </w:tc>
        <w:tc>
          <w:tcPr>
            <w:tcW w:w="540" w:type="dxa"/>
            <w:vAlign w:val="bottom"/>
          </w:tcPr>
          <w:p>
            <w:pPr>
              <w:spacing w:after="0"/>
              <w:rPr>
                <w:sz w:val="20"/>
                <w:szCs w:val="20"/>
                <w:color w:val="auto"/>
              </w:rPr>
            </w:pPr>
            <w:r>
              <w:rPr>
                <w:rFonts w:ascii="Arial" w:cs="Arial" w:eastAsia="Arial" w:hAnsi="Arial"/>
                <w:sz w:val="12"/>
                <w:szCs w:val="12"/>
                <w:color w:val="0000FF"/>
                <w:w w:val="86"/>
              </w:rPr>
              <w:t>10/16/2019</w:t>
            </w:r>
          </w:p>
        </w:tc>
      </w:tr>
      <w:tr>
        <w:trPr>
          <w:trHeight w:val="150"/>
        </w:trPr>
        <w:tc>
          <w:tcPr>
            <w:tcW w:w="1860" w:type="dxa"/>
            <w:vAlign w:val="bottom"/>
            <w:tcBorders>
              <w:top w:val="single" w:sz="8" w:color="auto"/>
            </w:tcBorders>
          </w:tcPr>
          <w:p>
            <w:pPr>
              <w:spacing w:after="0"/>
              <w:rPr>
                <w:sz w:val="20"/>
                <w:szCs w:val="20"/>
                <w:color w:val="auto"/>
              </w:rPr>
            </w:pPr>
            <w:r>
              <w:rPr>
                <w:rFonts w:ascii="Arial" w:cs="Arial" w:eastAsia="Arial" w:hAnsi="Arial"/>
                <w:sz w:val="9"/>
                <w:szCs w:val="9"/>
                <w:color w:val="auto"/>
              </w:rPr>
              <w:t>** Signature of Reporting Person</w:t>
            </w:r>
          </w:p>
        </w:tc>
        <w:tc>
          <w:tcPr>
            <w:tcW w:w="4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Exhibit 24</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SECTION 16</w:t>
      </w:r>
    </w:p>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138"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Craig L. Rosenthal, and his successor in office and designee, the undersigned's true</w:t>
      </w:r>
    </w:p>
    <w:p>
      <w:pPr>
        <w:spacing w:after="0" w:line="146" w:lineRule="exact"/>
        <w:rPr>
          <w:sz w:val="20"/>
          <w:szCs w:val="20"/>
          <w:color w:val="auto"/>
        </w:rPr>
      </w:pPr>
    </w:p>
    <w:p>
      <w:pPr>
        <w:ind w:left="488" w:hanging="488"/>
        <w:spacing w:after="0"/>
        <w:tabs>
          <w:tab w:leader="none" w:pos="4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w:t>
      </w:r>
    </w:p>
    <w:p>
      <w:pPr>
        <w:spacing w:after="0" w:line="145" w:lineRule="exact"/>
        <w:rPr>
          <w:rFonts w:ascii="Courier New" w:cs="Courier New" w:eastAsia="Courier New" w:hAnsi="Courier New"/>
          <w:sz w:val="11"/>
          <w:szCs w:val="11"/>
          <w:color w:val="auto"/>
        </w:rPr>
      </w:pPr>
    </w:p>
    <w:p>
      <w:pPr>
        <w:ind w:left="488" w:hanging="488"/>
        <w:spacing w:after="0"/>
        <w:tabs>
          <w:tab w:leader="none" w:pos="4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and file for and on behalf of the undersigned, in the undersigned's capacity as an officer of BellRing Brands, Inc.  (the "Company"), Forms 3, 4 and</w:t>
      </w:r>
    </w:p>
    <w:p>
      <w:pPr>
        <w:spacing w:after="0" w:line="145" w:lineRule="exact"/>
        <w:rPr>
          <w:rFonts w:ascii="Courier New" w:cs="Courier New" w:eastAsia="Courier New" w:hAnsi="Courier New"/>
          <w:sz w:val="11"/>
          <w:szCs w:val="11"/>
          <w:color w:val="auto"/>
        </w:rPr>
      </w:pPr>
    </w:p>
    <w:p>
      <w:pPr>
        <w:ind w:left="488" w:hanging="488"/>
        <w:spacing w:after="0"/>
        <w:tabs>
          <w:tab w:leader="none" w:pos="4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 co</w:t>
      </w:r>
    </w:p>
    <w:p>
      <w:pPr>
        <w:spacing w:after="0" w:line="145" w:lineRule="exact"/>
        <w:rPr>
          <w:rFonts w:ascii="Courier New" w:cs="Courier New" w:eastAsia="Courier New" w:hAnsi="Courier New"/>
          <w:sz w:val="11"/>
          <w:szCs w:val="11"/>
          <w:color w:val="auto"/>
        </w:rPr>
      </w:pPr>
    </w:p>
    <w:p>
      <w:pPr>
        <w:jc w:val="both"/>
        <w:ind w:left="8" w:hanging="8"/>
        <w:spacing w:after="0" w:line="474" w:lineRule="auto"/>
        <w:tabs>
          <w:tab w:leader="none" w:pos="5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 The undersigned hereby grants to such attorney-in-fact full power and authority to do and perform any and every act and thing whatsoever requisite, necessary, or pr This Power of Attorney shall remain in full force and effect until the undersigned is no longer required to file Forms 3, 4 and 5 with respect to the undersigned's IN WITNESS WHEREOF, the undersigned has caused this Power of Attorney to be executed as of this 2 day of October, 2019.</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Darcy Horn Davenport</w:t>
      </w:r>
    </w:p>
    <w:p>
      <w:pPr>
        <w:ind w:left="8"/>
        <w:spacing w:after="0"/>
        <w:rPr>
          <w:sz w:val="20"/>
          <w:szCs w:val="20"/>
          <w:color w:val="auto"/>
        </w:rPr>
      </w:pPr>
      <w:r>
        <w:rPr>
          <w:rFonts w:ascii="Courier New" w:cs="Courier New" w:eastAsia="Courier New" w:hAnsi="Courier New"/>
          <w:sz w:val="12"/>
          <w:szCs w:val="12"/>
          <w:color w:val="auto"/>
        </w:rPr>
        <w:t>Darcy Horn Davenport</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90322" TargetMode="External"/><Relationship Id="rId12"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2019-12-24T09:22:56Z</dcterms:created>
  <dcterms:modified xsi:type="dcterms:W3CDTF">2019-12-24T09:22:56Z</dcterms:modified>
</cp:coreProperties>
</file>