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4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-227330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5243195</wp:posOffset>
            </wp:positionH>
            <wp:positionV relativeFrom="paragraph">
              <wp:posOffset>-615950</wp:posOffset>
            </wp:positionV>
            <wp:extent cx="57785" cy="629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3955415</wp:posOffset>
            </wp:positionH>
            <wp:positionV relativeFrom="paragraph">
              <wp:posOffset>-615950</wp:posOffset>
            </wp:positionV>
            <wp:extent cx="57785" cy="629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-1662430</wp:posOffset>
            </wp:positionH>
            <wp:positionV relativeFrom="paragraph">
              <wp:posOffset>20955</wp:posOffset>
            </wp:positionV>
            <wp:extent cx="7047865" cy="47580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758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400"/>
            <w:col w:w="8480"/>
          </w:cols>
          <w:pgMar w:left="460" w:top="216" w:right="359" w:bottom="1440" w:gutter="0" w:footer="0" w:header="0"/>
        </w:sectPr>
      </w:pP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Nwamu Chonda J</w:t>
        </w:r>
      </w:hyperlink>
    </w:p>
    <w:p>
      <w:pPr>
        <w:spacing w:after="0" w:line="29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BELLRING BRANDS, INC.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2503 S. HANLEY ROAD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ST. LOUIS</w:t>
            </w:r>
          </w:p>
        </w:tc>
        <w:tc>
          <w:tcPr>
            <w:tcW w:w="13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MO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63144</w:t>
            </w: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 w:line="139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BELLRING BRANDS,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BRBR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06/28/2024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20" w:right="400"/>
        <w:spacing w:after="0" w:line="2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BellRing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70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Brands,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Inc.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06/28/2024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466.678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466.678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57.14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6,023.834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00" w:type="dxa"/>
            <w:vAlign w:val="bottom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Equivalents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260" w:hanging="1"/>
        <w:spacing w:after="0" w:line="237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Reporting Person's retainer earned as a Director of Issuer is deferred into Issuer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Issuer Common Stock upon Reporting Person's retirement from the Board of Directors.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2. The Common Stock equivalents have no fixed exercisable or expiration dates.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Craig L. Rosenthal,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-3175</wp:posOffset>
            </wp:positionV>
            <wp:extent cx="13423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2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-10795</wp:posOffset>
            </wp:positionV>
            <wp:extent cx="2876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07/02/2024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-3175</wp:posOffset>
            </wp:positionV>
            <wp:extent cx="4768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00" w:space="10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20" w:hanging="1"/>
        <w:spacing w:after="0" w:line="33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64398" TargetMode="External"/><Relationship Id="rId13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2024-07-02T15:48:17Z</dcterms:created>
  <dcterms:modified xsi:type="dcterms:W3CDTF">2024-07-02T15:48:17Z</dcterms:modified>
</cp:coreProperties>
</file>