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422275</wp:posOffset>
            </wp:positionV>
            <wp:extent cx="1842770"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February 22, 2022, BellRing Distribution, LLC (“New BellRing”), currently a wholly-owned subsidiary of Post Holdings, Inc. (“Post”), announced that it intends to commence a private offering (the “Offering”) by Selling Noteholders (as defined below) of $840.0 million in aggregate principal amount of New BellRing’s senior notes due 2032 (the “Notes”) to eligible purchasers.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intend to offer the Notes for sale to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stockholders in connection with the Merger. New BellRing will not receive any proceeds from the Offering of the Notes by the Selling Noteholders.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Notes are issued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Completion of the Offering will be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relating to the Notes and the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5"/>
                <w:szCs w:val="15"/>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5260" w:type="dxa"/>
            <w:vAlign w:val="bottom"/>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80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22, 2022</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New BellRing to Post shareholders, including the amount of New BellRing equity Post intends to distribute, the form of the distribution, the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cash Post intends to contribute to New BellRing and New BellRing’s intended use of the cash it receives from Post. There is no assurance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offering or the proposed distribution will be completed as anticipated or at all, and there are a number of risks, uncertainties and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could cause actual results to differ materially from the forward-looking statements made herein, including risks relating to unanticipated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developments that prevent, delay or negatively impact the proposed offering or the proposed distribution, the rapidly changing situation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COVID-19 pandemic and other financial, operational and legal risks and uncertainties described in Post’s filings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“SEC”). These forward-looking statements represent Post’s judgment as of the date of this filing. Post disclaims, however, any intent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obligation to update these forward-looking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t>
      </w:r>
      <w:r>
        <w:rPr>
          <w:rFonts w:ascii="Arial" w:cs="Arial" w:eastAsia="Arial" w:hAnsi="Arial"/>
          <w:sz w:val="17"/>
          <w:szCs w:val="17"/>
          <w:u w:val="single" w:color="auto"/>
          <w:color w:val="auto"/>
        </w:rPr>
        <w:t>www.bellring.com</w:t>
      </w:r>
      <w:r>
        <w:rPr>
          <w:rFonts w:ascii="Arial" w:cs="Arial" w:eastAsia="Arial" w:hAnsi="Arial"/>
          <w:sz w:val="17"/>
          <w:szCs w:val="17"/>
          <w:color w:val="auto"/>
        </w:rPr>
        <w: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22,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Commencement of Senior Notes Offering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 LOUIS, February 22, 2022 </w:t>
      </w:r>
      <w:r>
        <w:rPr>
          <w:rFonts w:ascii="Arial" w:cs="Arial" w:eastAsia="Arial" w:hAnsi="Arial"/>
          <w:sz w:val="17"/>
          <w:szCs w:val="17"/>
          <w:color w:val="auto"/>
        </w:rPr>
        <w:t>– BellRing Distribution, LLC (“New BellRing”) today announced that it intends to commence a private offering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purchasers of $840.0 million in aggregate principal amount of senior notes due 2032 (the “Notes”). The Notes are being offered in connection with the transactions involved with Post Holdings, Inc.’s (“Post”) anticipated spin-off of 80.1% of its interest in New BellRing to Post shareholders, and completion of the Notes offering is conditioned upon, in addition to market and certain other conditions, the substantially concurrent completion of the spin-off and the related merger of a subsidiary of New BellRing into BellRing Brands, Inc. (“BellRing”).</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intend to offer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The final terms and amounts of the Notes are subject to market and other conditions, and may be materially different than expectations.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are being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and Dymatize</w:t>
      </w:r>
      <w:r>
        <w:rPr>
          <w:rFonts w:ascii="Arial" w:cs="Arial" w:eastAsia="Arial" w:hAnsi="Arial"/>
          <w:sz w:val="15"/>
          <w:szCs w:val="15"/>
          <w:i w:val="1"/>
          <w:iCs w:val="1"/>
          <w:color w:val="auto"/>
        </w:rPr>
        <w:t>®</w:t>
      </w:r>
      <w:r>
        <w:rPr>
          <w:rFonts w:ascii="Arial" w:cs="Arial" w:eastAsia="Arial" w:hAnsi="Arial"/>
          <w:sz w:val="18"/>
          <w:szCs w:val="18"/>
          <w:i w:val="1"/>
          <w:iCs w:val="1"/>
          <w:color w:val="auto"/>
        </w:rPr>
        <w:t>, appeal to a broad range of consumers and are distributed across a diverse network of</w:t>
      </w:r>
      <w:r>
        <w:rPr>
          <w:rFonts w:ascii="Arial" w:cs="Arial" w:eastAsia="Arial" w:hAnsi="Arial"/>
          <w:sz w:val="18"/>
          <w:szCs w:val="18"/>
          <w:color w:val="auto"/>
        </w:rPr>
        <w:t xml:space="preserve"> </w:t>
      </w:r>
      <w:r>
        <w:rPr>
          <w:rFonts w:ascii="Arial" w:cs="Arial" w:eastAsia="Arial" w:hAnsi="Arial"/>
          <w:sz w:val="18"/>
          <w:szCs w:val="18"/>
          <w:i w:val="1"/>
          <w:iCs w:val="1"/>
          <w:color w:val="auto"/>
        </w:rPr>
        <w:t>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2022-02-22T09:08:38Z</dcterms:created>
  <dcterms:modified xsi:type="dcterms:W3CDTF">2022-02-22T09:08:38Z</dcterms:modified>
</cp:coreProperties>
</file>