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236" w:lineRule="exact"/>
        <w:rPr>
          <w:sz w:val="24"/>
          <w:szCs w:val="24"/>
          <w:color w:val="auto"/>
        </w:rPr>
      </w:pPr>
    </w:p>
    <w:p>
      <w:pPr>
        <w:ind w:left="4860"/>
        <w:spacing w:after="0"/>
        <w:rPr>
          <w:sz w:val="20"/>
          <w:szCs w:val="20"/>
          <w:color w:val="auto"/>
        </w:rPr>
      </w:pPr>
      <w:r>
        <w:rPr>
          <w:rFonts w:ascii="Arial" w:cs="Arial" w:eastAsia="Arial" w:hAnsi="Arial"/>
          <w:sz w:val="29"/>
          <w:szCs w:val="29"/>
          <w:b w:val="1"/>
          <w:bCs w:val="1"/>
          <w:color w:val="auto"/>
        </w:rPr>
        <w:t>FORM 11-K</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1" w:lineRule="exact"/>
        <w:rPr>
          <w:sz w:val="24"/>
          <w:szCs w:val="24"/>
          <w:color w:val="auto"/>
        </w:rPr>
      </w:pPr>
    </w:p>
    <w:p>
      <w:pPr>
        <w:ind w:left="4660" w:right="1239" w:hanging="4652"/>
        <w:spacing w:after="0" w:line="269" w:lineRule="auto"/>
        <w:tabs>
          <w:tab w:leader="none" w:pos="364"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5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For the year ended December 31, 2020</w:t>
      </w:r>
    </w:p>
    <w:p>
      <w:pPr>
        <w:spacing w:after="0" w:line="274"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274" w:lineRule="exact"/>
        <w:rPr>
          <w:sz w:val="24"/>
          <w:szCs w:val="24"/>
          <w:color w:val="auto"/>
        </w:rPr>
      </w:pPr>
    </w:p>
    <w:p>
      <w:pPr>
        <w:ind w:left="4320" w:right="2079" w:hanging="4312"/>
        <w:spacing w:after="0" w:line="293" w:lineRule="auto"/>
        <w:tabs>
          <w:tab w:leader="none" w:pos="363"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31"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transition period from _____ to _____</w:t>
      </w:r>
    </w:p>
    <w:p>
      <w:pPr>
        <w:spacing w:after="0" w:line="274"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b w:val="1"/>
          <w:bCs w:val="1"/>
          <w:u w:val="single" w:color="auto"/>
          <w:color w:val="auto"/>
        </w:rPr>
        <w:t>1-39093</w:t>
      </w:r>
    </w:p>
    <w:p>
      <w:pPr>
        <w:spacing w:after="0" w:line="271" w:lineRule="exact"/>
        <w:rPr>
          <w:sz w:val="24"/>
          <w:szCs w:val="24"/>
          <w:color w:val="auto"/>
        </w:rPr>
      </w:pPr>
    </w:p>
    <w:p>
      <w:pPr>
        <w:ind w:left="440" w:hanging="432"/>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title of the plan and the address of the plan, if different from that of the issuer named below:</w:t>
      </w:r>
    </w:p>
    <w:p>
      <w:pPr>
        <w:spacing w:after="0" w:line="254"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BellRing Brands, Inc. 401(k) Plan</w:t>
      </w:r>
    </w:p>
    <w:p>
      <w:pPr>
        <w:spacing w:after="0" w:line="289" w:lineRule="exact"/>
        <w:rPr>
          <w:sz w:val="24"/>
          <w:szCs w:val="24"/>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179070</wp:posOffset>
            </wp:positionV>
            <wp:extent cx="172275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BellRing Brands, Inc.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2503 S. Hanley Road</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St. Louis, MO 63144</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gridSpan w:val="8"/>
          </w:tcPr>
          <w:p>
            <w:pPr>
              <w:jc w:val="center"/>
              <w:ind w:right="4480"/>
              <w:spacing w:after="0"/>
              <w:rPr>
                <w:sz w:val="20"/>
                <w:szCs w:val="20"/>
                <w:color w:val="auto"/>
              </w:rPr>
            </w:pPr>
            <w:r>
              <w:rPr>
                <w:rFonts w:ascii="Arial" w:cs="Arial" w:eastAsia="Arial" w:hAnsi="Arial"/>
                <w:sz w:val="18"/>
                <w:szCs w:val="18"/>
                <w:b w:val="1"/>
                <w:bCs w:val="1"/>
                <w:color w:val="auto"/>
                <w:w w:val="91"/>
              </w:rPr>
              <w:t>BellRing Brands, Inc.</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gridSpan w:val="8"/>
          </w:tcPr>
          <w:p>
            <w:pPr>
              <w:jc w:val="center"/>
              <w:ind w:right="4500"/>
              <w:spacing w:after="0"/>
              <w:rPr>
                <w:sz w:val="20"/>
                <w:szCs w:val="20"/>
                <w:color w:val="auto"/>
              </w:rPr>
            </w:pPr>
            <w:r>
              <w:rPr>
                <w:rFonts w:ascii="Arial" w:cs="Arial" w:eastAsia="Arial" w:hAnsi="Arial"/>
                <w:sz w:val="18"/>
                <w:szCs w:val="18"/>
                <w:b w:val="1"/>
                <w:bCs w:val="1"/>
                <w:color w:val="auto"/>
                <w:w w:val="92"/>
              </w:rPr>
              <w:t>401(k) Plan</w:t>
            </w: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gridSpan w:val="8"/>
          </w:tcPr>
          <w:p>
            <w:pPr>
              <w:jc w:val="center"/>
              <w:ind w:right="4500"/>
              <w:spacing w:after="0"/>
              <w:rPr>
                <w:sz w:val="20"/>
                <w:szCs w:val="20"/>
                <w:color w:val="auto"/>
              </w:rPr>
            </w:pPr>
            <w:r>
              <w:rPr>
                <w:rFonts w:ascii="Arial" w:cs="Arial" w:eastAsia="Arial" w:hAnsi="Arial"/>
                <w:sz w:val="18"/>
                <w:szCs w:val="18"/>
                <w:b w:val="1"/>
                <w:bCs w:val="1"/>
                <w:color w:val="auto"/>
                <w:w w:val="89"/>
              </w:rPr>
              <w:t>Table of Contents</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940" w:type="dxa"/>
            <w:vAlign w:val="bottom"/>
            <w:gridSpan w:val="7"/>
          </w:tcPr>
          <w:p>
            <w:pPr>
              <w:spacing w:after="0"/>
              <w:rPr>
                <w:sz w:val="20"/>
                <w:szCs w:val="20"/>
                <w:color w:val="auto"/>
              </w:rPr>
            </w:pPr>
            <w:r>
              <w:rPr>
                <w:rFonts w:ascii="Arial" w:cs="Arial" w:eastAsia="Arial" w:hAnsi="Arial"/>
                <w:sz w:val="18"/>
                <w:szCs w:val="18"/>
                <w:color w:val="auto"/>
              </w:rPr>
              <w:t>Page</w:t>
            </w: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4480" w:type="dxa"/>
            <w:vAlign w:val="bottom"/>
            <w:gridSpan w:val="7"/>
            <w:shd w:val="clear" w:color="auto" w:fill="CCEEFF"/>
          </w:tcPr>
          <w:p>
            <w:pPr>
              <w:spacing w:after="0" w:line="189" w:lineRule="exact"/>
              <w:rPr>
                <w:rFonts w:ascii="Arial" w:cs="Arial" w:eastAsia="Arial" w:hAnsi="Arial"/>
                <w:sz w:val="18"/>
                <w:szCs w:val="18"/>
                <w:color w:val="0000FF"/>
                <w:w w:val="96"/>
              </w:rPr>
            </w:pPr>
            <w:hyperlink w:anchor="page2">
              <w:r>
                <w:rPr>
                  <w:rFonts w:ascii="Arial" w:cs="Arial" w:eastAsia="Arial" w:hAnsi="Arial"/>
                  <w:sz w:val="18"/>
                  <w:szCs w:val="18"/>
                  <w:color w:val="0000FF"/>
                  <w:w w:val="96"/>
                </w:rPr>
                <w:t>Report of Independent Registered Public Accounting Firm</w:t>
              </w:r>
            </w:hyperlink>
          </w:p>
        </w:tc>
        <w:tc>
          <w:tcPr>
            <w:tcW w:w="6020" w:type="dxa"/>
            <w:vAlign w:val="bottom"/>
            <w:gridSpan w:val="6"/>
            <w:shd w:val="clear" w:color="auto" w:fill="CCEEFF"/>
          </w:tcPr>
          <w:p>
            <w:pPr>
              <w:jc w:val="center"/>
              <w:ind w:left="57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29"/>
        </w:trPr>
        <w:tc>
          <w:tcPr>
            <w:tcW w:w="44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5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89"/>
        </w:trPr>
        <w:tc>
          <w:tcPr>
            <w:tcW w:w="4480" w:type="dxa"/>
            <w:vAlign w:val="bottom"/>
            <w:gridSpan w:val="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Statement of Net Assets Available for Benefits</w:t>
              </w:r>
            </w:hyperlink>
          </w:p>
        </w:tc>
        <w:tc>
          <w:tcPr>
            <w:tcW w:w="6020" w:type="dxa"/>
            <w:vAlign w:val="bottom"/>
            <w:gridSpan w:val="6"/>
          </w:tcPr>
          <w:p>
            <w:pPr>
              <w:jc w:val="center"/>
              <w:ind w:left="577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480" w:type="dxa"/>
            <w:vAlign w:val="bottom"/>
            <w:gridSpan w:val="7"/>
          </w:tcPr>
          <w:p>
            <w:pPr>
              <w:spacing w:after="0" w:line="189" w:lineRule="exact"/>
              <w:rPr>
                <w:rFonts w:ascii="Arial" w:cs="Arial" w:eastAsia="Arial" w:hAnsi="Arial"/>
                <w:sz w:val="18"/>
                <w:szCs w:val="18"/>
                <w:color w:val="0000FF"/>
                <w:w w:val="96"/>
              </w:rPr>
            </w:pPr>
            <w:hyperlink w:anchor="page4">
              <w:r>
                <w:rPr>
                  <w:rFonts w:ascii="Arial" w:cs="Arial" w:eastAsia="Arial" w:hAnsi="Arial"/>
                  <w:sz w:val="18"/>
                  <w:szCs w:val="18"/>
                  <w:color w:val="0000FF"/>
                  <w:w w:val="96"/>
                </w:rPr>
                <w:t>Statement of Changes in Net Assets Available for Benefits</w:t>
              </w:r>
            </w:hyperlink>
          </w:p>
        </w:tc>
        <w:tc>
          <w:tcPr>
            <w:tcW w:w="6020" w:type="dxa"/>
            <w:vAlign w:val="bottom"/>
            <w:gridSpan w:val="6"/>
          </w:tcPr>
          <w:p>
            <w:pPr>
              <w:jc w:val="center"/>
              <w:ind w:left="57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480" w:type="dxa"/>
            <w:vAlign w:val="bottom"/>
            <w:gridSpan w:val="7"/>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Notes to Financial Statements</w:t>
              </w:r>
            </w:hyperlink>
          </w:p>
        </w:tc>
        <w:tc>
          <w:tcPr>
            <w:tcW w:w="6020" w:type="dxa"/>
            <w:vAlign w:val="bottom"/>
            <w:gridSpan w:val="6"/>
          </w:tcPr>
          <w:p>
            <w:pPr>
              <w:jc w:val="center"/>
              <w:ind w:left="5770"/>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0"/>
        </w:trPr>
        <w:tc>
          <w:tcPr>
            <w:tcW w:w="4480" w:type="dxa"/>
            <w:vAlign w:val="bottom"/>
            <w:gridSpan w:val="7"/>
          </w:tcPr>
          <w:p>
            <w:pPr>
              <w:spacing w:after="0"/>
              <w:rPr>
                <w:sz w:val="20"/>
                <w:szCs w:val="20"/>
                <w:color w:val="auto"/>
              </w:rPr>
            </w:pPr>
            <w:r>
              <w:rPr>
                <w:rFonts w:ascii="Arial" w:cs="Arial" w:eastAsia="Arial" w:hAnsi="Arial"/>
                <w:sz w:val="18"/>
                <w:szCs w:val="18"/>
                <w:b w:val="1"/>
                <w:bCs w:val="1"/>
                <w:color w:val="auto"/>
              </w:rPr>
              <w:t>Supplemental Information</w:t>
            </w:r>
          </w:p>
        </w:tc>
        <w:tc>
          <w:tcPr>
            <w:tcW w:w="5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4480" w:type="dxa"/>
            <w:vAlign w:val="bottom"/>
            <w:gridSpan w:val="7"/>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Schedule of Assets (Held at End of Year)</w:t>
              </w:r>
            </w:hyperlink>
          </w:p>
        </w:tc>
        <w:tc>
          <w:tcPr>
            <w:tcW w:w="6020" w:type="dxa"/>
            <w:vAlign w:val="bottom"/>
            <w:gridSpan w:val="6"/>
            <w:shd w:val="clear" w:color="auto" w:fill="CCEEFF"/>
          </w:tcPr>
          <w:p>
            <w:pPr>
              <w:jc w:val="center"/>
              <w:ind w:left="577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9</w:t>
              </w:r>
            </w:hyperlink>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10"/>
        </w:trPr>
        <w:tc>
          <w:tcPr>
            <w:tcW w:w="4480" w:type="dxa"/>
            <w:vAlign w:val="bottom"/>
            <w:gridSpan w:val="7"/>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Signatures</w:t>
              </w:r>
            </w:hyperlink>
          </w:p>
        </w:tc>
        <w:tc>
          <w:tcPr>
            <w:tcW w:w="6020" w:type="dxa"/>
            <w:vAlign w:val="bottom"/>
            <w:gridSpan w:val="6"/>
            <w:shd w:val="clear" w:color="auto" w:fill="CCEEFF"/>
          </w:tcPr>
          <w:p>
            <w:pPr>
              <w:jc w:val="center"/>
              <w:ind w:left="5750"/>
              <w:spacing w:after="0" w:line="189"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189"/>
        </w:trPr>
        <w:tc>
          <w:tcPr>
            <w:tcW w:w="4480" w:type="dxa"/>
            <w:vAlign w:val="bottom"/>
            <w:gridSpan w:val="7"/>
            <w:shd w:val="clear" w:color="auto" w:fill="CCEEFF"/>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Exhibit Index</w:t>
              </w:r>
            </w:hyperlink>
          </w:p>
        </w:tc>
        <w:tc>
          <w:tcPr>
            <w:tcW w:w="6020" w:type="dxa"/>
            <w:vAlign w:val="bottom"/>
            <w:gridSpan w:val="6"/>
            <w:shd w:val="clear" w:color="auto" w:fill="CCEEFF"/>
          </w:tcPr>
          <w:p>
            <w:pPr>
              <w:jc w:val="center"/>
              <w:ind w:left="5770"/>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60" w:top="931" w:right="359" w:bottom="1440" w:gutter="0" w:footer="0" w:header="0"/>
        </w:sectPr>
      </w:pPr>
    </w:p>
    <w:bookmarkStart w:id="2" w:name="page3"/>
    <w:bookmarkEnd w:id="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Employee Benefit Trustees Committee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 and Administrator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statement of net assets available for benefits of the BellRing Brands, Inc. 401(k) Plan (the Plan) as of December 31, 2020, and the related statement of changes in net assets available for benefits for the year ended December 31, 2020, and the related notes and schedule (collectively referred to as the financial statements). In our opinion, the financial statements present fairly, in all material respects, the net assets available for benefits of the BellRing Brands, Inc. 401(k) Plan as of December 31, 2020, and the changes in net assets available for benefits for the year ended December 31, 2020,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supplemental information contained in the Schedule of Assets (Held at End of Year) as of December 31, 2020,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Brown Smith Wallace,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7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638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w w:val="91"/>
              </w:rPr>
              <w:t>BellRing Brands, Inc.</w:t>
            </w:r>
          </w:p>
        </w:tc>
        <w:tc>
          <w:tcPr>
            <w:tcW w:w="168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638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92"/>
              </w:rPr>
              <w:t>401(k) Plan</w:t>
            </w:r>
          </w:p>
        </w:tc>
        <w:tc>
          <w:tcPr>
            <w:tcW w:w="168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638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88"/>
              </w:rPr>
              <w:t>Statement of Net Assets Available for Benefits</w:t>
            </w:r>
          </w:p>
        </w:tc>
        <w:tc>
          <w:tcPr>
            <w:tcW w:w="168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638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w w:val="88"/>
              </w:rPr>
              <w:t>(in thousands)</w:t>
            </w:r>
          </w:p>
        </w:tc>
        <w:tc>
          <w:tcPr>
            <w:tcW w:w="1680" w:type="dxa"/>
            <w:vAlign w:val="bottom"/>
          </w:tcPr>
          <w:p>
            <w:pPr>
              <w:spacing w:after="0"/>
              <w:rPr>
                <w:sz w:val="20"/>
                <w:szCs w:val="20"/>
                <w:color w:val="auto"/>
              </w:rPr>
            </w:pPr>
          </w:p>
        </w:tc>
      </w:tr>
      <w:tr>
        <w:trPr>
          <w:trHeight w:val="456"/>
        </w:trPr>
        <w:tc>
          <w:tcPr>
            <w:tcW w:w="3180" w:type="dxa"/>
            <w:vAlign w:val="bottom"/>
            <w:tcBorders>
              <w:bottom w:val="single" w:sz="8" w:color="CCEEFF"/>
            </w:tcBorders>
          </w:tcPr>
          <w:p>
            <w:pPr>
              <w:spacing w:after="0"/>
              <w:rPr>
                <w:sz w:val="24"/>
                <w:szCs w:val="24"/>
                <w:color w:val="auto"/>
              </w:rPr>
            </w:pPr>
          </w:p>
        </w:tc>
        <w:tc>
          <w:tcPr>
            <w:tcW w:w="6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6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 from participants</w:t>
            </w:r>
          </w:p>
        </w:tc>
        <w:tc>
          <w:tcPr>
            <w:tcW w:w="6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6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38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BellRing Brands, Inc.</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80" w:type="dxa"/>
            <w:vAlign w:val="bottom"/>
          </w:tcPr>
          <w:p>
            <w:pPr>
              <w:jc w:val="center"/>
              <w:ind w:left="1770"/>
              <w:spacing w:after="0"/>
              <w:rPr>
                <w:sz w:val="20"/>
                <w:szCs w:val="20"/>
                <w:color w:val="auto"/>
              </w:rPr>
            </w:pPr>
            <w:r>
              <w:rPr>
                <w:rFonts w:ascii="Arial" w:cs="Arial" w:eastAsia="Arial" w:hAnsi="Arial"/>
                <w:sz w:val="18"/>
                <w:szCs w:val="18"/>
                <w:b w:val="1"/>
                <w:bCs w:val="1"/>
                <w:color w:val="auto"/>
                <w:w w:val="92"/>
              </w:rPr>
              <w:t>401(k) Plan</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38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Statement of Changes in Net Assets Available for Benefits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938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5"/>
        </w:trPr>
        <w:tc>
          <w:tcPr>
            <w:tcW w:w="938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Year Ended December 31,</w:t>
            </w:r>
          </w:p>
        </w:tc>
      </w:tr>
      <w:tr>
        <w:trPr>
          <w:trHeight w:val="213"/>
        </w:trPr>
        <w:tc>
          <w:tcPr>
            <w:tcW w:w="93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2020</w:t>
            </w:r>
          </w:p>
        </w:tc>
      </w:tr>
      <w:tr>
        <w:trPr>
          <w:trHeight w:val="212"/>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dividend income, investments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appreciation in fair value of investments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23"/>
        </w:trPr>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r>
      <w:tr>
        <w:trPr>
          <w:trHeight w:val="237"/>
        </w:trPr>
        <w:tc>
          <w:tcPr>
            <w:tcW w:w="9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Employer</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Rollovers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23"/>
        </w:trPr>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contributions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237"/>
        </w:trPr>
        <w:tc>
          <w:tcPr>
            <w:tcW w:w="9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notes receivable from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93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36"/>
        </w:trPr>
        <w:tc>
          <w:tcPr>
            <w:tcW w:w="9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Deductions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Payment of benefits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deductions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37"/>
        </w:trPr>
        <w:tc>
          <w:tcPr>
            <w:tcW w:w="9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before transfers, in net assets available for benefits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r>
      <w:tr>
        <w:trPr>
          <w:trHeight w:val="236"/>
        </w:trPr>
        <w:tc>
          <w:tcPr>
            <w:tcW w:w="9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Transfers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transfers in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r>
      <w:tr>
        <w:trPr>
          <w:trHeight w:val="256"/>
        </w:trPr>
        <w:tc>
          <w:tcPr>
            <w:tcW w:w="93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assets available for benefits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w:t>
            </w:r>
          </w:p>
        </w:tc>
      </w:tr>
      <w:tr>
        <w:trPr>
          <w:trHeight w:val="237"/>
        </w:trPr>
        <w:tc>
          <w:tcPr>
            <w:tcW w:w="9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period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 of period</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BellRing Brands, Inc.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PLAN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description of the BellRing Brands, Inc. 401(k) Plan (the “Plan”) provides only general information. Participants should refer to the Plan document for a more complete description of the Plan’s provisions.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21, 2019, BellRing Brands, Inc. (“BellRing Inc.”) closed its initial public offering (the “IPO”) of its Class A common stock, $0.01 par value per share (the “Class A common stock”) and contributed the net proceeds from the IPO to BellRing Brands, LLC, a Delaware limited liability company and subsidiary of BellRing Inc. (“BellRing LLC”), in exchange for BellRing LLC non-voting membership units (“BellRing LLC units”) which represented 28.8% of the economic interest in BellRing LLC as of December 31, 2020. As a result of the IPO and certain other transactions completed in connection with the IPO, BellRing LLC became the holder of the active nutrition business of Post Holdings, Inc. (“Post”). Post’s ownership of BellRing LLC units represented 71.2% of the economic interest in BellRing LLC as of December 31, 2020.</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BellRing Inc. adopted the Plan on January 1, 2020 (the “Effective Date”). BellRing employees who were participants in the Post Savings Investment Plan (the “Post Plan”) at the Effective Date ceased participation in the Post Plan and were no longer eligible to make contributions to the Post Plan. Current BellRing employees’ account balances in the Post Plan were transferred from the trust for the Post Plan to the trust for the Plan (“trust-to-trust transfer”) following the Effective Date. Former BellRing employees’ account balances that were still in the Post Plan prior to the Effective Date were not transferred in the trust-to-trust transfer. The trust for the Plan received $14,102,923 as part of the trust-to-trust transfer, and also received notes from participant loans valued at $172,335.</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a defined contribution plan, the purpose of which is to permit deferrals of compensation by eligible employees of the Company and to provide these employees with the opportunity to invest in funds for the purpose of saving for retirement.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intended to qualify as a cash or deferred profit sharing plan under section 401(k) of the Code.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Participation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regular domestic employees of the Company are eligible to participate in the Plan subject to the Plan’s eligibility rules. Eligible employees generally may begin making employee deferrals on their date of hire. Eligibility for Company matching contributions generally begins on the first day of the calendar month following 12 months of service.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Plan is administered by BellRing Inc., with certain ministerial functions associated with day-to-day administration delegated to Post. Except for matters required by the terms of the Plan to be decided by the trustee or matters delegated to the BellRing Brands, Inc.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the pre-tax contribution amount, Roth contribution (after-tax) amount or combination of pre-tax and Roth contributions was limited to $19,500 per calendar year for each participant, and a catch-up contribution for individuals ages 50 or over was limited to $6,500 per calendar year for each participant. Subject to such limitations, participants may generally make Roth or pre-tax contributions of 1% to 50% of their compensation in 1% increments.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contributions may be invested in any of the available investment funds. Participant contributions and earnings thereon are vested and non-forfeitable from the time made.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31"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The Company generally matches a percentage of compensation that a participant contributes to the Plan in amounts defined by the terms of the Plan, beginning on the first month following one year of service. Company contributions and earnings generally vest 100% upon eligibility.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contributions are deposited by the Company in trust funds held by Vanguard Fiduciary Trust Company (“Vanguard”) or any successor trustee as may be selected by the EBTC. The values of the trust funds change according to increases or decreases in the values of the assets, gains or losses on sales of assets held therein and income from dividends and interest. In addition, Vanguard performs all record-keeping functions for the Plan. The trustee maintains as many separate investment funds within its trust funds, with such different investment objectives, as the EBTC deems advisable. During the year ended December 31, 2020, participants were able to allocate their contributions among the available investment options, including mutual funds, collective trust funds and a BellRing Brands, Inc. stock fund. Eligibility to allocate contributions to the BellRing Inc. stock fund began on June 1,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 Loans and Forfeitures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 1/2 or for cases of hardship. Hardship withdrawals are limited to the amount required to meet the need created by the hardship and are made in accordance with guidelines determined by BellRing Inc., as defined within the Plan document.</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due to the enactment of the Coronavirus Aid, Relief, and Economic Security Act (the “CARES Act”) on March 27, 2020, certain Plan participants qualified for a new COVID-related distribution option. Individuals who were diagnosed with (or those whose spouse or dependent was diagnosed with) COVID-19, or who experienced adverse financial consequences as a result of being quarantined, furloughed or laid off, having work hours reduced or being unable to work due to lack of childcare due to COVID-19 (“Qualified Individuals”), could choose to take COVID-related distributions of up to $100,000 in 2020 without being subject to either the usual early distribution penalty applicable to those who have not yet reached age 59-1/2 or the mandatory withholding requirement. The distribution may be returned to the Plan during a three-year period following the distribution.</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Plan, subject to certain rules and regulations, permits participants to borrow from their vested account balances. Such loans will be permitted for any purpose, provided certain Plan conditions and certain other conditions as prescribed by federal law are met. Generally, participants may borrow a minimum of $1,000 up to a maximum equal to the lesser of $50,000 or 50% of their vested account balance; however, as a result of the Plan’s implementation of a portion of the CARES Act, from the date of implementation through September 22, 2020, Plan participants who were Qualified Individuals were able to borrow up to the lesser of $100,000 or 100%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 however, as a result of the Plan’s implementation of a portion of the CARES Act, Plan participants who were Qualified Individuals were able to suspend, for up to one year, loan repayments which would otherwise have been due between the date this provision was implemented and December 31, 2020, with interest continuing to accrue while repayment was suspended.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termination of employment, any Company matching contributions and the earnings thereon which are not vested will be forfeited, but will be restored if the participant again becomes an eligible employee within five years after termination. Amounts forfeited are used to reduce Company matching contributions required under the Plan. Forfeitures, net of amounts restored, were immaterial during the year ended December 31,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of BellRing Inc. delegated authority to amend the Plan to the President and Chief Executive Officer, Chief Financial Officer and General Counsel of BellRing Inc., provided that any such amendment is not reasonably expected to increase BellRing Inc.'s liability with respect to the Plan by more than $5,000,000, determined on a present value basis. BellRing Inc. may terminate the Plan or amend the Plan so that Company matching contributions cease. In the case of Plan termination, non-forfeitable rights to the Company matching contributions credited to a participant’s account shall automatically vest.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prepared using the accrual basis of accounting, with the exception of benefit payments, which are recorded upon distribution.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Plan’s investments are stated at fair value or net asset value (“NAV”) for collective trust funds.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Purchases and sales of investments are recorded on a trade-date basis. Net appreciation or depreciation in fair value of investments is comprised of net realized and unrealized gains and losses. Net realized gain (loss) is the difference between sale proceeds and historical cost using the average cost method. Unrealized gain (loss) is the difference between the market value of an investment at the end of the Plan year and the market value of the same investment at the beginning of the Plan year or at its acquisition date if acquired during the Plan year. Capital gain distributions are included in dividend income. Investment securities are exposed to various risks, such as interest rate, market and credit.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Plan’s assets measured at fair value on a recurring basis, as well as the corresponding levels 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Level 1</w:t>
            </w:r>
          </w:p>
        </w:tc>
      </w:tr>
      <w:tr>
        <w:trPr>
          <w:trHeight w:val="22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23"/>
        </w:trPr>
        <w:tc>
          <w:tcPr>
            <w:tcW w:w="8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Collective Trusts (b)</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2020, the Plan’s common stock consisted of BellRing Inc. Class A common stock and Post common stock transferred from the Post Plan. See Notes 1 and 4 for information regarding Post’s relationship to the Company.</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Accounting Standards Codification 820-10, certain investments that were measured at NAV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 The fair value hierarchy consists of the following three levels: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quoted prices in active markets for identical assets or liabilities.</w:t>
      </w:r>
    </w:p>
    <w:p>
      <w:pPr>
        <w:spacing w:after="0" w:line="11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quoted prices of similar assets or liabilities in an active market,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inputs other than quoted prices that are observable and market-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47" w:right="3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color w:val="auto"/>
        </w:rPr>
        <w:t>corroborated inputs which are derived principally from or corroborated by observable market data. The Plan had no level 2 inputs.</w:t>
      </w:r>
    </w:p>
    <w:p>
      <w:pPr>
        <w:spacing w:after="0" w:line="117"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derived from valuation techniques in which one or more significant inputs or value drivers are unobservable. The Plan had no</w:t>
      </w:r>
      <w:r>
        <w:rPr>
          <w:rFonts w:ascii="Arial" w:cs="Arial" w:eastAsia="Arial" w:hAnsi="Arial"/>
          <w:sz w:val="18"/>
          <w:szCs w:val="18"/>
          <w:i w:val="1"/>
          <w:iCs w:val="1"/>
          <w:color w:val="auto"/>
        </w:rPr>
        <w:t xml:space="preserve"> </w:t>
      </w:r>
      <w:r>
        <w:rPr>
          <w:rFonts w:ascii="Arial" w:cs="Arial" w:eastAsia="Arial" w:hAnsi="Arial"/>
          <w:sz w:val="18"/>
          <w:szCs w:val="18"/>
          <w:color w:val="auto"/>
        </w:rPr>
        <w:t>level 3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measured at fair value.</w:t>
      </w:r>
    </w:p>
    <w:p>
      <w:pPr>
        <w:spacing w:after="0" w:line="117" w:lineRule="exact"/>
        <w:rPr>
          <w:sz w:val="20"/>
          <w:szCs w:val="20"/>
          <w:color w:val="auto"/>
        </w:rPr>
      </w:pPr>
    </w:p>
    <w:p>
      <w:pPr>
        <w:jc w:val="both"/>
        <w:ind w:left="420" w:right="20"/>
        <w:spacing w:after="0" w:line="277"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 Shares of mutual funds are valued at quoted market prices on the last business day of the Plan year, which represent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shares held by the Plan.</w:t>
      </w:r>
    </w:p>
    <w:p>
      <w:pPr>
        <w:spacing w:after="0" w:line="62" w:lineRule="exact"/>
        <w:rPr>
          <w:sz w:val="20"/>
          <w:szCs w:val="20"/>
          <w:color w:val="auto"/>
        </w:rPr>
      </w:pPr>
    </w:p>
    <w:p>
      <w:pPr>
        <w:jc w:val="both"/>
        <w:ind w:left="420" w:right="20"/>
        <w:spacing w:after="0" w:line="277"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BellRing Inc. Stock Fund and Post Stock Fund are valued at quoted market prices of shares held by the Plan on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of the Plan year plus any uninvested cash holdings.</w:t>
      </w:r>
    </w:p>
    <w:p>
      <w:pPr>
        <w:spacing w:after="0" w:line="62"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i w:val="1"/>
          <w:iCs w:val="1"/>
          <w:color w:val="auto"/>
        </w:rPr>
        <w:t xml:space="preserve">Collective Trusts </w:t>
      </w:r>
      <w:r>
        <w:rPr>
          <w:rFonts w:ascii="Arial" w:cs="Arial" w:eastAsia="Arial" w:hAnsi="Arial"/>
          <w:sz w:val="18"/>
          <w:szCs w:val="18"/>
          <w:color w:val="auto"/>
        </w:rPr>
        <w:t>— The collective trusts are valued at the NAV of the units held by the Plan. The NAV is used as a practical expedient to estimate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This practical expedient would not be used if it is determined to be probable that the fund will sell the investment for an amount different from the reported NAV. Participant transactions (purchases and sales) may occur daily.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 of Net Assets Available for Benefits.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investments for which the fair value is measured using the NAV per share practical expedient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participant redemption restrictions for these investments and the notice period is applicable only to the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Unfunded</w:t>
            </w:r>
          </w:p>
        </w:tc>
        <w:tc>
          <w:tcPr>
            <w:tcW w:w="140" w:type="dxa"/>
            <w:vAlign w:val="bottom"/>
          </w:tcPr>
          <w:p>
            <w:pPr>
              <w:spacing w:after="0"/>
              <w:rPr>
                <w:sz w:val="18"/>
                <w:szCs w:val="18"/>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Redemption frequency (if</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Redemption</w:t>
            </w:r>
          </w:p>
        </w:tc>
        <w:tc>
          <w:tcPr>
            <w:tcW w:w="0" w:type="dxa"/>
            <w:vAlign w:val="bottom"/>
          </w:tcPr>
          <w:p>
            <w:pPr>
              <w:spacing w:after="0"/>
              <w:rPr>
                <w:sz w:val="1"/>
                <w:szCs w:val="1"/>
                <w:color w:val="auto"/>
              </w:rPr>
            </w:pPr>
          </w:p>
        </w:tc>
      </w:tr>
      <w:tr>
        <w:trPr>
          <w:trHeight w:val="37"/>
        </w:trPr>
        <w:tc>
          <w:tcPr>
            <w:tcW w:w="4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3"/>
                <w:szCs w:val="3"/>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4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6"/>
                <w:szCs w:val="16"/>
                <w:b w:val="1"/>
                <w:bCs w:val="1"/>
                <w:color w:val="auto"/>
              </w:rPr>
              <w:t>commitments</w:t>
            </w:r>
          </w:p>
        </w:tc>
        <w:tc>
          <w:tcPr>
            <w:tcW w:w="14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currently eligible)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notice period</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Vanguard Target Retirement 2015 Trust II</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Daily</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2020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Target Retirement 2025 Trust II</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2030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Target Retirement 2035 Trust II</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2040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Target Retirement 2045 Trust II</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2050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Target Retirement 2055 Trust II</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2060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Target Retirement 2065 Trust II</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Vanguard Target Retirement Income Trust II</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Vanguard Retirement Savings Trust III</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Plan investments are shares of BellRing Inc. Class A common stock. BellRing Inc. is the Plan sponsor and, therefore, these transactions qualify as party-in-interest transactions under the provisions of ERISA. At December 31, 2020, these shares had a total cost of $319,594 and a market value of $369,022. During 2020, the Plan purchased $323,670 and sold $4,518 of such assets.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35"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7"/>
          <w:szCs w:val="17"/>
          <w:color w:val="auto"/>
        </w:rPr>
        <w:t>Certain Plan investments are shares of Post common stock. Prior to the Plan’s Effective Date, BellRing’s employees participated in the Post Plan, which included investments in Post common stock. These investments were transferred to the Plan in the trust-to-trust transfer. Post is a member of BellRing LLC and indirectly held 71.2% of the economic interest in BellRing LLC as of December 31, 2020 (see Note 1). Therefore, transactions of Post common stock qualify as party-in-interest transactions under the provisions of ERISA. At December 31, 2020, these shares had a total cost of $510,427 and a market value of $696,094. During 2020, the Plan made no purchases of Post common stock and sold $279,910 of such assets.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Fees paid by the Plan for administrative services were $12,760 for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 STATUS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Plan’s administrator and legal counsel believe the Plan is currently designed and being operated in compliance with the applicable requirements of the Code.</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2020,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45-3355106 Plan 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600" w:type="dxa"/>
            <w:vAlign w:val="bottom"/>
          </w:tcPr>
          <w:p>
            <w:pPr>
              <w:ind w:left="60"/>
              <w:spacing w:after="0"/>
              <w:rPr>
                <w:sz w:val="20"/>
                <w:szCs w:val="20"/>
                <w:color w:val="auto"/>
              </w:rPr>
            </w:pPr>
            <w:r>
              <w:rPr>
                <w:rFonts w:ascii="Arial" w:cs="Arial" w:eastAsia="Arial" w:hAnsi="Arial"/>
                <w:sz w:val="16"/>
                <w:szCs w:val="16"/>
                <w:b w:val="1"/>
                <w:bCs w:val="1"/>
                <w:color w:val="auto"/>
                <w:w w:val="93"/>
              </w:rPr>
              <w:t>Identity of Issuer, Borrower, Lessor</w:t>
            </w:r>
          </w:p>
        </w:tc>
        <w:tc>
          <w:tcPr>
            <w:tcW w:w="5760" w:type="dxa"/>
            <w:vAlign w:val="bottom"/>
            <w:vMerge w:val="restart"/>
          </w:tcPr>
          <w:p>
            <w:pPr>
              <w:ind w:left="2380"/>
              <w:spacing w:after="0"/>
              <w:rPr>
                <w:sz w:val="20"/>
                <w:szCs w:val="20"/>
                <w:color w:val="auto"/>
              </w:rPr>
            </w:pPr>
            <w:r>
              <w:rPr>
                <w:rFonts w:ascii="Arial" w:cs="Arial" w:eastAsia="Arial" w:hAnsi="Arial"/>
                <w:sz w:val="16"/>
                <w:szCs w:val="16"/>
                <w:b w:val="1"/>
                <w:bCs w:val="1"/>
                <w:color w:val="auto"/>
              </w:rPr>
              <w:t>Description of Investment</w:t>
            </w:r>
          </w:p>
        </w:tc>
        <w:tc>
          <w:tcPr>
            <w:tcW w:w="140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Cost</w:t>
            </w:r>
          </w:p>
        </w:tc>
        <w:tc>
          <w:tcPr>
            <w:tcW w:w="1240" w:type="dxa"/>
            <w:vAlign w:val="bottom"/>
            <w:vMerge w:val="restart"/>
          </w:tcPr>
          <w:p>
            <w:pPr>
              <w:jc w:val="right"/>
              <w:ind w:right="110"/>
              <w:spacing w:after="0"/>
              <w:rPr>
                <w:sz w:val="20"/>
                <w:szCs w:val="20"/>
                <w:color w:val="auto"/>
              </w:rPr>
            </w:pPr>
            <w:r>
              <w:rPr>
                <w:rFonts w:ascii="Arial" w:cs="Arial" w:eastAsia="Arial" w:hAnsi="Arial"/>
                <w:sz w:val="16"/>
                <w:szCs w:val="16"/>
                <w:b w:val="1"/>
                <w:bCs w:val="1"/>
                <w:color w:val="auto"/>
                <w:w w:val="97"/>
              </w:rPr>
              <w:t>Current Value</w:t>
            </w:r>
          </w:p>
        </w:tc>
        <w:tc>
          <w:tcPr>
            <w:tcW w:w="0" w:type="dxa"/>
            <w:vAlign w:val="bottom"/>
          </w:tcPr>
          <w:p>
            <w:pPr>
              <w:spacing w:after="0"/>
              <w:rPr>
                <w:sz w:val="1"/>
                <w:szCs w:val="1"/>
                <w:color w:val="auto"/>
              </w:rPr>
            </w:pPr>
          </w:p>
        </w:tc>
      </w:tr>
      <w:tr>
        <w:trPr>
          <w:trHeight w:val="213"/>
        </w:trPr>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or Similar Party</w:t>
            </w:r>
          </w:p>
        </w:tc>
        <w:tc>
          <w:tcPr>
            <w:tcW w:w="57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Explorer Fund Admiral Shares</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629,399</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Extended Market Index Fund Institutional Shares</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565,786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Federal Money Market Fund</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135,268</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Institutional Index Fund</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2,447,752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International Growth Fund Admiral Shares</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1,005,833</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PRIMECAP Fund Admiral Shares</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949,018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REIT Index Fund Institutional Shares</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Small-Cap Index Fund Institutional Shares</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751,726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Strategic Small-Cap Equity Fund</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130,057</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Total Bond Market Index Fund Institutional Shares</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550,827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Total International Bond Index Fund Admiral Shares</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160,661</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Vanguard Total International Stock Index Fund Institutional Shares</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634,697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Vanguard Wellington Fund Admiral Shares</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144,745</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Vanguard Windsor II Fund Admiral Shares</w:t>
            </w:r>
          </w:p>
        </w:tc>
        <w:tc>
          <w:tcPr>
            <w:tcW w:w="12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190,965</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Investment in Shares in Registered Investment Companies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8,574,308</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2015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192,943</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2020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644,472</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2025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1,463,949</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2030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1,370,123</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2035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819,470</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2040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1,363,842</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2045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1,538,149</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2050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1,400,617</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2055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918,642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2060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401,668</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Pr>
          <w:p>
            <w:pPr>
              <w:ind w:left="100"/>
              <w:spacing w:after="0"/>
              <w:rPr>
                <w:sz w:val="20"/>
                <w:szCs w:val="20"/>
                <w:color w:val="auto"/>
              </w:rPr>
            </w:pPr>
            <w:r>
              <w:rPr>
                <w:rFonts w:ascii="Arial" w:cs="Arial" w:eastAsia="Arial" w:hAnsi="Arial"/>
                <w:sz w:val="18"/>
                <w:szCs w:val="18"/>
                <w:color w:val="auto"/>
              </w:rPr>
              <w:t>Collective Trust - Vanguard Target Retirement 2065 Trust II</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Collective Trust - Vanguard Target Retirement Income Trust II</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The Vanguard Group</w:t>
            </w:r>
          </w:p>
        </w:tc>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Collective Trust - Vanguard Retirement Savings Trust III</w:t>
            </w:r>
          </w:p>
        </w:tc>
        <w:tc>
          <w:tcPr>
            <w:tcW w:w="12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92,040</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Investment in Shares in Collective Trusts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10,220,527</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Post Holdings, Inc.</w:t>
            </w:r>
          </w:p>
        </w:tc>
        <w:tc>
          <w:tcPr>
            <w:tcW w:w="5760" w:type="dxa"/>
            <w:vAlign w:val="bottom"/>
          </w:tcPr>
          <w:p>
            <w:pPr>
              <w:ind w:left="100"/>
              <w:spacing w:after="0"/>
              <w:rPr>
                <w:sz w:val="20"/>
                <w:szCs w:val="20"/>
                <w:color w:val="auto"/>
              </w:rPr>
            </w:pPr>
            <w:r>
              <w:rPr>
                <w:rFonts w:ascii="Arial" w:cs="Arial" w:eastAsia="Arial" w:hAnsi="Arial"/>
                <w:sz w:val="18"/>
                <w:szCs w:val="18"/>
                <w:color w:val="auto"/>
              </w:rPr>
              <w:t>Common Stock - Post Holdings, Inc. Common Stock Fund</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696,094</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BellRing Brands, Inc.</w:t>
            </w:r>
          </w:p>
        </w:tc>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BellRing Brands, Inc. Common Stock Fund</w:t>
            </w: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369,022</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Participant Loans</w:t>
            </w:r>
          </w:p>
        </w:tc>
        <w:tc>
          <w:tcPr>
            <w:tcW w:w="5760" w:type="dxa"/>
            <w:vAlign w:val="bottom"/>
          </w:tcPr>
          <w:p>
            <w:pPr>
              <w:ind w:left="100"/>
              <w:spacing w:after="0"/>
              <w:rPr>
                <w:sz w:val="20"/>
                <w:szCs w:val="20"/>
                <w:color w:val="auto"/>
              </w:rPr>
            </w:pPr>
            <w:r>
              <w:rPr>
                <w:rFonts w:ascii="Arial" w:cs="Arial" w:eastAsia="Arial" w:hAnsi="Arial"/>
                <w:sz w:val="18"/>
                <w:szCs w:val="18"/>
                <w:color w:val="auto"/>
              </w:rPr>
              <w:t>Participant Loans (various maturity dates, 4.25% - 6.5% interest)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269,605</w:t>
            </w:r>
          </w:p>
        </w:tc>
        <w:tc>
          <w:tcPr>
            <w:tcW w:w="0" w:type="dxa"/>
            <w:vAlign w:val="bottom"/>
          </w:tcPr>
          <w:p>
            <w:pPr>
              <w:spacing w:after="0"/>
              <w:rPr>
                <w:sz w:val="1"/>
                <w:szCs w:val="1"/>
                <w:color w:val="auto"/>
              </w:rPr>
            </w:pP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20,129,556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Party-in-Interest</w:t>
            </w:r>
          </w:p>
        </w:tc>
        <w:tc>
          <w:tcPr>
            <w:tcW w:w="5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gridSpan w:val="2"/>
            <w:vMerge w:val="continue"/>
          </w:tcPr>
          <w:p>
            <w:pPr>
              <w:spacing w:after="0"/>
              <w:rPr>
                <w:sz w:val="15"/>
                <w:szCs w:val="15"/>
                <w:color w:val="auto"/>
              </w:rPr>
            </w:pPr>
          </w:p>
        </w:tc>
        <w:tc>
          <w:tcPr>
            <w:tcW w:w="5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 Participant-directed investment</w:t>
            </w:r>
          </w:p>
        </w:tc>
        <w:tc>
          <w:tcPr>
            <w:tcW w:w="5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82" w:right="339" w:bottom="1440" w:gutter="0" w:footer="0" w:header="0"/>
        </w:sectPr>
      </w:pPr>
    </w:p>
    <w:bookmarkStart w:id="11" w:name="page12"/>
    <w:bookmarkEnd w:id="11"/>
    <w:p>
      <w:pPr>
        <w:jc w:val="center"/>
        <w:ind w:right="-37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members of the BellRing Brands, Inc. Employee Benefit Trustees Committee have duly caused this annual report to be signed on their behalf by the undersigned hereunto duly authorized.</w:t>
      </w:r>
    </w:p>
    <w:p>
      <w:pPr>
        <w:spacing w:after="0" w:line="200" w:lineRule="exact"/>
        <w:rPr>
          <w:sz w:val="20"/>
          <w:szCs w:val="20"/>
          <w:color w:val="auto"/>
        </w:rPr>
      </w:pPr>
    </w:p>
    <w:p>
      <w:pPr>
        <w:spacing w:after="0" w:line="38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Date: June 21, 2021</w:t>
            </w:r>
          </w:p>
        </w:tc>
        <w:tc>
          <w:tcPr>
            <w:tcW w:w="6300" w:type="dxa"/>
            <w:vAlign w:val="bottom"/>
            <w:gridSpan w:val="2"/>
          </w:tcPr>
          <w:p>
            <w:pPr>
              <w:ind w:left="1900"/>
              <w:spacing w:after="0"/>
              <w:rPr>
                <w:sz w:val="20"/>
                <w:szCs w:val="20"/>
                <w:color w:val="auto"/>
              </w:rPr>
            </w:pPr>
            <w:r>
              <w:rPr>
                <w:rFonts w:ascii="Arial" w:cs="Arial" w:eastAsia="Arial" w:hAnsi="Arial"/>
                <w:sz w:val="18"/>
                <w:szCs w:val="18"/>
                <w:b w:val="1"/>
                <w:bCs w:val="1"/>
                <w:color w:val="auto"/>
              </w:rPr>
              <w:t>BellRing Brands, Inc.</w:t>
            </w:r>
          </w:p>
        </w:tc>
      </w:tr>
      <w:tr>
        <w:trPr>
          <w:trHeight w:val="243"/>
        </w:trPr>
        <w:tc>
          <w:tcPr>
            <w:tcW w:w="3340" w:type="dxa"/>
            <w:vAlign w:val="bottom"/>
          </w:tcPr>
          <w:p>
            <w:pPr>
              <w:spacing w:after="0"/>
              <w:rPr>
                <w:sz w:val="21"/>
                <w:szCs w:val="21"/>
                <w:color w:val="auto"/>
              </w:rPr>
            </w:pPr>
          </w:p>
        </w:tc>
        <w:tc>
          <w:tcPr>
            <w:tcW w:w="6300" w:type="dxa"/>
            <w:vAlign w:val="bottom"/>
            <w:gridSpan w:val="2"/>
          </w:tcPr>
          <w:p>
            <w:pPr>
              <w:ind w:left="1900"/>
              <w:spacing w:after="0"/>
              <w:rPr>
                <w:sz w:val="20"/>
                <w:szCs w:val="20"/>
                <w:color w:val="auto"/>
              </w:rPr>
            </w:pPr>
            <w:r>
              <w:rPr>
                <w:rFonts w:ascii="Arial" w:cs="Arial" w:eastAsia="Arial" w:hAnsi="Arial"/>
                <w:sz w:val="18"/>
                <w:szCs w:val="18"/>
                <w:b w:val="1"/>
                <w:bCs w:val="1"/>
                <w:color w:val="auto"/>
              </w:rPr>
              <w:t>401(k) Plan</w:t>
            </w:r>
          </w:p>
        </w:tc>
      </w:tr>
      <w:tr>
        <w:trPr>
          <w:trHeight w:val="486"/>
        </w:trPr>
        <w:tc>
          <w:tcPr>
            <w:tcW w:w="33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A. Rode</w:t>
            </w:r>
          </w:p>
        </w:tc>
      </w:tr>
      <w:tr>
        <w:trPr>
          <w:trHeight w:val="222"/>
        </w:trPr>
        <w:tc>
          <w:tcPr>
            <w:tcW w:w="3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Name: Paul A. Rode</w:t>
            </w:r>
          </w:p>
        </w:tc>
      </w:tr>
      <w:tr>
        <w:trPr>
          <w:trHeight w:val="230"/>
        </w:trPr>
        <w:tc>
          <w:tcPr>
            <w:tcW w:w="3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w:t>
            </w:r>
          </w:p>
        </w:tc>
      </w:tr>
      <w:tr>
        <w:trPr>
          <w:trHeight w:val="229"/>
        </w:trPr>
        <w:tc>
          <w:tcPr>
            <w:tcW w:w="3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BellRing Brands, Inc.</w:t>
            </w:r>
          </w:p>
        </w:tc>
      </w:tr>
      <w:tr>
        <w:trPr>
          <w:trHeight w:val="230"/>
        </w:trPr>
        <w:tc>
          <w:tcPr>
            <w:tcW w:w="3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Employee Benefit Trustees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935" w:right="699" w:bottom="1440" w:gutter="0" w:footer="0" w:header="0"/>
        </w:sectPr>
      </w:pPr>
    </w:p>
    <w:bookmarkStart w:id="12" w:name="page13"/>
    <w:bookmarkEnd w:id="12"/>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5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79" w:lineRule="exact"/>
        <w:rPr>
          <w:sz w:val="20"/>
          <w:szCs w:val="20"/>
          <w:color w:val="auto"/>
        </w:rPr>
      </w:pPr>
    </w:p>
    <w:p>
      <w:pPr>
        <w:ind w:left="1180" w:hanging="855"/>
        <w:spacing w:after="0"/>
        <w:tabs>
          <w:tab w:leader="none" w:pos="1180" w:val="left"/>
        </w:tabs>
        <w:numPr>
          <w:ilvl w:val="0"/>
          <w:numId w:val="6"/>
        </w:numPr>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Consent of Independent Registered Public Accounting Firm</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0" w:lineRule="exact"/>
        <w:rPr>
          <w:rFonts w:ascii="Arial" w:cs="Arial" w:eastAsia="Arial" w:hAnsi="Arial"/>
          <w:sz w:val="16"/>
          <w:szCs w:val="16"/>
          <w:u w:val="single" w:color="auto"/>
          <w:color w:val="0000FF"/>
        </w:rPr>
      </w:pPr>
    </w:p>
    <w:p>
      <w:pPr>
        <w:ind w:left="4820"/>
        <w:spacing w:after="0"/>
        <w:rPr>
          <w:rFonts w:ascii="Arial" w:cs="Arial" w:eastAsia="Arial" w:hAnsi="Arial"/>
          <w:sz w:val="16"/>
          <w:szCs w:val="16"/>
          <w:u w:val="single" w:color="auto"/>
          <w:color w:val="0000FF"/>
        </w:rPr>
      </w:pPr>
      <w:r>
        <w:rPr>
          <w:rFonts w:ascii="Arial" w:cs="Arial" w:eastAsia="Arial" w:hAnsi="Arial"/>
          <w:sz w:val="18"/>
          <w:szCs w:val="18"/>
          <w:color w:val="auto"/>
        </w:rPr>
        <w:t>11</w:t>
      </w:r>
    </w:p>
    <w:p>
      <w:pPr>
        <w:sectPr>
          <w:pgSz w:w="11900" w:h="16838" w:orient="portrait"/>
          <w:cols w:equalWidth="0" w:num="1">
            <w:col w:w="9419"/>
          </w:cols>
          <w:pgMar w:left="1040" w:top="1440"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incorporation by reference in the Registration Statement (Form S-8 No. 333-238306) of our report dated June 21, 2021, relating to the statement of net assets available for benefits of the BellRing Brands, Inc. 401(k) Plan as of December 31, 2020, the related statement of changes in net assets available for benefits for the year ended December 31, 2020, and the related supplemental Schedule of Assets (Held at End of Year) as of December 31, 2020, which appears in the December 31, 2020 Annual Report on Form 11-K of the BellRing Brands, Inc. 401(k)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Brown Smith Wallace,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2021</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2021-06-21T15:26:51Z</dcterms:created>
  <dcterms:modified xsi:type="dcterms:W3CDTF">2021-06-21T15:26:51Z</dcterms:modified>
</cp:coreProperties>
</file>