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199390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304800</wp:posOffset>
            </wp:positionV>
            <wp:extent cx="1209040"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BellRing Brands,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87-3296749</w:t>
      </w:r>
    </w:p>
    <w:p>
      <w:pPr>
        <w:spacing w:after="0" w:line="24" w:lineRule="exact"/>
        <w:rPr>
          <w:sz w:val="24"/>
          <w:szCs w:val="24"/>
          <w:color w:val="auto"/>
        </w:rPr>
      </w:pPr>
    </w:p>
    <w:p>
      <w:pPr>
        <w:sectPr>
          <w:pgSz w:w="11900" w:h="16838" w:orient="portrait"/>
          <w:cols w:equalWidth="0" w:num="3">
            <w:col w:w="4500" w:space="720"/>
            <w:col w:w="2880" w:space="720"/>
            <w:col w:w="2200"/>
          </w:cols>
          <w:pgMar w:left="440" w:top="362"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362" w:right="4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7"/>
          <w:szCs w:val="17"/>
          <w:b w:val="1"/>
          <w:bCs w:val="1"/>
          <w:color w:val="auto"/>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St. Louis</w:t>
      </w:r>
    </w:p>
    <w:p>
      <w:pPr>
        <w:spacing w:after="0" w:line="20" w:lineRule="exact"/>
        <w:rPr>
          <w:sz w:val="24"/>
          <w:szCs w:val="24"/>
          <w:color w:val="auto"/>
        </w:rPr>
      </w:pPr>
      <w:r>
        <w:rPr>
          <w:sz w:val="24"/>
          <w:szCs w:val="24"/>
          <w:color w:val="auto"/>
        </w:rPr>
        <w:br w:type="column"/>
      </w:r>
    </w:p>
    <w:p>
      <w:pPr>
        <w:jc w:val="center"/>
        <w:ind w:right="1420"/>
        <w:spacing w:after="0"/>
        <w:rPr>
          <w:sz w:val="20"/>
          <w:szCs w:val="20"/>
          <w:color w:val="auto"/>
        </w:rPr>
      </w:pPr>
      <w:r>
        <w:rPr>
          <w:rFonts w:ascii="Times New Roman" w:cs="Times New Roman" w:eastAsia="Times New Roman" w:hAnsi="Times New Roman"/>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63144</w:t>
      </w:r>
    </w:p>
    <w:p>
      <w:pPr>
        <w:spacing w:after="0" w:line="43" w:lineRule="exact"/>
        <w:rPr>
          <w:sz w:val="24"/>
          <w:szCs w:val="24"/>
          <w:color w:val="auto"/>
        </w:rPr>
      </w:pPr>
    </w:p>
    <w:p>
      <w:pPr>
        <w:sectPr>
          <w:pgSz w:w="11900" w:h="16838" w:orient="portrait"/>
          <w:cols w:equalWidth="0" w:num="4">
            <w:col w:w="3300" w:space="720"/>
            <w:col w:w="2080" w:space="720"/>
            <w:col w:w="2100" w:space="720"/>
            <w:col w:w="1380"/>
          </w:cols>
          <w:pgMar w:left="440" w:top="362" w:right="439" w:bottom="1440" w:gutter="0" w:footer="0" w:header="0"/>
          <w:type w:val="continuous"/>
        </w:sectPr>
      </w:pPr>
    </w:p>
    <w:p>
      <w:pPr>
        <w:ind w:left="3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8800" w:space="720"/>
            <w:col w:w="1500"/>
          </w:cols>
          <w:pgMar w:left="440" w:top="362"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182880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1"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BRBR</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April 4, 2022, the Corporate Governance and Compensation Committee (the “Committee”) of the Board of Directors (the “Board”) of BellRing Brands, Inc. (the “Company”) terminated the Company’s Executive Severance Plan (the “Severance Plan”). Certain of the Company’s named executive officers (including the Chief Financial Officer, Senior Vice President and General Counsel, Chief Growth Officer – Premier Nutrition and Senior Vice President, Operations – Premier Nutrition) were participants in the Severance Plan.</w:t>
      </w:r>
    </w:p>
    <w:p>
      <w:pPr>
        <w:spacing w:after="0" w:line="324" w:lineRule="exact"/>
        <w:rPr>
          <w:sz w:val="20"/>
          <w:szCs w:val="20"/>
          <w:color w:val="auto"/>
        </w:rPr>
      </w:pPr>
    </w:p>
    <w:p>
      <w:pPr>
        <w:ind w:left="1200" w:right="94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Agreements with Certain Executive Officers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April 4, 2022, the Committee approved, and the Company entered into, Severance and Change in Control Agreements (each, a “Severance Agreement”) with each of Darcy Horn Davenport, President and Chief Executive Officer; Paul A. Rode, Chief Financial Officer; Douglas J. Cornille, Chief Growth Officer – Premier Nutrition; Craig L. Rosenthal, Senior Vice President and General Counsel; Robin Singh, Senior Vice President, Operations – Premier Nutrition and Marc S. Mollere, Senior Vice President, International – Premier Nutrition (each, an “Executive”). Pursuant to the Severance Agreements, each Executive will be entitled to receive severance benefits in the event of a termination without cause or resignation for good reason (each as defined in the Severance Agreements), as follows:</w:t>
      </w:r>
    </w:p>
    <w:p>
      <w:pPr>
        <w:sectPr>
          <w:pgSz w:w="11900" w:h="16838" w:orient="portrait"/>
          <w:cols w:equalWidth="0" w:num="1">
            <w:col w:w="10940"/>
          </w:cols>
          <w:pgMar w:left="440" w:top="293" w:right="519" w:bottom="1440" w:gutter="0" w:footer="0" w:header="0"/>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20" w:type="dxa"/>
            <w:vAlign w:val="bottom"/>
          </w:tcPr>
          <w:p>
            <w:pPr>
              <w:spacing w:after="0"/>
              <w:rPr>
                <w:sz w:val="16"/>
                <w:szCs w:val="16"/>
                <w:color w:val="auto"/>
              </w:rPr>
            </w:pPr>
          </w:p>
        </w:tc>
        <w:tc>
          <w:tcPr>
            <w:tcW w:w="40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Termination Type</w:t>
            </w:r>
          </w:p>
        </w:tc>
      </w:tr>
      <w:tr>
        <w:trPr>
          <w:trHeight w:val="28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Darcy Horn Davenport, </w:t>
            </w:r>
            <w:r>
              <w:rPr>
                <w:rFonts w:ascii="Times New Roman" w:cs="Times New Roman" w:eastAsia="Times New Roman" w:hAnsi="Times New Roman"/>
                <w:sz w:val="18"/>
                <w:szCs w:val="18"/>
                <w:i w:val="1"/>
                <w:iCs w:val="1"/>
                <w:color w:val="auto"/>
              </w:rPr>
              <w:t>President</w:t>
            </w:r>
          </w:p>
        </w:tc>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Termination without Cause or resignation for Good</w:t>
            </w: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and Chief Executive Officer</w:t>
            </w:r>
          </w:p>
        </w:tc>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Reason – non-Change in Control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760" w:right="260"/>
        <w:spacing w:after="0" w:line="266" w:lineRule="auto"/>
        <w:rPr>
          <w:sz w:val="20"/>
          <w:szCs w:val="20"/>
          <w:color w:val="auto"/>
        </w:rPr>
      </w:pPr>
      <w:r>
        <w:rPr>
          <w:rFonts w:ascii="Times New Roman" w:cs="Times New Roman" w:eastAsia="Times New Roman" w:hAnsi="Times New Roman"/>
          <w:sz w:val="18"/>
          <w:szCs w:val="18"/>
          <w:color w:val="auto"/>
        </w:rPr>
        <w:t>Termination without Cause or resignation for Good Reason – 6 months prior to or 24 months following a Change in Control</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Payments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5800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95"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2.0 times the sum of base salary plus target annual bonus, paid in installments over 24 months (“CEO Standard Cash Severance”)</w:t>
      </w:r>
    </w:p>
    <w:p>
      <w:pPr>
        <w:spacing w:after="0" w:line="8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Monthly COBRA premiums for continued healthcare for the Executive and her eligible dependents until the earliest of (i) 24 months following termination, (ii) the date the Executive is eligible for coverage under a subsequent employer’s plan and (iii) the date Executive or her dependents cease to be eligible for COBRA</w:t>
      </w:r>
    </w:p>
    <w:p>
      <w:pPr>
        <w:spacing w:after="0" w:line="9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3.0 times the sum of base salary plus target annual bonus, paid in a lump sum; provided that the portion equal to the CEO Standard Cash Severance will continue to be paid in installments if required by Section 409A of the Internal Revenue Code of 1986 (the “Code”)</w:t>
      </w:r>
    </w:p>
    <w:p>
      <w:pPr>
        <w:spacing w:after="0" w:line="9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Monthly COBRA premiums for continued healthcare for the Executive and her eligible dependents until the earliest of (i) 36 months following termination, (ii) the date the Executive is eligible for coverage under a subsequent employer’s plan and (iii) the date Executive or her dependents cease to be eligible for COBRA</w:t>
      </w:r>
    </w:p>
    <w:p>
      <w:pPr>
        <w:sectPr>
          <w:pgSz w:w="11900" w:h="16838" w:orient="portrait"/>
          <w:cols w:equalWidth="0" w:num="2">
            <w:col w:w="6840" w:space="100"/>
            <w:col w:w="4000"/>
          </w:cols>
          <w:pgMar w:left="440" w:top="293" w:right="519" w:bottom="1440" w:gutter="0" w:footer="0" w:header="0"/>
          <w:type w:val="continuous"/>
        </w:sectPr>
      </w:pPr>
    </w:p>
    <w:bookmarkStart w:id="2" w:name="page3"/>
    <w:bookmarkEnd w:id="2"/>
    <w:p>
      <w:pPr>
        <w:ind w:right="120"/>
        <w:spacing w:after="0" w:line="315" w:lineRule="auto"/>
        <w:rPr>
          <w:sz w:val="20"/>
          <w:szCs w:val="20"/>
          <w:color w:val="auto"/>
        </w:rPr>
      </w:pPr>
      <w:r>
        <w:rPr>
          <w:rFonts w:ascii="Times New Roman" w:cs="Times New Roman" w:eastAsia="Times New Roman" w:hAnsi="Times New Roman"/>
          <w:sz w:val="17"/>
          <w:szCs w:val="17"/>
          <w:color w:val="auto"/>
        </w:rPr>
        <w:t xml:space="preserve">Douglas J. Cornille, </w:t>
      </w:r>
      <w:r>
        <w:rPr>
          <w:rFonts w:ascii="Times New Roman" w:cs="Times New Roman" w:eastAsia="Times New Roman" w:hAnsi="Times New Roman"/>
          <w:sz w:val="17"/>
          <w:szCs w:val="17"/>
          <w:i w:val="1"/>
          <w:iCs w:val="1"/>
          <w:color w:val="auto"/>
        </w:rPr>
        <w:t>Chief Growth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Officer – Premier Nutrition</w:t>
      </w:r>
      <w:r>
        <w:rPr>
          <w:rFonts w:ascii="Times New Roman" w:cs="Times New Roman" w:eastAsia="Times New Roman" w:hAnsi="Times New Roman"/>
          <w:sz w:val="17"/>
          <w:szCs w:val="17"/>
          <w:color w:val="auto"/>
        </w:rPr>
        <w:t>;</w:t>
      </w:r>
    </w:p>
    <w:p>
      <w:pPr>
        <w:spacing w:after="0" w:line="40"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color w:val="auto"/>
        </w:rPr>
        <w:t xml:space="preserve">Paul A. Rode, </w:t>
      </w:r>
      <w:r>
        <w:rPr>
          <w:rFonts w:ascii="Times New Roman" w:cs="Times New Roman" w:eastAsia="Times New Roman" w:hAnsi="Times New Roman"/>
          <w:sz w:val="18"/>
          <w:szCs w:val="18"/>
          <w:i w:val="1"/>
          <w:iCs w:val="1"/>
          <w:color w:val="auto"/>
        </w:rPr>
        <w:t>Chief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Craig L. Rosenthal, </w:t>
      </w:r>
      <w:r>
        <w:rPr>
          <w:rFonts w:ascii="Times New Roman" w:cs="Times New Roman" w:eastAsia="Times New Roman" w:hAnsi="Times New Roman"/>
          <w:sz w:val="18"/>
          <w:szCs w:val="18"/>
          <w:i w:val="1"/>
          <w:iCs w:val="1"/>
          <w:color w:val="auto"/>
        </w:rPr>
        <w:t>Senior Vice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General Counsel</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7"/>
          <w:szCs w:val="17"/>
          <w:color w:val="auto"/>
        </w:rPr>
        <w:t xml:space="preserve">Robin Singh, </w:t>
      </w:r>
      <w:r>
        <w:rPr>
          <w:rFonts w:ascii="Times New Roman" w:cs="Times New Roman" w:eastAsia="Times New Roman" w:hAnsi="Times New Roman"/>
          <w:sz w:val="17"/>
          <w:szCs w:val="17"/>
          <w:i w:val="1"/>
          <w:iCs w:val="1"/>
          <w:color w:val="auto"/>
        </w:rPr>
        <w:t>Senior Vice President,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Operations – Premier Nutrition</w:t>
      </w:r>
    </w:p>
    <w:p>
      <w:pPr>
        <w:spacing w:after="0" w:line="4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 xml:space="preserve">Marc S. Mollere, </w:t>
      </w:r>
      <w:r>
        <w:rPr>
          <w:rFonts w:ascii="Times New Roman" w:cs="Times New Roman" w:eastAsia="Times New Roman" w:hAnsi="Times New Roman"/>
          <w:sz w:val="18"/>
          <w:szCs w:val="18"/>
          <w:i w:val="1"/>
          <w:iCs w:val="1"/>
          <w:color w:val="auto"/>
        </w:rPr>
        <w:t>Senior 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President, International – Premier Nutrition</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Termination without Cause or resignation for Good Reason – non-Change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-476885</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Termination without Cause or resignation for Good Reason – 6 months prior to or 24 months following a Change in Control</w:t>
      </w:r>
    </w:p>
    <w:p>
      <w:pPr>
        <w:spacing w:after="0" w:line="20" w:lineRule="exact"/>
        <w:rPr>
          <w:sz w:val="20"/>
          <w:szCs w:val="20"/>
          <w:color w:val="auto"/>
        </w:rPr>
      </w:pPr>
      <w:r>
        <w:rPr>
          <w:sz w:val="20"/>
          <w:szCs w:val="20"/>
          <w:color w:val="auto"/>
        </w:rPr>
        <w:br w:type="column"/>
      </w:r>
    </w:p>
    <w:p>
      <w:pPr>
        <w:ind w:right="140"/>
        <w:spacing w:after="0" w:line="266" w:lineRule="auto"/>
        <w:rPr>
          <w:sz w:val="20"/>
          <w:szCs w:val="20"/>
          <w:color w:val="auto"/>
        </w:rPr>
      </w:pPr>
      <w:r>
        <w:rPr>
          <w:rFonts w:ascii="Times New Roman" w:cs="Times New Roman" w:eastAsia="Times New Roman" w:hAnsi="Times New Roman"/>
          <w:sz w:val="18"/>
          <w:szCs w:val="18"/>
          <w:color w:val="auto"/>
        </w:rPr>
        <w:t>1.0 times the sum of base salary plus target annual bonus, paid in installments over 12 months (“Standard Cash Severance”)</w:t>
      </w:r>
    </w:p>
    <w:p>
      <w:pPr>
        <w:spacing w:after="0" w:line="81"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Monthly COBRA premiums for continued healthcare for the Executive and his eligible dependents until the earliest of (i) 12 months following termination, (ii) the date the Executive is eligible for coverage under a subsequent employer’s plan and (iii) the date Executive or his dependents cease to be eligible for COBRA</w:t>
      </w:r>
    </w:p>
    <w:p>
      <w:pPr>
        <w:spacing w:after="0" w:line="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2.0 times the sum of base salary plus target annual bonus, paid in a lump sum; provided that the portion equal to the Standard Cash Severance will continue to be paid in installments if required by Section 409A of the Code</w:t>
      </w:r>
    </w:p>
    <w:p>
      <w:pPr>
        <w:spacing w:after="0" w:line="8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Monthly COBRA premiums for continued healthcare for the Executive and his eligible dependents until the earliest of (i) 24 months following termination, (ii) the date the Executive is eligible for coverage under a subsequent employer’s plan and (iii) the date Executive or his dependents cease to be eligible for COBRA</w:t>
      </w:r>
    </w:p>
    <w:p>
      <w:pPr>
        <w:spacing w:after="0" w:line="186" w:lineRule="exact"/>
        <w:rPr>
          <w:sz w:val="20"/>
          <w:szCs w:val="20"/>
          <w:color w:val="auto"/>
        </w:rPr>
      </w:pPr>
    </w:p>
    <w:p>
      <w:pPr>
        <w:sectPr>
          <w:pgSz w:w="11900" w:h="16838" w:orient="portrait"/>
          <w:cols w:equalWidth="0" w:num="3">
            <w:col w:w="2580" w:space="180"/>
            <w:col w:w="3820" w:space="360"/>
            <w:col w:w="4060"/>
          </w:cols>
          <w:pgMar w:left="440" w:top="403" w:right="459" w:bottom="1440" w:gutter="0" w:footer="0" w:header="0"/>
        </w:sect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 condition to receiving severance, each Executive must execute, deliver and not revoke a general release of claims in favor of the Company and its affiliates. In addition, each Executive is subject to non-competition and employee and customer non-solicitation covenants that last, in the case of Ms. Davenport, during employment and for 24 months thereafter, and in the case of all other Executives, during employment and for 12 months thereafter. Each Executive is also subject to standard confidentiality and intellectual property assignment provisions.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any payments or benefits under a Severance Agreement would be considered “parachute payments” under Section 280G of the Code, and would be subject to the excise tax imposed by Section 4999 of the Code, then such payments will either be (i) reduced so than no portion of the payments is subject to the excise tax or (ii) delivered in full, whichever of the foregoing results in the Executive receiving a greater amount on a net after-tax basis, taking into account all federal, state and local taxes and the excise tax imposed by Section 4999 of the Code.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Severance Agreement with each Executive is qualified in the entirety by reference to the complete text of the Severance Agreements, a form of which will be filed with the Company’s next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Chairman Equity Awards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April 5, 2022, the Committee granted Robert Vitale, the Executive Chairman of the Board, an award of 100,000 restricted stock units (“RSUs”) under the Company’s 2019 Long-Term Incentive Plan (the “2019 LTIP”) and an award of 300,000 performance-based RSUs (“PRSUs”) under the 2019 LTIP. The RSUs and PRSUs are the only compensation that Mr. Vitale will receive in respect of his service as Executive Chairman of the Board through February 1, 2025.</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RSUs granted to Mr. Vitale vest in substantially equal installments on the first anniversary of the grant date, the second anniversary of the grant date and February 1, 2025, subject to Mr. Vitale’s continued service as Executive Chairman. Subject to Mr. Vitale’s continued service as Executive Chairman, the PRSUs granted to Mr. Vitale are eligible to vest at the end of a performance period commencing on April 5, 2022 and ending February 1, 2025, based on the ranking of the total shareholder return of the Company’s Common Stock during such performance period compared to the total shareholder return of the common stock of companies included in an industry peer group. The percentage of PRSUs that vest at the end of the performance period ranges from 0% (for performance below the 25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up to 260% (for performance at or above the 85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w:t>
      </w:r>
    </w:p>
    <w:p>
      <w:pPr>
        <w:spacing w:after="0" w:line="18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Simultaneously with the grant of RSUs and PRSUs to Mr. Vitale, the Company and Mr. Vitale entered into a lock-up agreement (the “Lock-Up Agreement”), pursuant to which Mr. Vitale has agreed, subject to certain exceptions, to retain at least 50% of the shares of the Company’s Common Stock held by Mr. Vitale, including shares of Common Stock acquired upon vesting and settlement of the RSU and PRSU awards, until the earlier of (1) the fifth anniversary of the Lock-Up Agreement and (2) the date Mr. Vitale ceases to serve as the Executive Chairman of the Board.</w:t>
      </w:r>
    </w:p>
    <w:p>
      <w:pPr>
        <w:sectPr>
          <w:pgSz w:w="11900" w:h="16838" w:orient="portrait"/>
          <w:cols w:equalWidth="0" w:num="1">
            <w:col w:w="11000"/>
          </w:cols>
          <w:pgMar w:left="440" w:top="403" w:right="459" w:bottom="1440" w:gutter="0" w:footer="0" w:header="0"/>
          <w:type w:val="continuous"/>
        </w:sectPr>
      </w:pPr>
    </w:p>
    <w:bookmarkStart w:id="3" w:name="page4"/>
    <w:bookmarkEnd w:id="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foregoing description of the terms of the RSU and PRSU awards to Mr. Vitale and the Lock-Up Agreement are qualified in the entirety by reference to the form of award agreements under the 2019 LTIP relating to such awards and the Lock-Up Agreement, copies of which will be filed with the Company’s next quarterly report on Form 10-Q.</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completion of the distribution by Post Holdings, Inc. of an aggregate of 78,076,841 shares of the Company’s common stock, par value $0.01 per share (the “Common Stock”), and the merger of a subsidiary of the Company with and into BellRing Intermediate Holdings, Inc. (formerly known as BellRing Brands, Inc., “Old BellRing”), with Old BellRing continuing as the surviving corporation and a wholly-owned subsidiary of the Company, in each case on March 10, 2022 (collectively, the “Transactions”), on April 4, 2022, the Committee approved a technical amendment to the Company’s Director Deferred Compensation Plan (the “Deferred Compensation Plan”) and the Board approved a technical amendment to the 2019 LTIP, in each case to conform the terms of the Deferred Compensation Plan and the 2019 LTIP to the Company as in existence following completion of the Transactions, including clarifying that the Company has a single class of common stock outstanding following the Transactions.</w:t>
      </w:r>
    </w:p>
    <w:p>
      <w:pPr>
        <w:spacing w:after="0" w:line="189"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The foregoing descriptions of amendments to the Deferred Compensation Plan and 2019 LTIP are qualified in the entirety by reference to amended Deferred Compensation Plan and amended 2019 LTIP, copies of which will be filed with the Company’s next quarterly report on Form 10-Q.</w:t>
      </w:r>
    </w:p>
    <w:p>
      <w:pPr>
        <w:spacing w:after="0" w:line="28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00"/>
        <w:spacing w:after="0"/>
        <w:tabs>
          <w:tab w:leader="none" w:pos="8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iXBRL tags are embedded within the Inline XBRL document)</w:t>
      </w:r>
    </w:p>
    <w:p>
      <w:pPr>
        <w:sectPr>
          <w:pgSz w:w="11900" w:h="16838" w:orient="portrait"/>
          <w:cols w:equalWidth="0" w:num="1">
            <w:col w:w="10980"/>
          </w:cols>
          <w:pgMar w:left="440" w:top="297" w:right="4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April 6, 2022</w:t>
            </w: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BellRing Brands, Inc.</w:t>
            </w:r>
          </w:p>
        </w:tc>
      </w:tr>
      <w:tr>
        <w:trPr>
          <w:trHeight w:val="234"/>
        </w:trPr>
        <w:tc>
          <w:tcPr>
            <w:tcW w:w="346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460" w:type="dxa"/>
            <w:vAlign w:val="bottom"/>
          </w:tcPr>
          <w:p>
            <w:pPr>
              <w:spacing w:after="0"/>
              <w:rPr>
                <w:sz w:val="24"/>
                <w:szCs w:val="24"/>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Rosenthal</w:t>
            </w:r>
          </w:p>
        </w:tc>
      </w:tr>
      <w:tr>
        <w:trPr>
          <w:trHeight w:val="205"/>
        </w:trPr>
        <w:tc>
          <w:tcPr>
            <w:tcW w:w="3460" w:type="dxa"/>
            <w:vAlign w:val="bottom"/>
          </w:tcPr>
          <w:p>
            <w:pPr>
              <w:spacing w:after="0"/>
              <w:rPr>
                <w:sz w:val="17"/>
                <w:szCs w:val="17"/>
                <w:color w:val="auto"/>
              </w:rPr>
            </w:pPr>
          </w:p>
        </w:tc>
        <w:tc>
          <w:tcPr>
            <w:tcW w:w="2700" w:type="dxa"/>
            <w:vAlign w:val="bottom"/>
          </w:tcPr>
          <w:p>
            <w:pPr>
              <w:ind w:left="20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Craig Rosenthal</w:t>
            </w:r>
          </w:p>
        </w:tc>
      </w:tr>
      <w:tr>
        <w:trPr>
          <w:trHeight w:val="234"/>
        </w:trPr>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&amp; General Counsel</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2022-04-06T15:37:17Z</dcterms:created>
  <dcterms:modified xsi:type="dcterms:W3CDTF">2022-04-06T15:37:17Z</dcterms:modified>
</cp:coreProperties>
</file>