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5045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45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DAVENPORT DARCY HORN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BELLRING BRANDS,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BRBR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PRES. AND CEO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40" w:space="68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ind w:right="3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20,000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19.31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130,067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19.31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11/20/2029</w:t>
            </w:r>
          </w:p>
        </w:tc>
        <w:tc>
          <w:tcPr>
            <w:tcW w:w="6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21.54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-2190115</wp:posOffset>
            </wp:positionV>
            <wp:extent cx="29210" cy="21951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24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to purchase 96,000 shares of BellRing Brands, Inc. Class A common stock was awarded under the BellRing Brands, Inc. 2019 Long-Term Incentive Plan in a transaction exempt under Rule 16b-3 and vest in equal annual installments over three years.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12/02/2021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0322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2021-12-02T15:24:49Z</dcterms:created>
  <dcterms:modified xsi:type="dcterms:W3CDTF">2021-12-02T15:24:49Z</dcterms:modified>
</cp:coreProperties>
</file>