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As filed with the Securities and Exchange Commission on September 20, 2019.</w:t>
      </w:r>
    </w:p>
    <w:p>
      <w:pPr>
        <w:spacing w:after="0" w:line="13" w:lineRule="exact"/>
        <w:rPr>
          <w:sz w:val="24"/>
          <w:szCs w:val="24"/>
          <w:color w:val="auto"/>
        </w:rPr>
      </w:pPr>
    </w:p>
    <w:p>
      <w:pPr>
        <w:ind w:left="95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33020</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75565</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53"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S-1</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REGISTRATION STATEMENT</w:t>
      </w:r>
    </w:p>
    <w:p>
      <w:pPr>
        <w:jc w:val="center"/>
        <w:ind w:right="-19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19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BellRing Brands, Inc.</w:t>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92710</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153"/>
        </w:trPr>
        <w:tc>
          <w:tcPr>
            <w:tcW w:w="2640" w:type="dxa"/>
            <w:vAlign w:val="bottom"/>
          </w:tcPr>
          <w:p>
            <w:pPr>
              <w:jc w:val="center"/>
              <w:ind w:right="1059"/>
              <w:spacing w:after="0"/>
              <w:rPr>
                <w:sz w:val="20"/>
                <w:szCs w:val="20"/>
                <w:color w:val="auto"/>
              </w:rPr>
            </w:pPr>
            <w:r>
              <w:rPr>
                <w:rFonts w:ascii="Arial" w:cs="Arial" w:eastAsia="Arial" w:hAnsi="Arial"/>
                <w:sz w:val="13"/>
                <w:szCs w:val="13"/>
                <w:b w:val="1"/>
                <w:bCs w:val="1"/>
                <w:color w:val="auto"/>
                <w:w w:val="98"/>
              </w:rPr>
              <w:t>Delaware</w:t>
            </w:r>
          </w:p>
        </w:tc>
        <w:tc>
          <w:tcPr>
            <w:tcW w:w="382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2000</w:t>
            </w:r>
          </w:p>
        </w:tc>
        <w:tc>
          <w:tcPr>
            <w:tcW w:w="2140" w:type="dxa"/>
            <w:vAlign w:val="bottom"/>
          </w:tcPr>
          <w:p>
            <w:pPr>
              <w:jc w:val="center"/>
              <w:ind w:left="1159"/>
              <w:spacing w:after="0"/>
              <w:rPr>
                <w:sz w:val="20"/>
                <w:szCs w:val="20"/>
                <w:color w:val="auto"/>
              </w:rPr>
            </w:pPr>
            <w:r>
              <w:rPr>
                <w:rFonts w:ascii="Arial" w:cs="Arial" w:eastAsia="Arial" w:hAnsi="Arial"/>
                <w:sz w:val="13"/>
                <w:szCs w:val="13"/>
                <w:b w:val="1"/>
                <w:bCs w:val="1"/>
                <w:color w:val="auto"/>
                <w:w w:val="92"/>
              </w:rPr>
              <w:t>83-4096323</w:t>
            </w:r>
          </w:p>
        </w:tc>
      </w:tr>
      <w:tr>
        <w:trPr>
          <w:trHeight w:val="135"/>
        </w:trPr>
        <w:tc>
          <w:tcPr>
            <w:tcW w:w="2640" w:type="dxa"/>
            <w:vAlign w:val="bottom"/>
          </w:tcPr>
          <w:p>
            <w:pPr>
              <w:jc w:val="center"/>
              <w:ind w:right="107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2"/>
              </w:rPr>
              <w:t>(Primary Standard Industrial</w:t>
            </w:r>
          </w:p>
        </w:tc>
        <w:tc>
          <w:tcPr>
            <w:tcW w:w="214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2640" w:type="dxa"/>
            <w:vAlign w:val="bottom"/>
          </w:tcPr>
          <w:p>
            <w:pPr>
              <w:jc w:val="center"/>
              <w:ind w:right="105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Classification Code Number)</w:t>
            </w:r>
          </w:p>
        </w:tc>
        <w:tc>
          <w:tcPr>
            <w:tcW w:w="2140" w:type="dxa"/>
            <w:vAlign w:val="bottom"/>
          </w:tcPr>
          <w:p>
            <w:pPr>
              <w:jc w:val="center"/>
              <w:ind w:left="1159"/>
              <w:spacing w:after="0"/>
              <w:rPr>
                <w:sz w:val="20"/>
                <w:szCs w:val="20"/>
                <w:color w:val="auto"/>
              </w:rPr>
            </w:pPr>
            <w:r>
              <w:rPr>
                <w:rFonts w:ascii="Arial" w:cs="Arial" w:eastAsia="Arial" w:hAnsi="Arial"/>
                <w:sz w:val="12"/>
                <w:szCs w:val="12"/>
                <w:b w:val="1"/>
                <w:bCs w:val="1"/>
                <w:color w:val="auto"/>
                <w:w w:val="90"/>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98425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2503 S. Hanley Road</w:t>
      </w:r>
    </w:p>
    <w:p>
      <w:pPr>
        <w:spacing w:after="0" w:line="12"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St. Louis, Missouri 63144</w:t>
      </w:r>
    </w:p>
    <w:p>
      <w:pPr>
        <w:jc w:val="center"/>
        <w:ind w:right="-199"/>
        <w:spacing w:after="0"/>
        <w:rPr>
          <w:sz w:val="20"/>
          <w:szCs w:val="20"/>
          <w:color w:val="auto"/>
        </w:rPr>
      </w:pPr>
      <w:r>
        <w:rPr>
          <w:rFonts w:ascii="Arial" w:cs="Arial" w:eastAsia="Arial" w:hAnsi="Arial"/>
          <w:sz w:val="13"/>
          <w:szCs w:val="13"/>
          <w:b w:val="1"/>
          <w:bCs w:val="1"/>
          <w:color w:val="auto"/>
        </w:rPr>
        <w:t>(314) 644-7600</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81280</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63"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Darcy Horn Davenport</w:t>
      </w:r>
    </w:p>
    <w:p>
      <w:pPr>
        <w:spacing w:after="0" w:line="12"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199"/>
        <w:spacing w:after="0" w:line="238" w:lineRule="auto"/>
        <w:rPr>
          <w:sz w:val="20"/>
          <w:szCs w:val="20"/>
          <w:color w:val="auto"/>
        </w:rPr>
      </w:pPr>
      <w:r>
        <w:rPr>
          <w:rFonts w:ascii="Arial" w:cs="Arial" w:eastAsia="Arial" w:hAnsi="Arial"/>
          <w:sz w:val="13"/>
          <w:szCs w:val="13"/>
          <w:b w:val="1"/>
          <w:bCs w:val="1"/>
          <w:color w:val="auto"/>
        </w:rPr>
        <w:t>BellRing Brands, Inc.</w:t>
      </w:r>
    </w:p>
    <w:p>
      <w:pPr>
        <w:jc w:val="center"/>
        <w:ind w:right="-199"/>
        <w:spacing w:after="0"/>
        <w:rPr>
          <w:sz w:val="20"/>
          <w:szCs w:val="20"/>
          <w:color w:val="auto"/>
        </w:rPr>
      </w:pPr>
      <w:r>
        <w:rPr>
          <w:rFonts w:ascii="Arial" w:cs="Arial" w:eastAsia="Arial" w:hAnsi="Arial"/>
          <w:sz w:val="13"/>
          <w:szCs w:val="13"/>
          <w:b w:val="1"/>
          <w:bCs w:val="1"/>
          <w:color w:val="auto"/>
        </w:rPr>
        <w:t>2503 S. Hanley Road</w:t>
      </w:r>
    </w:p>
    <w:p>
      <w:pPr>
        <w:jc w:val="center"/>
        <w:ind w:right="-199"/>
        <w:spacing w:after="0" w:line="238" w:lineRule="auto"/>
        <w:rPr>
          <w:sz w:val="20"/>
          <w:szCs w:val="20"/>
          <w:color w:val="auto"/>
        </w:rPr>
      </w:pPr>
      <w:r>
        <w:rPr>
          <w:rFonts w:ascii="Arial" w:cs="Arial" w:eastAsia="Arial" w:hAnsi="Arial"/>
          <w:sz w:val="13"/>
          <w:szCs w:val="13"/>
          <w:b w:val="1"/>
          <w:bCs w:val="1"/>
          <w:color w:val="auto"/>
        </w:rPr>
        <w:t>St. Louis, Missouri 63144</w:t>
      </w:r>
    </w:p>
    <w:p>
      <w:pPr>
        <w:jc w:val="center"/>
        <w:ind w:right="-199"/>
        <w:spacing w:after="0"/>
        <w:rPr>
          <w:sz w:val="20"/>
          <w:szCs w:val="20"/>
          <w:color w:val="auto"/>
        </w:rPr>
      </w:pPr>
      <w:r>
        <w:rPr>
          <w:rFonts w:ascii="Arial" w:cs="Arial" w:eastAsia="Arial" w:hAnsi="Arial"/>
          <w:sz w:val="13"/>
          <w:szCs w:val="13"/>
          <w:b w:val="1"/>
          <w:bCs w:val="1"/>
          <w:color w:val="auto"/>
        </w:rPr>
        <w:t>Telephone: (314) 644-7600</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81280</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65"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3460" w:type="dxa"/>
            <w:vAlign w:val="bottom"/>
          </w:tcPr>
          <w:p>
            <w:pPr>
              <w:ind w:left="1360"/>
              <w:spacing w:after="0"/>
              <w:rPr>
                <w:sz w:val="20"/>
                <w:szCs w:val="20"/>
                <w:color w:val="auto"/>
              </w:rPr>
            </w:pPr>
            <w:r>
              <w:rPr>
                <w:rFonts w:ascii="Arial" w:cs="Arial" w:eastAsia="Arial" w:hAnsi="Arial"/>
                <w:sz w:val="13"/>
                <w:szCs w:val="13"/>
                <w:b w:val="1"/>
                <w:bCs w:val="1"/>
                <w:i w:val="1"/>
                <w:iCs w:val="1"/>
                <w:color w:val="auto"/>
              </w:rPr>
              <w:t>Copies to:</w:t>
            </w:r>
          </w:p>
        </w:tc>
        <w:tc>
          <w:tcPr>
            <w:tcW w:w="2860" w:type="dxa"/>
            <w:vAlign w:val="bottom"/>
          </w:tcPr>
          <w:p>
            <w:pPr>
              <w:spacing w:after="0"/>
              <w:rPr>
                <w:sz w:val="14"/>
                <w:szCs w:val="14"/>
                <w:color w:val="auto"/>
              </w:rPr>
            </w:pPr>
          </w:p>
        </w:tc>
      </w:tr>
      <w:tr>
        <w:trPr>
          <w:trHeight w:val="190"/>
        </w:trPr>
        <w:tc>
          <w:tcPr>
            <w:tcW w:w="3020" w:type="dxa"/>
            <w:vAlign w:val="bottom"/>
          </w:tcPr>
          <w:p>
            <w:pPr>
              <w:jc w:val="center"/>
              <w:ind w:right="933"/>
              <w:spacing w:after="0"/>
              <w:rPr>
                <w:sz w:val="20"/>
                <w:szCs w:val="20"/>
                <w:color w:val="auto"/>
              </w:rPr>
            </w:pPr>
            <w:r>
              <w:rPr>
                <w:rFonts w:ascii="Arial" w:cs="Arial" w:eastAsia="Arial" w:hAnsi="Arial"/>
                <w:sz w:val="13"/>
                <w:szCs w:val="13"/>
                <w:b w:val="1"/>
                <w:bCs w:val="1"/>
                <w:color w:val="auto"/>
                <w:w w:val="95"/>
              </w:rPr>
              <w:t>Tom W. Zook</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7"/>
              </w:rPr>
              <w:t>Diedre J. Gray</w:t>
            </w:r>
          </w:p>
        </w:tc>
        <w:tc>
          <w:tcPr>
            <w:tcW w:w="2860" w:type="dxa"/>
            <w:vAlign w:val="bottom"/>
          </w:tcPr>
          <w:p>
            <w:pPr>
              <w:jc w:val="center"/>
              <w:ind w:left="913"/>
              <w:spacing w:after="0"/>
              <w:rPr>
                <w:sz w:val="20"/>
                <w:szCs w:val="20"/>
                <w:color w:val="auto"/>
              </w:rPr>
            </w:pPr>
            <w:r>
              <w:rPr>
                <w:rFonts w:ascii="Arial" w:cs="Arial" w:eastAsia="Arial" w:hAnsi="Arial"/>
                <w:sz w:val="13"/>
                <w:szCs w:val="13"/>
                <w:b w:val="1"/>
                <w:bCs w:val="1"/>
                <w:color w:val="auto"/>
                <w:w w:val="94"/>
              </w:rPr>
              <w:t>Ian D. Schuman</w:t>
            </w:r>
          </w:p>
        </w:tc>
      </w:tr>
      <w:tr>
        <w:trPr>
          <w:trHeight w:val="148"/>
        </w:trPr>
        <w:tc>
          <w:tcPr>
            <w:tcW w:w="3020" w:type="dxa"/>
            <w:vAlign w:val="bottom"/>
          </w:tcPr>
          <w:p>
            <w:pPr>
              <w:jc w:val="center"/>
              <w:ind w:right="913"/>
              <w:spacing w:after="0" w:line="149" w:lineRule="exact"/>
              <w:rPr>
                <w:sz w:val="20"/>
                <w:szCs w:val="20"/>
                <w:color w:val="auto"/>
              </w:rPr>
            </w:pPr>
            <w:r>
              <w:rPr>
                <w:rFonts w:ascii="Arial" w:cs="Arial" w:eastAsia="Arial" w:hAnsi="Arial"/>
                <w:sz w:val="13"/>
                <w:szCs w:val="13"/>
                <w:b w:val="1"/>
                <w:bCs w:val="1"/>
                <w:color w:val="auto"/>
                <w:w w:val="95"/>
              </w:rPr>
              <w:t>Lewis Rice LLC</w:t>
            </w:r>
          </w:p>
        </w:tc>
        <w:tc>
          <w:tcPr>
            <w:tcW w:w="346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93"/>
              </w:rPr>
              <w:t>Post Holdings, Inc.</w:t>
            </w:r>
          </w:p>
        </w:tc>
        <w:tc>
          <w:tcPr>
            <w:tcW w:w="2860" w:type="dxa"/>
            <w:vAlign w:val="bottom"/>
          </w:tcPr>
          <w:p>
            <w:pPr>
              <w:jc w:val="center"/>
              <w:ind w:left="913"/>
              <w:spacing w:after="0" w:line="149" w:lineRule="exact"/>
              <w:rPr>
                <w:sz w:val="20"/>
                <w:szCs w:val="20"/>
                <w:color w:val="auto"/>
              </w:rPr>
            </w:pPr>
            <w:r>
              <w:rPr>
                <w:rFonts w:ascii="Arial" w:cs="Arial" w:eastAsia="Arial" w:hAnsi="Arial"/>
                <w:sz w:val="13"/>
                <w:szCs w:val="13"/>
                <w:b w:val="1"/>
                <w:bCs w:val="1"/>
                <w:color w:val="auto"/>
                <w:w w:val="96"/>
              </w:rPr>
              <w:t>Benjamin D. Stern</w:t>
            </w:r>
          </w:p>
        </w:tc>
      </w:tr>
      <w:tr>
        <w:trPr>
          <w:trHeight w:val="148"/>
        </w:trPr>
        <w:tc>
          <w:tcPr>
            <w:tcW w:w="3020" w:type="dxa"/>
            <w:vAlign w:val="bottom"/>
          </w:tcPr>
          <w:p>
            <w:pPr>
              <w:jc w:val="center"/>
              <w:ind w:right="913"/>
              <w:spacing w:after="0" w:line="149" w:lineRule="exact"/>
              <w:rPr>
                <w:sz w:val="20"/>
                <w:szCs w:val="20"/>
                <w:color w:val="auto"/>
              </w:rPr>
            </w:pPr>
            <w:r>
              <w:rPr>
                <w:rFonts w:ascii="Arial" w:cs="Arial" w:eastAsia="Arial" w:hAnsi="Arial"/>
                <w:sz w:val="13"/>
                <w:szCs w:val="13"/>
                <w:b w:val="1"/>
                <w:bCs w:val="1"/>
                <w:color w:val="auto"/>
                <w:w w:val="91"/>
              </w:rPr>
              <w:t>600 Washington Avenue, Suite 2500</w:t>
            </w:r>
          </w:p>
        </w:tc>
        <w:tc>
          <w:tcPr>
            <w:tcW w:w="346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94"/>
              </w:rPr>
              <w:t>2503 S. Hanley Road</w:t>
            </w:r>
          </w:p>
        </w:tc>
        <w:tc>
          <w:tcPr>
            <w:tcW w:w="2860" w:type="dxa"/>
            <w:vAlign w:val="bottom"/>
          </w:tcPr>
          <w:p>
            <w:pPr>
              <w:jc w:val="center"/>
              <w:ind w:left="913"/>
              <w:spacing w:after="0" w:line="149" w:lineRule="exact"/>
              <w:rPr>
                <w:sz w:val="20"/>
                <w:szCs w:val="20"/>
                <w:color w:val="auto"/>
              </w:rPr>
            </w:pPr>
            <w:r>
              <w:rPr>
                <w:rFonts w:ascii="Arial" w:cs="Arial" w:eastAsia="Arial" w:hAnsi="Arial"/>
                <w:sz w:val="13"/>
                <w:szCs w:val="13"/>
                <w:b w:val="1"/>
                <w:bCs w:val="1"/>
                <w:color w:val="auto"/>
                <w:w w:val="99"/>
              </w:rPr>
              <w:t>Latham &amp; Watkins LLP</w:t>
            </w:r>
          </w:p>
        </w:tc>
      </w:tr>
      <w:tr>
        <w:trPr>
          <w:trHeight w:val="148"/>
        </w:trPr>
        <w:tc>
          <w:tcPr>
            <w:tcW w:w="3020" w:type="dxa"/>
            <w:vAlign w:val="bottom"/>
          </w:tcPr>
          <w:p>
            <w:pPr>
              <w:jc w:val="center"/>
              <w:ind w:right="933"/>
              <w:spacing w:after="0" w:line="149" w:lineRule="exact"/>
              <w:rPr>
                <w:sz w:val="20"/>
                <w:szCs w:val="20"/>
                <w:color w:val="auto"/>
              </w:rPr>
            </w:pPr>
            <w:r>
              <w:rPr>
                <w:rFonts w:ascii="Arial" w:cs="Arial" w:eastAsia="Arial" w:hAnsi="Arial"/>
                <w:sz w:val="13"/>
                <w:szCs w:val="13"/>
                <w:b w:val="1"/>
                <w:bCs w:val="1"/>
                <w:color w:val="auto"/>
                <w:w w:val="93"/>
              </w:rPr>
              <w:t>St. Louis, Missouri 63101</w:t>
            </w:r>
          </w:p>
        </w:tc>
        <w:tc>
          <w:tcPr>
            <w:tcW w:w="346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93"/>
              </w:rPr>
              <w:t>St. Louis, Missouri 63144</w:t>
            </w:r>
          </w:p>
        </w:tc>
        <w:tc>
          <w:tcPr>
            <w:tcW w:w="2860" w:type="dxa"/>
            <w:vAlign w:val="bottom"/>
          </w:tcPr>
          <w:p>
            <w:pPr>
              <w:jc w:val="center"/>
              <w:ind w:left="913"/>
              <w:spacing w:after="0" w:line="149" w:lineRule="exact"/>
              <w:rPr>
                <w:sz w:val="20"/>
                <w:szCs w:val="20"/>
                <w:color w:val="auto"/>
              </w:rPr>
            </w:pPr>
            <w:r>
              <w:rPr>
                <w:rFonts w:ascii="Arial" w:cs="Arial" w:eastAsia="Arial" w:hAnsi="Arial"/>
                <w:sz w:val="13"/>
                <w:szCs w:val="13"/>
                <w:b w:val="1"/>
                <w:bCs w:val="1"/>
                <w:color w:val="auto"/>
                <w:w w:val="95"/>
              </w:rPr>
              <w:t>885 Third Avenue</w:t>
            </w:r>
          </w:p>
        </w:tc>
      </w:tr>
      <w:tr>
        <w:trPr>
          <w:trHeight w:val="148"/>
        </w:trPr>
        <w:tc>
          <w:tcPr>
            <w:tcW w:w="3020" w:type="dxa"/>
            <w:vAlign w:val="bottom"/>
          </w:tcPr>
          <w:p>
            <w:pPr>
              <w:jc w:val="center"/>
              <w:ind w:right="913"/>
              <w:spacing w:after="0" w:line="149" w:lineRule="exact"/>
              <w:rPr>
                <w:sz w:val="20"/>
                <w:szCs w:val="20"/>
                <w:color w:val="auto"/>
              </w:rPr>
            </w:pPr>
            <w:r>
              <w:rPr>
                <w:rFonts w:ascii="Arial" w:cs="Arial" w:eastAsia="Arial" w:hAnsi="Arial"/>
                <w:sz w:val="13"/>
                <w:szCs w:val="13"/>
                <w:b w:val="1"/>
                <w:bCs w:val="1"/>
                <w:color w:val="auto"/>
                <w:w w:val="93"/>
              </w:rPr>
              <w:t>Telephone: (314) 444-7671</w:t>
            </w:r>
          </w:p>
        </w:tc>
        <w:tc>
          <w:tcPr>
            <w:tcW w:w="346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92"/>
              </w:rPr>
              <w:t>Telephone: (314) 644-7600</w:t>
            </w:r>
          </w:p>
        </w:tc>
        <w:tc>
          <w:tcPr>
            <w:tcW w:w="2860" w:type="dxa"/>
            <w:vAlign w:val="bottom"/>
          </w:tcPr>
          <w:p>
            <w:pPr>
              <w:jc w:val="center"/>
              <w:ind w:left="913"/>
              <w:spacing w:after="0" w:line="149" w:lineRule="exact"/>
              <w:rPr>
                <w:sz w:val="20"/>
                <w:szCs w:val="20"/>
                <w:color w:val="auto"/>
              </w:rPr>
            </w:pPr>
            <w:r>
              <w:rPr>
                <w:rFonts w:ascii="Arial" w:cs="Arial" w:eastAsia="Arial" w:hAnsi="Arial"/>
                <w:sz w:val="13"/>
                <w:szCs w:val="13"/>
                <w:b w:val="1"/>
                <w:bCs w:val="1"/>
                <w:color w:val="auto"/>
                <w:w w:val="94"/>
              </w:rPr>
              <w:t>New York, New York 10022-4834</w:t>
            </w:r>
          </w:p>
        </w:tc>
      </w:tr>
      <w:tr>
        <w:trPr>
          <w:trHeight w:val="174"/>
        </w:trPr>
        <w:tc>
          <w:tcPr>
            <w:tcW w:w="3020" w:type="dxa"/>
            <w:vAlign w:val="bottom"/>
          </w:tcPr>
          <w:p>
            <w:pPr>
              <w:jc w:val="center"/>
              <w:ind w:right="933"/>
              <w:spacing w:after="0"/>
              <w:rPr>
                <w:sz w:val="20"/>
                <w:szCs w:val="20"/>
                <w:color w:val="auto"/>
              </w:rPr>
            </w:pPr>
            <w:r>
              <w:rPr>
                <w:rFonts w:ascii="Arial" w:cs="Arial" w:eastAsia="Arial" w:hAnsi="Arial"/>
                <w:sz w:val="13"/>
                <w:szCs w:val="13"/>
                <w:b w:val="1"/>
                <w:bCs w:val="1"/>
                <w:color w:val="auto"/>
                <w:w w:val="95"/>
              </w:rPr>
              <w:t>Fax: (314) 612-7671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5"/>
              </w:rPr>
              <w:t>Fax: (314) 646-3367</w:t>
            </w:r>
          </w:p>
        </w:tc>
        <w:tc>
          <w:tcPr>
            <w:tcW w:w="2860" w:type="dxa"/>
            <w:vAlign w:val="bottom"/>
          </w:tcPr>
          <w:p>
            <w:pPr>
              <w:jc w:val="center"/>
              <w:ind w:left="913"/>
              <w:spacing w:after="0"/>
              <w:rPr>
                <w:sz w:val="20"/>
                <w:szCs w:val="20"/>
                <w:color w:val="auto"/>
              </w:rPr>
            </w:pPr>
            <w:r>
              <w:rPr>
                <w:rFonts w:ascii="Arial" w:cs="Arial" w:eastAsia="Arial" w:hAnsi="Arial"/>
                <w:sz w:val="13"/>
                <w:szCs w:val="13"/>
                <w:b w:val="1"/>
                <w:bCs w:val="1"/>
                <w:color w:val="auto"/>
                <w:w w:val="93"/>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94615</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84" w:lineRule="exact"/>
        <w:rPr>
          <w:sz w:val="24"/>
          <w:szCs w:val="24"/>
          <w:color w:val="auto"/>
        </w:rPr>
      </w:pPr>
    </w:p>
    <w:p>
      <w:pPr>
        <w:ind w:left="540"/>
        <w:spacing w:after="0"/>
        <w:rPr>
          <w:sz w:val="20"/>
          <w:szCs w:val="20"/>
          <w:color w:val="auto"/>
        </w:rPr>
      </w:pPr>
      <w:r>
        <w:rPr>
          <w:rFonts w:ascii="Arial" w:cs="Arial" w:eastAsia="Arial" w:hAnsi="Arial"/>
          <w:sz w:val="13"/>
          <w:szCs w:val="13"/>
          <w:b w:val="1"/>
          <w:bCs w:val="1"/>
          <w:color w:val="auto"/>
        </w:rPr>
        <w:t xml:space="preserve">Approximate date of commencement of proposed sale to public: </w:t>
      </w:r>
      <w:r>
        <w:rPr>
          <w:rFonts w:ascii="Arial" w:cs="Arial" w:eastAsia="Arial" w:hAnsi="Arial"/>
          <w:sz w:val="13"/>
          <w:szCs w:val="13"/>
          <w:color w:val="auto"/>
        </w:rPr>
        <w:t>As soon as practicable after this Registration Statement becomes effective.</w:t>
      </w:r>
    </w:p>
    <w:p>
      <w:pPr>
        <w:spacing w:after="0" w:line="30"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220" w:right="100" w:firstLine="330"/>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220" w:right="300" w:firstLine="33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220" w:right="280" w:firstLine="33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220" w:right="580" w:firstLine="330"/>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20" w:type="dxa"/>
        <w:tblCellMar>
          <w:top w:w="0" w:type="dxa"/>
          <w:left w:w="0" w:type="dxa"/>
          <w:bottom w:w="0" w:type="dxa"/>
          <w:right w:w="0" w:type="dxa"/>
        </w:tblCellMar>
      </w:tblPr>
      <w:tr>
        <w:trPr>
          <w:trHeight w:val="157"/>
        </w:trPr>
        <w:tc>
          <w:tcPr>
            <w:tcW w:w="15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340"/>
              <w:spacing w:after="0"/>
              <w:rPr>
                <w:sz w:val="20"/>
                <w:szCs w:val="20"/>
                <w:color w:val="auto"/>
              </w:rPr>
            </w:pPr>
            <w:r>
              <w:rPr>
                <w:rFonts w:ascii="Arial" w:cs="Arial" w:eastAsia="Arial" w:hAnsi="Arial"/>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3"/>
                <w:szCs w:val="13"/>
                <w:color w:val="auto"/>
              </w:rPr>
              <w:t>Non-accelerated filer</w:t>
            </w:r>
          </w:p>
        </w:tc>
        <w:tc>
          <w:tcPr>
            <w:tcW w:w="382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340"/>
              <w:spacing w:after="0" w:line="149" w:lineRule="exact"/>
              <w:rPr>
                <w:sz w:val="20"/>
                <w:szCs w:val="20"/>
                <w:color w:val="auto"/>
              </w:rPr>
            </w:pPr>
            <w:r>
              <w:rPr>
                <w:rFonts w:ascii="Arial" w:cs="Arial" w:eastAsia="Arial" w:hAnsi="Arial"/>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60" w:type="dxa"/>
            <w:vAlign w:val="bottom"/>
          </w:tcPr>
          <w:p>
            <w:pPr>
              <w:ind w:left="3340"/>
              <w:spacing w:after="0"/>
              <w:rPr>
                <w:sz w:val="20"/>
                <w:szCs w:val="20"/>
                <w:color w:val="auto"/>
              </w:rPr>
            </w:pPr>
            <w:r>
              <w:rPr>
                <w:rFonts w:ascii="Arial" w:cs="Arial" w:eastAsia="Arial" w:hAnsi="Arial"/>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 w:lineRule="exact"/>
        <w:rPr>
          <w:sz w:val="24"/>
          <w:szCs w:val="24"/>
          <w:color w:val="auto"/>
        </w:rPr>
      </w:pPr>
    </w:p>
    <w:p>
      <w:pPr>
        <w:ind w:left="220" w:right="140" w:firstLine="33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69215</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43"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CALCULATION OF REGISTRATION FEE</w:t>
      </w:r>
    </w:p>
    <w:p>
      <w:pPr>
        <w:spacing w:after="0" w:line="59"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r>
      <w:tr>
        <w:trPr>
          <w:trHeight w:val="107"/>
        </w:trPr>
        <w:tc>
          <w:tcPr>
            <w:tcW w:w="20" w:type="dxa"/>
            <w:vAlign w:val="bottom"/>
          </w:tcPr>
          <w:p>
            <w:pPr>
              <w:spacing w:after="0"/>
              <w:rPr>
                <w:sz w:val="9"/>
                <w:szCs w:val="9"/>
                <w:color w:val="auto"/>
              </w:rPr>
            </w:pPr>
          </w:p>
        </w:tc>
        <w:tc>
          <w:tcPr>
            <w:tcW w:w="72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jc w:val="center"/>
              <w:ind w:left="20"/>
              <w:spacing w:after="0" w:line="107" w:lineRule="exact"/>
              <w:rPr>
                <w:sz w:val="20"/>
                <w:szCs w:val="20"/>
                <w:color w:val="auto"/>
              </w:rPr>
            </w:pPr>
            <w:r>
              <w:rPr>
                <w:rFonts w:ascii="Arial" w:cs="Arial" w:eastAsia="Arial" w:hAnsi="Arial"/>
                <w:sz w:val="12"/>
                <w:szCs w:val="12"/>
                <w:b w:val="1"/>
                <w:bCs w:val="1"/>
                <w:color w:val="auto"/>
                <w:w w:val="86"/>
              </w:rPr>
              <w:t>Proposed</w:t>
            </w:r>
          </w:p>
        </w:tc>
        <w:tc>
          <w:tcPr>
            <w:tcW w:w="184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72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93"/>
              </w:rPr>
              <w:t>Maximum</w:t>
            </w:r>
          </w:p>
        </w:tc>
        <w:tc>
          <w:tcPr>
            <w:tcW w:w="18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8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87"/>
              </w:rPr>
              <w:t>Aggregate</w:t>
            </w:r>
          </w:p>
        </w:tc>
        <w:tc>
          <w:tcPr>
            <w:tcW w:w="184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6"/>
              </w:rPr>
              <w:t>Amount of</w:t>
            </w:r>
          </w:p>
        </w:tc>
      </w:tr>
      <w:tr>
        <w:trPr>
          <w:trHeight w:val="153"/>
        </w:trPr>
        <w:tc>
          <w:tcPr>
            <w:tcW w:w="20" w:type="dxa"/>
            <w:vAlign w:val="bottom"/>
          </w:tcPr>
          <w:p>
            <w:pPr>
              <w:spacing w:after="0"/>
              <w:rPr>
                <w:sz w:val="13"/>
                <w:szCs w:val="13"/>
                <w:color w:val="auto"/>
              </w:rPr>
            </w:pPr>
          </w:p>
        </w:tc>
        <w:tc>
          <w:tcPr>
            <w:tcW w:w="7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88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4"/>
              </w:rPr>
              <w:t>Offering Price</w:t>
            </w:r>
            <w:r>
              <w:rPr>
                <w:rFonts w:ascii="Arial" w:cs="Arial" w:eastAsia="Arial" w:hAnsi="Arial"/>
                <w:sz w:val="9"/>
                <w:szCs w:val="9"/>
                <w:b w:val="1"/>
                <w:bCs w:val="1"/>
                <w:color w:val="auto"/>
                <w:w w:val="94"/>
              </w:rPr>
              <w:t>(1)(2)</w:t>
            </w:r>
          </w:p>
        </w:tc>
        <w:tc>
          <w:tcPr>
            <w:tcW w:w="184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7"/>
              </w:rPr>
              <w:t>Registration Fee</w:t>
            </w:r>
            <w:r>
              <w:rPr>
                <w:rFonts w:ascii="Arial" w:cs="Arial" w:eastAsia="Arial" w:hAnsi="Arial"/>
                <w:sz w:val="9"/>
                <w:szCs w:val="9"/>
                <w:b w:val="1"/>
                <w:bCs w:val="1"/>
                <w:color w:val="auto"/>
                <w:w w:val="87"/>
              </w:rPr>
              <w:t>(3)</w:t>
            </w:r>
          </w:p>
        </w:tc>
      </w:tr>
      <w:tr>
        <w:trPr>
          <w:trHeight w:val="145"/>
        </w:trPr>
        <w:tc>
          <w:tcPr>
            <w:tcW w:w="20" w:type="dxa"/>
            <w:vAlign w:val="bottom"/>
            <w:tcBorders>
              <w:bottom w:val="single" w:sz="8" w:color="auto"/>
            </w:tcBorders>
          </w:tcPr>
          <w:p>
            <w:pPr>
              <w:spacing w:after="0"/>
              <w:rPr>
                <w:sz w:val="12"/>
                <w:szCs w:val="12"/>
                <w:color w:val="auto"/>
              </w:rPr>
            </w:pPr>
          </w:p>
        </w:tc>
        <w:tc>
          <w:tcPr>
            <w:tcW w:w="726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3"/>
                <w:szCs w:val="13"/>
                <w:color w:val="auto"/>
              </w:rPr>
              <w:t>Class A common stock, par value $0.01 per share</w:t>
            </w:r>
          </w:p>
        </w:tc>
        <w:tc>
          <w:tcPr>
            <w:tcW w:w="1880" w:type="dxa"/>
            <w:vAlign w:val="bottom"/>
            <w:tcBorders>
              <w:bottom w:val="single" w:sz="8" w:color="auto"/>
              <w:right w:val="single" w:sz="8" w:color="auto"/>
            </w:tcBorders>
          </w:tcPr>
          <w:p>
            <w:pPr>
              <w:jc w:val="center"/>
              <w:ind w:left="20"/>
              <w:spacing w:after="0" w:line="145" w:lineRule="exact"/>
              <w:rPr>
                <w:sz w:val="20"/>
                <w:szCs w:val="20"/>
                <w:color w:val="auto"/>
              </w:rPr>
            </w:pPr>
            <w:r>
              <w:rPr>
                <w:rFonts w:ascii="Arial" w:cs="Arial" w:eastAsia="Arial" w:hAnsi="Arial"/>
                <w:sz w:val="13"/>
                <w:szCs w:val="13"/>
                <w:color w:val="auto"/>
                <w:w w:val="95"/>
              </w:rPr>
              <w:t>$100,000,000</w:t>
            </w:r>
          </w:p>
        </w:tc>
        <w:tc>
          <w:tcPr>
            <w:tcW w:w="1840" w:type="dxa"/>
            <w:vAlign w:val="bottom"/>
            <w:tcBorders>
              <w:bottom w:val="single" w:sz="8" w:color="auto"/>
            </w:tcBorders>
          </w:tcPr>
          <w:p>
            <w:pPr>
              <w:jc w:val="center"/>
              <w:ind w:left="19"/>
              <w:spacing w:after="0" w:line="145" w:lineRule="exact"/>
              <w:rPr>
                <w:sz w:val="20"/>
                <w:szCs w:val="20"/>
                <w:color w:val="auto"/>
              </w:rPr>
            </w:pPr>
            <w:r>
              <w:rPr>
                <w:rFonts w:ascii="Arial" w:cs="Arial" w:eastAsia="Arial" w:hAnsi="Arial"/>
                <w:sz w:val="13"/>
                <w:szCs w:val="13"/>
                <w:color w:val="auto"/>
                <w:w w:val="93"/>
              </w:rPr>
              <w:t>$12,120</w:t>
            </w: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540" w:hanging="330"/>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 (the “Securities Act”).</w:t>
      </w:r>
    </w:p>
    <w:p>
      <w:pPr>
        <w:spacing w:after="0" w:line="10" w:lineRule="exact"/>
        <w:rPr>
          <w:rFonts w:ascii="Arial" w:cs="Arial" w:eastAsia="Arial" w:hAnsi="Arial"/>
          <w:sz w:val="13"/>
          <w:szCs w:val="13"/>
          <w:color w:val="auto"/>
        </w:rPr>
      </w:pPr>
    </w:p>
    <w:p>
      <w:pPr>
        <w:ind w:left="540" w:hanging="330"/>
        <w:spacing w:after="0" w:line="238"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w:t>
      </w:r>
    </w:p>
    <w:p>
      <w:pPr>
        <w:ind w:left="540" w:hanging="330"/>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84455</wp:posOffset>
            </wp:positionV>
            <wp:extent cx="1473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67" w:lineRule="exact"/>
        <w:rPr>
          <w:sz w:val="24"/>
          <w:szCs w:val="24"/>
          <w:color w:val="auto"/>
        </w:rPr>
      </w:pPr>
    </w:p>
    <w:p>
      <w:pPr>
        <w:ind w:left="220" w:right="100" w:firstLine="33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44450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87630</wp:posOffset>
            </wp:positionV>
            <wp:extent cx="6989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20"/>
          <w:szCs w:val="20"/>
          <w:i w:val="1"/>
          <w:iCs w:val="1"/>
          <w:color w:val="auto"/>
        </w:rPr>
        <w:t>Subject to completion, dated September 20, 2019</w:t>
      </w:r>
    </w:p>
    <w:p>
      <w:pPr>
        <w:spacing w:after="0" w:line="73" w:lineRule="exact"/>
        <w:rPr>
          <w:sz w:val="20"/>
          <w:szCs w:val="20"/>
          <w:color w:val="auto"/>
        </w:rPr>
      </w:pPr>
    </w:p>
    <w:p>
      <w:pPr>
        <w:ind w:left="5760"/>
        <w:spacing w:after="0"/>
        <w:rPr>
          <w:sz w:val="20"/>
          <w:szCs w:val="20"/>
          <w:color w:val="auto"/>
        </w:rPr>
      </w:pPr>
      <w:r>
        <w:rPr>
          <w:rFonts w:ascii="Arial" w:cs="Arial" w:eastAsia="Arial" w:hAnsi="Arial"/>
          <w:sz w:val="29"/>
          <w:szCs w:val="29"/>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43180</wp:posOffset>
            </wp:positionV>
            <wp:extent cx="1670050" cy="822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0050" cy="82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134620</wp:posOffset>
            </wp:positionV>
            <wp:extent cx="147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77" w:lineRule="exact"/>
        <w:rPr>
          <w:sz w:val="20"/>
          <w:szCs w:val="20"/>
          <w:color w:val="auto"/>
        </w:rPr>
      </w:pPr>
    </w:p>
    <w:p>
      <w:pPr>
        <w:ind w:left="220"/>
        <w:spacing w:after="0"/>
        <w:tabs>
          <w:tab w:leader="none" w:pos="6840" w:val="left"/>
        </w:tabs>
        <w:rPr>
          <w:sz w:val="20"/>
          <w:szCs w:val="20"/>
          <w:color w:val="auto"/>
        </w:rPr>
      </w:pPr>
      <w:r>
        <w:rPr>
          <w:rFonts w:ascii="Arial" w:cs="Arial" w:eastAsia="Arial" w:hAnsi="Arial"/>
          <w:sz w:val="16"/>
          <w:szCs w:val="16"/>
          <w:b w:val="1"/>
          <w:bCs w:val="1"/>
          <w:i w:val="1"/>
          <w:iCs w:val="1"/>
          <w:color w:val="auto"/>
        </w:rPr>
        <w:t>This is the initial public offering of shares of our Class A common stock. We are offering</w:t>
      </w:r>
      <w:r>
        <w:rPr>
          <w:sz w:val="20"/>
          <w:szCs w:val="20"/>
          <w:color w:val="auto"/>
        </w:rPr>
        <w:tab/>
      </w:r>
      <w:r>
        <w:rPr>
          <w:rFonts w:ascii="Arial" w:cs="Arial" w:eastAsia="Arial" w:hAnsi="Arial"/>
          <w:sz w:val="13"/>
          <w:szCs w:val="13"/>
          <w:b w:val="1"/>
          <w:bCs w:val="1"/>
          <w:i w:val="1"/>
          <w:iCs w:val="1"/>
          <w:color w:val="auto"/>
        </w:rPr>
        <w:t>shares of our Class A common stock.</w:t>
      </w:r>
    </w:p>
    <w:p>
      <w:pPr>
        <w:spacing w:after="0" w:line="86" w:lineRule="exact"/>
        <w:rPr>
          <w:sz w:val="20"/>
          <w:szCs w:val="20"/>
          <w:color w:val="auto"/>
        </w:rPr>
      </w:pPr>
    </w:p>
    <w:p>
      <w:pPr>
        <w:ind w:left="220" w:right="60"/>
        <w:spacing w:after="0" w:line="278" w:lineRule="auto"/>
        <w:rPr>
          <w:sz w:val="20"/>
          <w:szCs w:val="20"/>
          <w:color w:val="auto"/>
        </w:rPr>
      </w:pPr>
      <w:r>
        <w:rPr>
          <w:rFonts w:ascii="Arial" w:cs="Arial" w:eastAsia="Arial" w:hAnsi="Arial"/>
          <w:sz w:val="16"/>
          <w:szCs w:val="16"/>
          <w:b w:val="1"/>
          <w:bCs w:val="1"/>
          <w:i w:val="1"/>
          <w:iCs w:val="1"/>
          <w:color w:val="auto"/>
        </w:rPr>
        <w:t>Before this offering, there has been no public market for our Class A common stock. We estimate the initial public offering price for our Class A common stock will be between $ and $ per share. We have applied to list our Class A common stock on the New York Stock Exchange (the “NYSE”), under the symbol “BRBR”.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105410</wp:posOffset>
            </wp:positionV>
            <wp:extent cx="1473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31" w:lineRule="exact"/>
        <w:rPr>
          <w:sz w:val="20"/>
          <w:szCs w:val="20"/>
          <w:color w:val="auto"/>
        </w:rPr>
      </w:pPr>
    </w:p>
    <w:p>
      <w:pPr>
        <w:ind w:left="220" w:right="140"/>
        <w:spacing w:after="0" w:line="312" w:lineRule="auto"/>
        <w:rPr>
          <w:sz w:val="20"/>
          <w:szCs w:val="20"/>
          <w:color w:val="auto"/>
        </w:rPr>
      </w:pPr>
      <w:r>
        <w:rPr>
          <w:rFonts w:ascii="Arial" w:cs="Arial" w:eastAsia="Arial" w:hAnsi="Arial"/>
          <w:sz w:val="14"/>
          <w:szCs w:val="14"/>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On matters presented to our stockholders, each share of our Class A common stock entitles its holder to one vote. For so long as Post Holdings, Inc. (“Post”) or its affiliates (other than us) directly own more than 50% of the BellRing Brands, LLC Units as described in this prospectus, the share of Class B common stock entitles its holder to a number of votes equal to 67% of the combined voting power of our common stock and, in the aggregate, the holders of our Class A common stock will have 33% of the combined voting power of our common stock. Holders of our shares of Class A common stock will be eligible for dividends and distributions upon liquidation. The holder of our share of Class B common stock will have no economic rights, including no rights to dividends or distributions upon liquidation. See “Description of Capital Stock.”</w:t>
      </w:r>
    </w:p>
    <w:p>
      <w:pPr>
        <w:spacing w:after="0" w:line="19" w:lineRule="exact"/>
        <w:rPr>
          <w:sz w:val="20"/>
          <w:szCs w:val="20"/>
          <w:color w:val="auto"/>
        </w:rPr>
      </w:pPr>
    </w:p>
    <w:p>
      <w:pPr>
        <w:ind w:left="220" w:right="220"/>
        <w:spacing w:after="0" w:line="278" w:lineRule="auto"/>
        <w:rPr>
          <w:sz w:val="20"/>
          <w:szCs w:val="20"/>
          <w:color w:val="auto"/>
        </w:rPr>
      </w:pPr>
      <w:r>
        <w:rPr>
          <w:rFonts w:ascii="Arial" w:cs="Arial" w:eastAsia="Arial" w:hAnsi="Arial"/>
          <w:sz w:val="16"/>
          <w:szCs w:val="16"/>
          <w:b w:val="1"/>
          <w:bCs w:val="1"/>
          <w:i w:val="1"/>
          <w:iCs w:val="1"/>
          <w:color w:val="auto"/>
        </w:rPr>
        <w:t>Following this offering,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105410</wp:posOffset>
            </wp:positionV>
            <wp:extent cx="1473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31" w:lineRule="exact"/>
        <w:rPr>
          <w:sz w:val="20"/>
          <w:szCs w:val="20"/>
          <w:color w:val="auto"/>
        </w:rPr>
      </w:pPr>
    </w:p>
    <w:p>
      <w:pPr>
        <w:ind w:left="220" w:right="100"/>
        <w:spacing w:after="0" w:line="348" w:lineRule="auto"/>
        <w:rPr>
          <w:sz w:val="20"/>
          <w:szCs w:val="20"/>
          <w:color w:val="auto"/>
        </w:rPr>
      </w:pPr>
      <w:r>
        <w:rPr>
          <w:rFonts w:ascii="Arial" w:cs="Arial" w:eastAsia="Arial" w:hAnsi="Arial"/>
          <w:sz w:val="14"/>
          <w:szCs w:val="14"/>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“Business—Emerging Growth Company Status.”</w:t>
      </w:r>
    </w:p>
    <w:p>
      <w:pPr>
        <w:spacing w:after="0" w:line="1" w:lineRule="exact"/>
        <w:rPr>
          <w:sz w:val="20"/>
          <w:szCs w:val="20"/>
          <w:color w:val="auto"/>
        </w:rPr>
      </w:pPr>
    </w:p>
    <w:p>
      <w:pPr>
        <w:ind w:left="220"/>
        <w:spacing w:after="0"/>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See “</w:t>
      </w:r>
      <w:hyperlink w:anchor="page39">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i w:val="1"/>
          <w:iCs w:val="1"/>
          <w:color w:val="auto"/>
        </w:rPr>
        <w:t>,” beginning on page 27,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142240</wp:posOffset>
            </wp:positionV>
            <wp:extent cx="1473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88" w:lineRule="exact"/>
        <w:rPr>
          <w:sz w:val="20"/>
          <w:szCs w:val="20"/>
          <w:color w:val="auto"/>
        </w:rPr>
      </w:pPr>
    </w:p>
    <w:p>
      <w:pPr>
        <w:ind w:left="220" w:right="80"/>
        <w:spacing w:after="0" w:line="292"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99060</wp:posOffset>
            </wp:positionV>
            <wp:extent cx="1473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Proceeds to</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w w:val="85"/>
              </w:rPr>
              <w:t>Price to</w:t>
            </w:r>
          </w:p>
        </w:tc>
        <w:tc>
          <w:tcPr>
            <w:tcW w:w="10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5"/>
              </w:rPr>
              <w:t>BellRing</w:t>
            </w:r>
          </w:p>
        </w:tc>
        <w:tc>
          <w:tcPr>
            <w:tcW w:w="0" w:type="dxa"/>
            <w:vAlign w:val="bottom"/>
          </w:tcPr>
          <w:p>
            <w:pPr>
              <w:spacing w:after="0"/>
              <w:rPr>
                <w:sz w:val="1"/>
                <w:szCs w:val="1"/>
                <w:color w:val="auto"/>
              </w:rPr>
            </w:pPr>
          </w:p>
        </w:tc>
      </w:tr>
      <w:tr>
        <w:trPr>
          <w:trHeight w:val="167"/>
        </w:trPr>
        <w:tc>
          <w:tcPr>
            <w:tcW w:w="6540" w:type="dxa"/>
            <w:vAlign w:val="bottom"/>
            <w:vMerge w:val="restart"/>
          </w:tcPr>
          <w:p>
            <w:pPr>
              <w:spacing w:after="0"/>
              <w:rPr>
                <w:sz w:val="20"/>
                <w:szCs w:val="20"/>
                <w:color w:val="auto"/>
              </w:rPr>
            </w:pPr>
            <w:r>
              <w:rPr>
                <w:rFonts w:ascii="Arial" w:cs="Arial" w:eastAsia="Arial" w:hAnsi="Arial"/>
                <w:sz w:val="16"/>
                <w:szCs w:val="16"/>
                <w:i w:val="1"/>
                <w:iCs w:val="1"/>
                <w:color w:val="auto"/>
              </w:rPr>
              <w:t>Per share</w:t>
            </w:r>
          </w:p>
        </w:tc>
        <w:tc>
          <w:tcPr>
            <w:tcW w:w="480" w:type="dxa"/>
            <w:vAlign w:val="bottom"/>
          </w:tcPr>
          <w:p>
            <w:pPr>
              <w:ind w:left="60"/>
              <w:spacing w:after="0"/>
              <w:rPr>
                <w:sz w:val="20"/>
                <w:szCs w:val="20"/>
                <w:color w:val="auto"/>
              </w:rPr>
            </w:pPr>
            <w:r>
              <w:rPr>
                <w:rFonts w:ascii="Arial" w:cs="Arial" w:eastAsia="Arial" w:hAnsi="Arial"/>
                <w:sz w:val="14"/>
                <w:szCs w:val="14"/>
                <w:b w:val="1"/>
                <w:bCs w:val="1"/>
                <w:i w:val="1"/>
                <w:iCs w:val="1"/>
                <w:color w:val="auto"/>
                <w:w w:val="95"/>
              </w:rPr>
              <w:t>Public</w:t>
            </w:r>
          </w:p>
        </w:tc>
        <w:tc>
          <w:tcPr>
            <w:tcW w:w="1940" w:type="dxa"/>
            <w:vAlign w:val="bottom"/>
            <w:gridSpan w:val="2"/>
          </w:tcPr>
          <w:p>
            <w:pPr>
              <w:jc w:val="center"/>
              <w:ind w:left="904"/>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1760" w:type="dxa"/>
            <w:vAlign w:val="bottom"/>
            <w:gridSpan w:val="2"/>
          </w:tcPr>
          <w:p>
            <w:pPr>
              <w:jc w:val="center"/>
              <w:ind w:left="944"/>
              <w:spacing w:after="0"/>
              <w:rPr>
                <w:sz w:val="20"/>
                <w:szCs w:val="20"/>
                <w:color w:val="auto"/>
              </w:rPr>
            </w:pPr>
            <w:r>
              <w:rPr>
                <w:rFonts w:ascii="Arial" w:cs="Arial" w:eastAsia="Arial" w:hAnsi="Arial"/>
                <w:sz w:val="14"/>
                <w:szCs w:val="14"/>
                <w:b w:val="1"/>
                <w:bCs w:val="1"/>
                <w:i w:val="1"/>
                <w:iCs w:val="1"/>
                <w:color w:val="auto"/>
                <w:w w:val="92"/>
              </w:rPr>
              <w:t>Brands, Inc.</w:t>
            </w:r>
          </w:p>
        </w:tc>
        <w:tc>
          <w:tcPr>
            <w:tcW w:w="0" w:type="dxa"/>
            <w:vAlign w:val="bottom"/>
          </w:tcPr>
          <w:p>
            <w:pPr>
              <w:spacing w:after="0"/>
              <w:rPr>
                <w:sz w:val="1"/>
                <w:szCs w:val="1"/>
                <w:color w:val="auto"/>
              </w:rPr>
            </w:pPr>
          </w:p>
        </w:tc>
      </w:tr>
      <w:tr>
        <w:trPr>
          <w:trHeight w:val="186"/>
        </w:trPr>
        <w:tc>
          <w:tcPr>
            <w:tcW w:w="6540" w:type="dxa"/>
            <w:vAlign w:val="bottom"/>
            <w:vMerge w:val="continue"/>
          </w:tcPr>
          <w:p>
            <w:pPr>
              <w:spacing w:after="0"/>
              <w:rPr>
                <w:sz w:val="16"/>
                <w:szCs w:val="16"/>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w:t>
            </w:r>
          </w:p>
        </w:tc>
        <w:tc>
          <w:tcPr>
            <w:tcW w:w="1000" w:type="dxa"/>
            <w:vAlign w:val="bottom"/>
          </w:tcPr>
          <w:p>
            <w:pPr>
              <w:spacing w:after="0"/>
              <w:rPr>
                <w:sz w:val="16"/>
                <w:szCs w:val="16"/>
                <w:color w:val="auto"/>
              </w:rPr>
            </w:pPr>
          </w:p>
        </w:tc>
        <w:tc>
          <w:tcPr>
            <w:tcW w:w="940" w:type="dxa"/>
            <w:vAlign w:val="bottom"/>
            <w:tcBorders>
              <w:top w:val="single" w:sz="8" w:color="auto"/>
            </w:tcBorders>
          </w:tcPr>
          <w:p>
            <w:pPr>
              <w:jc w:val="right"/>
              <w:ind w:right="626"/>
              <w:spacing w:after="0"/>
              <w:rPr>
                <w:sz w:val="20"/>
                <w:szCs w:val="20"/>
                <w:color w:val="auto"/>
              </w:rPr>
            </w:pPr>
            <w:r>
              <w:rPr>
                <w:rFonts w:ascii="Arial" w:cs="Arial" w:eastAsia="Arial" w:hAnsi="Arial"/>
                <w:sz w:val="16"/>
                <w:szCs w:val="16"/>
                <w:i w:val="1"/>
                <w:iCs w:val="1"/>
                <w:color w:val="auto"/>
              </w:rPr>
              <w:t>$</w:t>
            </w:r>
          </w:p>
        </w:tc>
        <w:tc>
          <w:tcPr>
            <w:tcW w:w="1020" w:type="dxa"/>
            <w:vAlign w:val="bottom"/>
          </w:tcPr>
          <w:p>
            <w:pPr>
              <w:spacing w:after="0"/>
              <w:rPr>
                <w:sz w:val="16"/>
                <w:szCs w:val="16"/>
                <w:color w:val="auto"/>
              </w:rPr>
            </w:pPr>
          </w:p>
        </w:tc>
        <w:tc>
          <w:tcPr>
            <w:tcW w:w="740" w:type="dxa"/>
            <w:vAlign w:val="bottom"/>
            <w:tcBorders>
              <w:top w:val="single" w:sz="8" w:color="auto"/>
            </w:tcBorders>
          </w:tcPr>
          <w:p>
            <w:pPr>
              <w:jc w:val="right"/>
              <w:ind w:right="505"/>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6"/>
        </w:trPr>
        <w:tc>
          <w:tcPr>
            <w:tcW w:w="6540" w:type="dxa"/>
            <w:vAlign w:val="bottom"/>
          </w:tcPr>
          <w:p>
            <w:pPr>
              <w:spacing w:after="0"/>
              <w:rPr>
                <w:sz w:val="20"/>
                <w:szCs w:val="20"/>
                <w:color w:val="auto"/>
              </w:rPr>
            </w:pPr>
            <w:r>
              <w:rPr>
                <w:rFonts w:ascii="Arial" w:cs="Arial" w:eastAsia="Arial" w:hAnsi="Arial"/>
                <w:sz w:val="16"/>
                <w:szCs w:val="16"/>
                <w:i w:val="1"/>
                <w:iCs w:val="1"/>
                <w:color w:val="auto"/>
              </w:rPr>
              <w:t>Total</w:t>
            </w:r>
          </w:p>
        </w:tc>
        <w:tc>
          <w:tcPr>
            <w:tcW w:w="480" w:type="dxa"/>
            <w:vAlign w:val="bottom"/>
          </w:tcPr>
          <w:p>
            <w:pPr>
              <w:ind w:left="20"/>
              <w:spacing w:after="0"/>
              <w:rPr>
                <w:sz w:val="20"/>
                <w:szCs w:val="20"/>
                <w:color w:val="auto"/>
              </w:rPr>
            </w:pPr>
            <w:r>
              <w:rPr>
                <w:rFonts w:ascii="Arial" w:cs="Arial" w:eastAsia="Arial" w:hAnsi="Arial"/>
                <w:sz w:val="16"/>
                <w:szCs w:val="16"/>
                <w:i w:val="1"/>
                <w:iCs w:val="1"/>
                <w:color w:val="auto"/>
              </w:rPr>
              <w:t>$</w:t>
            </w:r>
          </w:p>
        </w:tc>
        <w:tc>
          <w:tcPr>
            <w:tcW w:w="1940" w:type="dxa"/>
            <w:vAlign w:val="bottom"/>
            <w:gridSpan w:val="2"/>
          </w:tcPr>
          <w:p>
            <w:pPr>
              <w:jc w:val="right"/>
              <w:ind w:right="626"/>
              <w:spacing w:after="0"/>
              <w:rPr>
                <w:sz w:val="20"/>
                <w:szCs w:val="20"/>
                <w:color w:val="auto"/>
              </w:rPr>
            </w:pPr>
            <w:r>
              <w:rPr>
                <w:rFonts w:ascii="Arial" w:cs="Arial" w:eastAsia="Arial" w:hAnsi="Arial"/>
                <w:sz w:val="16"/>
                <w:szCs w:val="16"/>
                <w:i w:val="1"/>
                <w:iCs w:val="1"/>
                <w:color w:val="auto"/>
              </w:rPr>
              <w:t>$</w:t>
            </w:r>
          </w:p>
        </w:tc>
        <w:tc>
          <w:tcPr>
            <w:tcW w:w="1760" w:type="dxa"/>
            <w:vAlign w:val="bottom"/>
            <w:gridSpan w:val="2"/>
          </w:tcPr>
          <w:p>
            <w:pPr>
              <w:jc w:val="right"/>
              <w:ind w:right="505"/>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72390</wp:posOffset>
            </wp:positionV>
            <wp:extent cx="770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24" w:lineRule="exact"/>
        <w:rPr>
          <w:sz w:val="20"/>
          <w:szCs w:val="20"/>
          <w:color w:val="auto"/>
        </w:rPr>
      </w:pPr>
    </w:p>
    <w:p>
      <w:pPr>
        <w:ind w:left="640" w:hanging="430"/>
        <w:spacing w:after="0"/>
        <w:tabs>
          <w:tab w:leader="none" w:pos="6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“Underwriting (Conflicts of Interest)” for a description of the compensation payable to the underwriters.</w:t>
      </w:r>
    </w:p>
    <w:p>
      <w:pPr>
        <w:spacing w:after="0" w:line="99" w:lineRule="exact"/>
        <w:rPr>
          <w:sz w:val="20"/>
          <w:szCs w:val="20"/>
          <w:color w:val="auto"/>
        </w:rPr>
      </w:pPr>
    </w:p>
    <w:p>
      <w:pPr>
        <w:ind w:left="220"/>
        <w:spacing w:after="0"/>
        <w:tabs>
          <w:tab w:leader="none" w:pos="4100" w:val="left"/>
        </w:tabs>
        <w:rPr>
          <w:sz w:val="20"/>
          <w:szCs w:val="20"/>
          <w:color w:val="auto"/>
        </w:rPr>
      </w:pPr>
      <w:r>
        <w:rPr>
          <w:rFonts w:ascii="Arial" w:cs="Arial" w:eastAsia="Arial" w:hAnsi="Arial"/>
          <w:sz w:val="16"/>
          <w:szCs w:val="16"/>
          <w:i w:val="1"/>
          <w:iCs w:val="1"/>
          <w:color w:val="auto"/>
        </w:rPr>
        <w:t>To the extent that the underwriters sell more than</w:t>
      </w:r>
      <w:r>
        <w:rPr>
          <w:sz w:val="20"/>
          <w:szCs w:val="20"/>
          <w:color w:val="auto"/>
        </w:rPr>
        <w:tab/>
      </w:r>
      <w:r>
        <w:rPr>
          <w:rFonts w:ascii="Arial" w:cs="Arial" w:eastAsia="Arial" w:hAnsi="Arial"/>
          <w:sz w:val="14"/>
          <w:szCs w:val="14"/>
          <w:i w:val="1"/>
          <w:iCs w:val="1"/>
          <w:color w:val="auto"/>
        </w:rPr>
        <w:t>shares of Class A common stock, the underwriters have the option to purchase up to an</w:t>
      </w:r>
    </w:p>
    <w:p>
      <w:pPr>
        <w:spacing w:after="0" w:line="22" w:lineRule="exact"/>
        <w:rPr>
          <w:sz w:val="20"/>
          <w:szCs w:val="20"/>
          <w:color w:val="auto"/>
        </w:rPr>
      </w:pPr>
    </w:p>
    <w:p>
      <w:pPr>
        <w:ind w:left="220"/>
        <w:spacing w:after="0"/>
        <w:tabs>
          <w:tab w:leader="none" w:pos="1580" w:val="left"/>
        </w:tabs>
        <w:rPr>
          <w:sz w:val="20"/>
          <w:szCs w:val="20"/>
          <w:color w:val="auto"/>
        </w:rPr>
      </w:pPr>
      <w:r>
        <w:rPr>
          <w:rFonts w:ascii="Arial" w:cs="Arial" w:eastAsia="Arial" w:hAnsi="Arial"/>
          <w:sz w:val="15"/>
          <w:szCs w:val="15"/>
          <w:i w:val="1"/>
          <w:iCs w:val="1"/>
          <w:color w:val="auto"/>
        </w:rPr>
        <w:t>additional</w:t>
      </w:r>
      <w:r>
        <w:rPr>
          <w:sz w:val="20"/>
          <w:szCs w:val="20"/>
          <w:color w:val="auto"/>
        </w:rPr>
        <w:tab/>
      </w:r>
      <w:r>
        <w:rPr>
          <w:rFonts w:ascii="Arial" w:cs="Arial" w:eastAsia="Arial" w:hAnsi="Arial"/>
          <w:sz w:val="15"/>
          <w:szCs w:val="15"/>
          <w:i w:val="1"/>
          <w:iCs w:val="1"/>
          <w:color w:val="auto"/>
        </w:rPr>
        <w:t>shares of Class A common stock from us at the initial public offering price less the underwriting discount. See “Underwriting (Conflicts of</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Interest).”</w:t>
      </w:r>
    </w:p>
    <w:p>
      <w:pPr>
        <w:sectPr>
          <w:pgSz w:w="11900" w:h="16838" w:orient="portrait"/>
          <w:cols w:equalWidth="0" w:num="1">
            <w:col w:w="11160"/>
          </w:cols>
          <w:pgMar w:left="240" w:top="459" w:right="499" w:bottom="1440" w:gutter="0" w:footer="0" w:header="0"/>
        </w:sectPr>
      </w:pP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152400</wp:posOffset>
            </wp:positionV>
            <wp:extent cx="1473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2019.</w:t>
      </w:r>
    </w:p>
    <w:p>
      <w:pPr>
        <w:spacing w:after="0" w:line="200" w:lineRule="exact"/>
        <w:rPr>
          <w:sz w:val="20"/>
          <w:szCs w:val="20"/>
          <w:color w:val="auto"/>
        </w:rPr>
      </w:pPr>
    </w:p>
    <w:p>
      <w:pPr>
        <w:sectPr>
          <w:pgSz w:w="11900" w:h="16838" w:orient="portrait"/>
          <w:cols w:equalWidth="0" w:num="2">
            <w:col w:w="5980" w:space="680"/>
            <w:col w:w="4500"/>
          </w:cols>
          <w:pgMar w:left="240" w:top="459" w:right="499" w:bottom="1440" w:gutter="0" w:footer="0" w:header="0"/>
          <w:type w:val="continuous"/>
        </w:sectPr>
      </w:pP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298"/>
        </w:trPr>
        <w:tc>
          <w:tcPr>
            <w:tcW w:w="1580" w:type="dxa"/>
            <w:vAlign w:val="bottom"/>
          </w:tcPr>
          <w:p>
            <w:pPr>
              <w:spacing w:after="0"/>
              <w:rPr>
                <w:sz w:val="20"/>
                <w:szCs w:val="20"/>
                <w:color w:val="auto"/>
              </w:rPr>
            </w:pPr>
            <w:r>
              <w:rPr>
                <w:rFonts w:ascii="Arial" w:cs="Arial" w:eastAsia="Arial" w:hAnsi="Arial"/>
                <w:sz w:val="23"/>
                <w:szCs w:val="23"/>
                <w:i w:val="1"/>
                <w:iCs w:val="1"/>
                <w:color w:val="auto"/>
                <w:w w:val="96"/>
              </w:rPr>
              <w:t>Morgan Stanley</w:t>
            </w:r>
          </w:p>
        </w:tc>
        <w:tc>
          <w:tcPr>
            <w:tcW w:w="1040" w:type="dxa"/>
            <w:vAlign w:val="bottom"/>
          </w:tcPr>
          <w:p>
            <w:pPr>
              <w:spacing w:after="0"/>
              <w:rPr>
                <w:sz w:val="24"/>
                <w:szCs w:val="24"/>
                <w:color w:val="auto"/>
              </w:rPr>
            </w:pPr>
          </w:p>
        </w:tc>
        <w:tc>
          <w:tcPr>
            <w:tcW w:w="1320" w:type="dxa"/>
            <w:vAlign w:val="bottom"/>
          </w:tcPr>
          <w:p>
            <w:pPr>
              <w:ind w:left="380"/>
              <w:spacing w:after="0"/>
              <w:rPr>
                <w:sz w:val="20"/>
                <w:szCs w:val="20"/>
                <w:color w:val="auto"/>
              </w:rPr>
            </w:pPr>
            <w:r>
              <w:rPr>
                <w:rFonts w:ascii="Arial" w:cs="Arial" w:eastAsia="Arial" w:hAnsi="Arial"/>
                <w:sz w:val="23"/>
                <w:szCs w:val="23"/>
                <w:i w:val="1"/>
                <w:iCs w:val="1"/>
                <w:color w:val="auto"/>
                <w:w w:val="99"/>
              </w:rPr>
              <w:t>Citigroup</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23"/>
                <w:szCs w:val="23"/>
                <w:i w:val="1"/>
                <w:iCs w:val="1"/>
                <w:color w:val="auto"/>
                <w:w w:val="93"/>
              </w:rPr>
              <w:t>J.P. Morgan</w:t>
            </w:r>
          </w:p>
        </w:tc>
        <w:tc>
          <w:tcPr>
            <w:tcW w:w="1040" w:type="dxa"/>
            <w:vAlign w:val="bottom"/>
          </w:tcPr>
          <w:p>
            <w:pPr>
              <w:spacing w:after="0"/>
              <w:rPr>
                <w:sz w:val="24"/>
                <w:szCs w:val="24"/>
                <w:color w:val="auto"/>
              </w:rPr>
            </w:pPr>
          </w:p>
        </w:tc>
        <w:tc>
          <w:tcPr>
            <w:tcW w:w="3140" w:type="dxa"/>
            <w:vAlign w:val="bottom"/>
            <w:gridSpan w:val="2"/>
          </w:tcPr>
          <w:p>
            <w:pPr>
              <w:ind w:left="560"/>
              <w:spacing w:after="0"/>
              <w:rPr>
                <w:sz w:val="20"/>
                <w:szCs w:val="20"/>
                <w:color w:val="auto"/>
              </w:rPr>
            </w:pPr>
            <w:r>
              <w:rPr>
                <w:rFonts w:ascii="Arial" w:cs="Arial" w:eastAsia="Arial" w:hAnsi="Arial"/>
                <w:sz w:val="23"/>
                <w:szCs w:val="23"/>
                <w:i w:val="1"/>
                <w:iCs w:val="1"/>
                <w:color w:val="auto"/>
                <w:w w:val="92"/>
              </w:rPr>
              <w:t>Goldman Sachs &amp; Co. LLC</w:t>
            </w:r>
          </w:p>
        </w:tc>
        <w:tc>
          <w:tcPr>
            <w:tcW w:w="0" w:type="dxa"/>
            <w:vAlign w:val="bottom"/>
          </w:tcPr>
          <w:p>
            <w:pPr>
              <w:spacing w:after="0"/>
              <w:rPr>
                <w:sz w:val="1"/>
                <w:szCs w:val="1"/>
                <w:color w:val="auto"/>
              </w:rPr>
            </w:pPr>
          </w:p>
        </w:tc>
      </w:tr>
      <w:tr>
        <w:trPr>
          <w:trHeight w:val="257"/>
        </w:trPr>
        <w:tc>
          <w:tcPr>
            <w:tcW w:w="1580" w:type="dxa"/>
            <w:vAlign w:val="bottom"/>
          </w:tcPr>
          <w:p>
            <w:pPr>
              <w:ind w:left="280"/>
              <w:spacing w:after="0"/>
              <w:rPr>
                <w:sz w:val="20"/>
                <w:szCs w:val="20"/>
                <w:color w:val="auto"/>
              </w:rPr>
            </w:pPr>
            <w:r>
              <w:rPr>
                <w:rFonts w:ascii="Arial" w:cs="Arial" w:eastAsia="Arial" w:hAnsi="Arial"/>
                <w:sz w:val="16"/>
                <w:szCs w:val="16"/>
                <w:i w:val="1"/>
                <w:iCs w:val="1"/>
                <w:color w:val="auto"/>
              </w:rPr>
              <w:t>BofA Merrill</w:t>
            </w:r>
          </w:p>
        </w:tc>
        <w:tc>
          <w:tcPr>
            <w:tcW w:w="1040" w:type="dxa"/>
            <w:vAlign w:val="bottom"/>
          </w:tcPr>
          <w:p>
            <w:pPr>
              <w:jc w:val="right"/>
              <w:ind w:right="282"/>
              <w:spacing w:after="0"/>
              <w:rPr>
                <w:sz w:val="20"/>
                <w:szCs w:val="20"/>
                <w:color w:val="auto"/>
              </w:rPr>
            </w:pPr>
            <w:r>
              <w:rPr>
                <w:rFonts w:ascii="Arial" w:cs="Arial" w:eastAsia="Arial" w:hAnsi="Arial"/>
                <w:sz w:val="16"/>
                <w:szCs w:val="16"/>
                <w:i w:val="1"/>
                <w:iCs w:val="1"/>
                <w:color w:val="auto"/>
              </w:rPr>
              <w:t>Barclays</w:t>
            </w:r>
          </w:p>
        </w:tc>
        <w:tc>
          <w:tcPr>
            <w:tcW w:w="1320" w:type="dxa"/>
            <w:vAlign w:val="bottom"/>
          </w:tcPr>
          <w:p>
            <w:pPr>
              <w:jc w:val="center"/>
              <w:spacing w:after="0"/>
              <w:rPr>
                <w:sz w:val="20"/>
                <w:szCs w:val="20"/>
                <w:color w:val="auto"/>
              </w:rPr>
            </w:pPr>
            <w:r>
              <w:rPr>
                <w:rFonts w:ascii="Arial" w:cs="Arial" w:eastAsia="Arial" w:hAnsi="Arial"/>
                <w:sz w:val="16"/>
                <w:szCs w:val="16"/>
                <w:i w:val="1"/>
                <w:iCs w:val="1"/>
                <w:color w:val="auto"/>
                <w:w w:val="96"/>
              </w:rPr>
              <w:t>BMO Capital</w:t>
            </w:r>
          </w:p>
        </w:tc>
        <w:tc>
          <w:tcPr>
            <w:tcW w:w="400" w:type="dxa"/>
            <w:vAlign w:val="bottom"/>
          </w:tcPr>
          <w:p>
            <w:pPr>
              <w:spacing w:after="0"/>
              <w:rPr>
                <w:sz w:val="22"/>
                <w:szCs w:val="22"/>
                <w:color w:val="auto"/>
              </w:rPr>
            </w:pPr>
          </w:p>
        </w:tc>
        <w:tc>
          <w:tcPr>
            <w:tcW w:w="1200" w:type="dxa"/>
            <w:vAlign w:val="bottom"/>
          </w:tcPr>
          <w:p>
            <w:pPr>
              <w:ind w:left="80"/>
              <w:spacing w:after="0"/>
              <w:rPr>
                <w:sz w:val="20"/>
                <w:szCs w:val="20"/>
                <w:color w:val="auto"/>
              </w:rPr>
            </w:pPr>
            <w:r>
              <w:rPr>
                <w:rFonts w:ascii="Arial" w:cs="Arial" w:eastAsia="Arial" w:hAnsi="Arial"/>
                <w:sz w:val="16"/>
                <w:szCs w:val="16"/>
                <w:i w:val="1"/>
                <w:iCs w:val="1"/>
                <w:color w:val="auto"/>
              </w:rPr>
              <w:t>Credit Suisse</w:t>
            </w:r>
          </w:p>
        </w:tc>
        <w:tc>
          <w:tcPr>
            <w:tcW w:w="122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Evercore</w:t>
            </w:r>
          </w:p>
        </w:tc>
        <w:tc>
          <w:tcPr>
            <w:tcW w:w="1040" w:type="dxa"/>
            <w:vAlign w:val="bottom"/>
          </w:tcPr>
          <w:p>
            <w:pPr>
              <w:ind w:left="140"/>
              <w:spacing w:after="0"/>
              <w:rPr>
                <w:sz w:val="20"/>
                <w:szCs w:val="20"/>
                <w:color w:val="auto"/>
              </w:rPr>
            </w:pPr>
            <w:r>
              <w:rPr>
                <w:rFonts w:ascii="Arial" w:cs="Arial" w:eastAsia="Arial" w:hAnsi="Arial"/>
                <w:sz w:val="16"/>
                <w:szCs w:val="16"/>
                <w:i w:val="1"/>
                <w:iCs w:val="1"/>
                <w:color w:val="auto"/>
              </w:rPr>
              <w:t>Stifel</w:t>
            </w:r>
          </w:p>
        </w:tc>
        <w:tc>
          <w:tcPr>
            <w:tcW w:w="1340" w:type="dxa"/>
            <w:vAlign w:val="bottom"/>
          </w:tcPr>
          <w:p>
            <w:pPr>
              <w:jc w:val="center"/>
              <w:spacing w:after="0"/>
              <w:rPr>
                <w:sz w:val="20"/>
                <w:szCs w:val="20"/>
                <w:color w:val="auto"/>
              </w:rPr>
            </w:pPr>
            <w:r>
              <w:rPr>
                <w:rFonts w:ascii="Arial" w:cs="Arial" w:eastAsia="Arial" w:hAnsi="Arial"/>
                <w:sz w:val="16"/>
                <w:szCs w:val="16"/>
                <w:i w:val="1"/>
                <w:iCs w:val="1"/>
                <w:color w:val="auto"/>
                <w:w w:val="90"/>
              </w:rPr>
              <w:t>SunTrust Robinson</w:t>
            </w:r>
          </w:p>
        </w:tc>
        <w:tc>
          <w:tcPr>
            <w:tcW w:w="1800" w:type="dxa"/>
            <w:vAlign w:val="bottom"/>
          </w:tcPr>
          <w:p>
            <w:pPr>
              <w:jc w:val="center"/>
              <w:ind w:left="502"/>
              <w:spacing w:after="0"/>
              <w:rPr>
                <w:sz w:val="20"/>
                <w:szCs w:val="20"/>
                <w:color w:val="auto"/>
              </w:rPr>
            </w:pPr>
            <w:r>
              <w:rPr>
                <w:rFonts w:ascii="Arial" w:cs="Arial" w:eastAsia="Arial" w:hAnsi="Arial"/>
                <w:sz w:val="16"/>
                <w:szCs w:val="16"/>
                <w:i w:val="1"/>
                <w:iCs w:val="1"/>
                <w:color w:val="auto"/>
                <w:w w:val="91"/>
              </w:rPr>
              <w:t>Wells Fargo</w:t>
            </w:r>
          </w:p>
        </w:tc>
        <w:tc>
          <w:tcPr>
            <w:tcW w:w="0" w:type="dxa"/>
            <w:vAlign w:val="bottom"/>
          </w:tcPr>
          <w:p>
            <w:pPr>
              <w:spacing w:after="0"/>
              <w:rPr>
                <w:sz w:val="1"/>
                <w:szCs w:val="1"/>
                <w:color w:val="auto"/>
              </w:rPr>
            </w:pPr>
          </w:p>
        </w:tc>
      </w:tr>
      <w:tr>
        <w:trPr>
          <w:trHeight w:val="206"/>
        </w:trPr>
        <w:tc>
          <w:tcPr>
            <w:tcW w:w="1580" w:type="dxa"/>
            <w:vAlign w:val="bottom"/>
          </w:tcPr>
          <w:p>
            <w:pPr>
              <w:ind w:left="480"/>
              <w:spacing w:after="0"/>
              <w:rPr>
                <w:sz w:val="20"/>
                <w:szCs w:val="20"/>
                <w:color w:val="auto"/>
              </w:rPr>
            </w:pPr>
            <w:r>
              <w:rPr>
                <w:rFonts w:ascii="Arial" w:cs="Arial" w:eastAsia="Arial" w:hAnsi="Arial"/>
                <w:sz w:val="16"/>
                <w:szCs w:val="16"/>
                <w:i w:val="1"/>
                <w:iCs w:val="1"/>
                <w:color w:val="auto"/>
              </w:rPr>
              <w:t>Lynch</w:t>
            </w:r>
          </w:p>
        </w:tc>
        <w:tc>
          <w:tcPr>
            <w:tcW w:w="10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i w:val="1"/>
                <w:iCs w:val="1"/>
                <w:color w:val="auto"/>
                <w:w w:val="91"/>
              </w:rPr>
              <w:t>Markets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i w:val="1"/>
                <w:iCs w:val="1"/>
                <w:color w:val="auto"/>
              </w:rPr>
              <w:t>ISI</w:t>
            </w:r>
          </w:p>
        </w:tc>
        <w:tc>
          <w:tcPr>
            <w:tcW w:w="10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i w:val="1"/>
                <w:iCs w:val="1"/>
                <w:color w:val="auto"/>
                <w:w w:val="92"/>
              </w:rPr>
              <w:t>Humphrey</w:t>
            </w:r>
          </w:p>
        </w:tc>
        <w:tc>
          <w:tcPr>
            <w:tcW w:w="1800" w:type="dxa"/>
            <w:vAlign w:val="bottom"/>
          </w:tcPr>
          <w:p>
            <w:pPr>
              <w:jc w:val="center"/>
              <w:ind w:left="482"/>
              <w:spacing w:after="0"/>
              <w:rPr>
                <w:sz w:val="20"/>
                <w:szCs w:val="20"/>
                <w:color w:val="auto"/>
              </w:rPr>
            </w:pPr>
            <w:r>
              <w:rPr>
                <w:rFonts w:ascii="Arial" w:cs="Arial" w:eastAsia="Arial" w:hAnsi="Arial"/>
                <w:sz w:val="16"/>
                <w:szCs w:val="16"/>
                <w:i w:val="1"/>
                <w:iCs w:val="1"/>
                <w:color w:val="auto"/>
                <w:w w:val="91"/>
              </w:rPr>
              <w:t>Securities</w:t>
            </w:r>
          </w:p>
        </w:tc>
        <w:tc>
          <w:tcPr>
            <w:tcW w:w="0" w:type="dxa"/>
            <w:vAlign w:val="bottom"/>
          </w:tcPr>
          <w:p>
            <w:pPr>
              <w:spacing w:after="0"/>
              <w:rPr>
                <w:sz w:val="1"/>
                <w:szCs w:val="1"/>
                <w:color w:val="auto"/>
              </w:rPr>
            </w:pPr>
          </w:p>
        </w:tc>
      </w:tr>
      <w:tr>
        <w:trPr>
          <w:trHeight w:val="237"/>
        </w:trPr>
        <w:tc>
          <w:tcPr>
            <w:tcW w:w="1580" w:type="dxa"/>
            <w:vAlign w:val="bottom"/>
          </w:tcPr>
          <w:p>
            <w:pPr>
              <w:ind w:left="280"/>
              <w:spacing w:after="0"/>
              <w:rPr>
                <w:sz w:val="20"/>
                <w:szCs w:val="20"/>
                <w:color w:val="auto"/>
              </w:rPr>
            </w:pPr>
            <w:r>
              <w:rPr>
                <w:rFonts w:ascii="Arial" w:cs="Arial" w:eastAsia="Arial" w:hAnsi="Arial"/>
                <w:sz w:val="14"/>
                <w:szCs w:val="14"/>
                <w:i w:val="1"/>
                <w:iCs w:val="1"/>
                <w:color w:val="auto"/>
              </w:rPr>
              <w:t>HSBC</w:t>
            </w:r>
          </w:p>
        </w:tc>
        <w:tc>
          <w:tcPr>
            <w:tcW w:w="1040" w:type="dxa"/>
            <w:vAlign w:val="bottom"/>
          </w:tcPr>
          <w:p>
            <w:pPr>
              <w:jc w:val="right"/>
              <w:ind w:right="142"/>
              <w:spacing w:after="0"/>
              <w:rPr>
                <w:sz w:val="20"/>
                <w:szCs w:val="20"/>
                <w:color w:val="auto"/>
              </w:rPr>
            </w:pPr>
            <w:r>
              <w:rPr>
                <w:rFonts w:ascii="Arial" w:cs="Arial" w:eastAsia="Arial" w:hAnsi="Arial"/>
                <w:sz w:val="14"/>
                <w:szCs w:val="14"/>
                <w:i w:val="1"/>
                <w:iCs w:val="1"/>
                <w:color w:val="auto"/>
              </w:rPr>
              <w:t>Nomura</w:t>
            </w:r>
          </w:p>
        </w:tc>
        <w:tc>
          <w:tcPr>
            <w:tcW w:w="13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i w:val="1"/>
                <w:iCs w:val="1"/>
                <w:color w:val="auto"/>
                <w:w w:val="96"/>
              </w:rPr>
              <w:t>PNC Capital Markets LLC</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60"/>
              <w:spacing w:after="0"/>
              <w:rPr>
                <w:sz w:val="20"/>
                <w:szCs w:val="20"/>
                <w:color w:val="auto"/>
              </w:rPr>
            </w:pPr>
            <w:r>
              <w:rPr>
                <w:rFonts w:ascii="Arial" w:cs="Arial" w:eastAsia="Arial" w:hAnsi="Arial"/>
                <w:sz w:val="14"/>
                <w:szCs w:val="14"/>
                <w:i w:val="1"/>
                <w:iCs w:val="1"/>
                <w:color w:val="auto"/>
                <w:w w:val="97"/>
              </w:rPr>
              <w:t>Rabo Securities</w:t>
            </w:r>
          </w:p>
        </w:tc>
        <w:tc>
          <w:tcPr>
            <w:tcW w:w="134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4"/>
                <w:szCs w:val="14"/>
                <w:i w:val="1"/>
                <w:iCs w:val="1"/>
                <w:color w:val="auto"/>
              </w:rPr>
              <w:t>UBS Investment Bank</w:t>
            </w:r>
          </w:p>
        </w:tc>
        <w:tc>
          <w:tcPr>
            <w:tcW w:w="0" w:type="dxa"/>
            <w:vAlign w:val="bottom"/>
          </w:tcPr>
          <w:p>
            <w:pPr>
              <w:spacing w:after="0"/>
              <w:rPr>
                <w:sz w:val="1"/>
                <w:szCs w:val="1"/>
                <w:color w:val="auto"/>
              </w:rPr>
            </w:pPr>
          </w:p>
        </w:tc>
      </w:tr>
      <w:tr>
        <w:trPr>
          <w:trHeight w:val="187"/>
        </w:trPr>
        <w:tc>
          <w:tcPr>
            <w:tcW w:w="1580" w:type="dxa"/>
            <w:vAlign w:val="bottom"/>
            <w:vMerge w:val="restart"/>
          </w:tcPr>
          <w:p>
            <w:pPr>
              <w:spacing w:after="0"/>
              <w:rPr>
                <w:sz w:val="20"/>
                <w:szCs w:val="20"/>
                <w:color w:val="auto"/>
              </w:rPr>
            </w:pPr>
            <w:r>
              <w:rPr>
                <w:rFonts w:ascii="Arial" w:cs="Arial" w:eastAsia="Arial" w:hAnsi="Arial"/>
                <w:sz w:val="16"/>
                <w:szCs w:val="16"/>
                <w:i w:val="1"/>
                <w:iCs w:val="1"/>
                <w:color w:val="auto"/>
              </w:rPr>
              <w:t>Prospectus dated</w:t>
            </w:r>
          </w:p>
        </w:tc>
        <w:tc>
          <w:tcPr>
            <w:tcW w:w="1040" w:type="dxa"/>
            <w:vAlign w:val="bottom"/>
            <w:vMerge w:val="restart"/>
          </w:tcPr>
          <w:p>
            <w:pPr>
              <w:jc w:val="right"/>
              <w:ind w:right="302"/>
              <w:spacing w:after="0"/>
              <w:rPr>
                <w:sz w:val="20"/>
                <w:szCs w:val="20"/>
                <w:color w:val="auto"/>
              </w:rPr>
            </w:pPr>
            <w:r>
              <w:rPr>
                <w:rFonts w:ascii="Arial" w:cs="Arial" w:eastAsia="Arial" w:hAnsi="Arial"/>
                <w:sz w:val="16"/>
                <w:szCs w:val="16"/>
                <w:i w:val="1"/>
                <w:iCs w:val="1"/>
                <w:color w:val="auto"/>
              </w:rPr>
              <w:t>, 2019.</w:t>
            </w: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580" w:type="dxa"/>
            <w:vAlign w:val="bottom"/>
            <w:vMerge w:val="continue"/>
          </w:tcPr>
          <w:p>
            <w:pPr>
              <w:spacing w:after="0"/>
              <w:rPr>
                <w:sz w:val="23"/>
                <w:szCs w:val="23"/>
                <w:color w:val="auto"/>
              </w:rPr>
            </w:pPr>
          </w:p>
        </w:tc>
        <w:tc>
          <w:tcPr>
            <w:tcW w:w="1040" w:type="dxa"/>
            <w:vAlign w:val="bottom"/>
            <w:vMerge w:val="continue"/>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023735" cy="908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3735" cy="9088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023735" cy="908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3735" cy="9088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023735" cy="9088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3735" cy="9088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023735" cy="9088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3735" cy="908812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720" w:type="dxa"/>
            <w:vAlign w:val="bottom"/>
            <w:gridSpan w:val="2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33"/>
        </w:trPr>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472"/>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PROSPECTUS SUMMARY</w:t>
              </w:r>
            </w:hyperlink>
          </w:p>
        </w:tc>
        <w:tc>
          <w:tcPr>
            <w:tcW w:w="2420" w:type="dxa"/>
            <w:vAlign w:val="bottom"/>
            <w:gridSpan w:val="11"/>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BUSINESS</w:t>
              </w:r>
            </w:hyperlink>
          </w:p>
        </w:tc>
        <w:tc>
          <w:tcPr>
            <w:tcW w:w="372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27</w:t>
            </w:r>
          </w:p>
        </w:tc>
        <w:tc>
          <w:tcPr>
            <w:tcW w:w="4780" w:type="dxa"/>
            <w:vAlign w:val="bottom"/>
            <w:gridSpan w:val="16"/>
          </w:tcPr>
          <w:p>
            <w:pPr>
              <w:ind w:left="20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MANAGEMENT</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CAUTIONARY STATEMENT REGARDING FORWARD-</w:t>
              </w:r>
            </w:hyperlink>
          </w:p>
        </w:tc>
        <w:tc>
          <w:tcPr>
            <w:tcW w:w="1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EXECUTIVE COMPENSATION</w:t>
              </w:r>
            </w:hyperlink>
          </w:p>
        </w:tc>
        <w:tc>
          <w:tcPr>
            <w:tcW w:w="212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9"/>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LOOKING STATEMENTS</w:t>
              </w:r>
            </w:hyperlink>
          </w:p>
        </w:tc>
        <w:tc>
          <w:tcPr>
            <w:tcW w:w="2320" w:type="dxa"/>
            <w:vAlign w:val="bottom"/>
            <w:gridSpan w:val="10"/>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4580" w:type="dxa"/>
            <w:vAlign w:val="bottom"/>
            <w:gridSpan w:val="1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PRINCIPAL STOCKHOLDERS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USE OF PROCEEDS</w:t>
              </w:r>
            </w:hyperlink>
          </w:p>
        </w:tc>
        <w:tc>
          <w:tcPr>
            <w:tcW w:w="2920" w:type="dxa"/>
            <w:vAlign w:val="bottom"/>
            <w:gridSpan w:val="1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DESCRIPTION OF CERTAIN INDEBTEDNESS</w:t>
              </w:r>
            </w:hyperlink>
          </w:p>
        </w:tc>
        <w:tc>
          <w:tcPr>
            <w:tcW w:w="88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DIVIDEND POLICY</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60</w:t>
            </w:r>
          </w:p>
        </w:tc>
        <w:tc>
          <w:tcPr>
            <w:tcW w:w="4780" w:type="dxa"/>
            <w:vAlign w:val="bottom"/>
            <w:gridSpan w:val="16"/>
          </w:tcPr>
          <w:p>
            <w:pPr>
              <w:ind w:left="20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CAPITAL STOCK</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CAPITALIZATION</w:t>
              </w:r>
            </w:hyperlink>
          </w:p>
        </w:tc>
        <w:tc>
          <w:tcPr>
            <w:tcW w:w="2940" w:type="dxa"/>
            <w:vAlign w:val="bottom"/>
            <w:gridSpan w:val="13"/>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4580" w:type="dxa"/>
            <w:vAlign w:val="bottom"/>
            <w:gridSpan w:val="15"/>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SHARES ELIGIBLE FOR FUTURE SALE</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
        </w:trPr>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60" w:type="dxa"/>
            <w:vAlign w:val="bottom"/>
            <w:gridSpan w:val="2"/>
          </w:tcPr>
          <w:p>
            <w:pPr>
              <w:spacing w:after="0" w:line="196"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DILUTION</w:t>
              </w:r>
            </w:hyperlink>
          </w:p>
        </w:tc>
        <w:tc>
          <w:tcPr>
            <w:tcW w:w="560" w:type="dxa"/>
            <w:vAlign w:val="bottom"/>
            <w:gridSpan w:val="4"/>
          </w:tcPr>
          <w:p>
            <w:pPr>
              <w:spacing w:after="0"/>
              <w:rPr>
                <w:sz w:val="17"/>
                <w:szCs w:val="17"/>
                <w:color w:val="auto"/>
              </w:rPr>
            </w:pPr>
          </w:p>
        </w:tc>
        <w:tc>
          <w:tcPr>
            <w:tcW w:w="3080" w:type="dxa"/>
            <w:vAlign w:val="bottom"/>
            <w:gridSpan w:val="1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4580" w:type="dxa"/>
            <w:vAlign w:val="bottom"/>
            <w:gridSpan w:val="15"/>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CERTAIN RELATIONSHIPS AND RELATED PARTY</w:t>
              </w:r>
            </w:hyperlink>
          </w:p>
        </w:tc>
        <w:tc>
          <w:tcPr>
            <w:tcW w:w="7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SELECTED HISTORICAL CONDENSED COMBINED</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5"/>
          </w:tcPr>
          <w:p>
            <w:pPr>
              <w:ind w:left="18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TRANSACTIONS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gridSpan w:val="1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FINANCIAL AND OTHER INFORMATION</w:t>
              </w:r>
            </w:hyperlink>
          </w:p>
        </w:tc>
        <w:tc>
          <w:tcPr>
            <w:tcW w:w="360" w:type="dxa"/>
            <w:vAlign w:val="bottom"/>
            <w:gridSpan w:val="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4780" w:type="dxa"/>
            <w:vAlign w:val="bottom"/>
            <w:gridSpan w:val="16"/>
          </w:tcPr>
          <w:p>
            <w:pPr>
              <w:ind w:left="200"/>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CERTAIN MATERIAL U.S. FEDERAL INCOME TAX</w:t>
              </w:r>
            </w:hyperlink>
          </w:p>
        </w:tc>
        <w:tc>
          <w:tcPr>
            <w:tcW w:w="7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180" w:type="dxa"/>
            <w:vAlign w:val="bottom"/>
            <w:gridSpan w:val="11"/>
          </w:tcPr>
          <w:p>
            <w:pPr>
              <w:spacing w:after="0" w:line="196"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UNAUDITED QUARTERLY FINANCIAL</w:t>
              </w:r>
            </w:hyperlink>
          </w:p>
        </w:tc>
        <w:tc>
          <w:tcPr>
            <w:tcW w:w="13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14"/>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CONSIDERATIONS FOR NON-U.S. HOLDERS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INFORMATION</w:t>
              </w:r>
            </w:hyperlink>
          </w:p>
        </w:tc>
        <w:tc>
          <w:tcPr>
            <w:tcW w:w="1760" w:type="dxa"/>
            <w:vAlign w:val="bottom"/>
            <w:gridSpan w:val="5"/>
          </w:tcPr>
          <w:p>
            <w:pPr>
              <w:spacing w:after="0"/>
              <w:rPr>
                <w:sz w:val="17"/>
                <w:szCs w:val="17"/>
                <w:color w:val="auto"/>
              </w:rPr>
            </w:pPr>
          </w:p>
        </w:tc>
        <w:tc>
          <w:tcPr>
            <w:tcW w:w="1320" w:type="dxa"/>
            <w:vAlign w:val="bottom"/>
            <w:gridSpan w:val="9"/>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4580" w:type="dxa"/>
            <w:vAlign w:val="bottom"/>
            <w:gridSpan w:val="15"/>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UNDERWRITING (CONFLICTS OF INTEREST)</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EXPLANATION AND RECONCILIATION OF NON-GAAP</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5"/>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LEGAL MATTERS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MEASURES</w:t>
              </w:r>
            </w:hyperlink>
          </w:p>
        </w:tc>
        <w:tc>
          <w:tcPr>
            <w:tcW w:w="334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3120" w:type="dxa"/>
            <w:vAlign w:val="bottom"/>
            <w:gridSpan w:val="1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UNAUDITED PRO FORMA CONDENSED</w:t>
              </w:r>
            </w:hyperlink>
          </w:p>
        </w:tc>
        <w:tc>
          <w:tcPr>
            <w:tcW w:w="900" w:type="dxa"/>
            <w:vAlign w:val="bottom"/>
          </w:tcPr>
          <w:p>
            <w:pPr>
              <w:spacing w:after="0"/>
              <w:rPr>
                <w:sz w:val="17"/>
                <w:szCs w:val="17"/>
                <w:color w:val="auto"/>
              </w:rPr>
            </w:pPr>
          </w:p>
        </w:tc>
        <w:tc>
          <w:tcPr>
            <w:tcW w:w="4780" w:type="dxa"/>
            <w:vAlign w:val="bottom"/>
            <w:gridSpan w:val="16"/>
          </w:tcPr>
          <w:p>
            <w:pPr>
              <w:ind w:left="20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WHERE YOU CAN FIND MORE INFORMATION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14"/>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CONSOLIDATED FINANCIAL INFORMATION</w:t>
              </w:r>
            </w:hyperlink>
          </w:p>
        </w:tc>
        <w:tc>
          <w:tcPr>
            <w:tcW w:w="660" w:type="dxa"/>
            <w:vAlign w:val="bottom"/>
            <w:gridSpan w:val="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71</w:t>
            </w:r>
          </w:p>
        </w:tc>
        <w:tc>
          <w:tcPr>
            <w:tcW w:w="200" w:type="dxa"/>
            <w:vAlign w:val="bottom"/>
          </w:tcPr>
          <w:p>
            <w:pPr>
              <w:spacing w:after="0"/>
              <w:rPr>
                <w:sz w:val="17"/>
                <w:szCs w:val="17"/>
                <w:color w:val="auto"/>
              </w:rPr>
            </w:pPr>
          </w:p>
        </w:tc>
        <w:tc>
          <w:tcPr>
            <w:tcW w:w="4580" w:type="dxa"/>
            <w:vAlign w:val="bottom"/>
            <w:gridSpan w:val="1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INDEX TO FINANCIAL STATEMENTS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2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MANAGEMENT’S DISCUSSION AND ANALYSIS OF</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FINANCIAL CONDITION AND RESULTS OF</w:t>
              </w:r>
            </w:hyperlink>
          </w:p>
        </w:tc>
        <w:tc>
          <w:tcPr>
            <w:tcW w:w="3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OPERATIONS</w:t>
              </w:r>
            </w:hyperlink>
          </w:p>
        </w:tc>
        <w:tc>
          <w:tcPr>
            <w:tcW w:w="2420" w:type="dxa"/>
            <w:vAlign w:val="bottom"/>
            <w:tcBorders>
              <w:top w:val="single" w:sz="8" w:color="0000EE"/>
            </w:tcBorders>
            <w:gridSpan w:val="9"/>
          </w:tcPr>
          <w:p>
            <w:pPr>
              <w:spacing w:after="0"/>
              <w:rPr>
                <w:sz w:val="17"/>
                <w:szCs w:val="17"/>
                <w:color w:val="auto"/>
              </w:rPr>
            </w:pPr>
          </w:p>
        </w:tc>
        <w:tc>
          <w:tcPr>
            <w:tcW w:w="800" w:type="dxa"/>
            <w:vAlign w:val="bottom"/>
            <w:gridSpan w:val="6"/>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334010</wp:posOffset>
            </wp:positionV>
            <wp:extent cx="1473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5"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0" w:lineRule="exact"/>
        <w:rPr>
          <w:sz w:val="20"/>
          <w:szCs w:val="20"/>
          <w:color w:val="auto"/>
        </w:rPr>
      </w:pPr>
    </w:p>
    <w:p>
      <w:pPr>
        <w:ind w:left="1180" w:right="120" w:hanging="538"/>
        <w:spacing w:after="0" w:line="26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Blocker” refers to TA/DEI-A Acquisition Corp., a Delaware corporation, which, prior to the completion of the formation transactions, is an indirect wholly-owned subsidiary of Post and, after completion of the formation transactions, will be a direct wholly-owned subsidiary of BellRing Brands, LLC.</w:t>
      </w:r>
    </w:p>
    <w:p>
      <w:pPr>
        <w:spacing w:after="0" w:line="88" w:lineRule="exact"/>
        <w:rPr>
          <w:rFonts w:ascii="Arial" w:cs="Arial" w:eastAsia="Arial" w:hAnsi="Arial"/>
          <w:sz w:val="18"/>
          <w:szCs w:val="18"/>
          <w:color w:val="auto"/>
        </w:rPr>
      </w:pPr>
    </w:p>
    <w:p>
      <w:pPr>
        <w:jc w:val="both"/>
        <w:ind w:left="1180" w:right="60" w:hanging="538"/>
        <w:spacing w:after="0" w:line="26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5"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the completion of the formation transactions, will be an indirect wholly-owned subsidiary of BellRing Brands, LLC.</w:t>
      </w:r>
    </w:p>
    <w:p>
      <w:pPr>
        <w:spacing w:after="0" w:line="130" w:lineRule="exact"/>
        <w:rPr>
          <w:sz w:val="20"/>
          <w:szCs w:val="20"/>
          <w:color w:val="auto"/>
        </w:rPr>
      </w:pPr>
    </w:p>
    <w:p>
      <w:pPr>
        <w:ind w:left="1180" w:right="40" w:hanging="538"/>
        <w:spacing w:after="0" w:line="263"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 Brands, LLC, BellRing Brands, Inc. and Post in connection with the formation transactions and this offering.</w:t>
      </w:r>
    </w:p>
    <w:p>
      <w:pPr>
        <w:spacing w:after="0" w:line="88" w:lineRule="exact"/>
        <w:rPr>
          <w:rFonts w:ascii="Arial" w:cs="Arial" w:eastAsia="Arial" w:hAnsi="Arial"/>
          <w:sz w:val="18"/>
          <w:szCs w:val="18"/>
          <w:color w:val="auto"/>
        </w:rPr>
      </w:pPr>
    </w:p>
    <w:p>
      <w:pPr>
        <w:ind w:left="1180" w:right="180" w:hanging="538"/>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 Blockers” refers to, collectively, (i) TA/DEI-B1 Acquisition Corp., a Delaware corporation, (ii) TA/DEI-B2 Acquisition Corp., a Delaware corporation and (iii) TA/DEI-B3 Acquisition Corp., a Delaware corporation, each of which, prior to the completion of the formation transactions, is an indirect wholly-owned subsidiary of Post and, as part of the formation transactions, will be merged with and into the A Blocker.</w:t>
      </w:r>
    </w:p>
    <w:p>
      <w:pPr>
        <w:spacing w:after="0" w:line="91" w:lineRule="exact"/>
        <w:rPr>
          <w:rFonts w:ascii="Arial" w:cs="Arial" w:eastAsia="Arial" w:hAnsi="Arial"/>
          <w:sz w:val="18"/>
          <w:szCs w:val="18"/>
          <w:color w:val="auto"/>
        </w:rPr>
      </w:pPr>
    </w:p>
    <w:p>
      <w:pPr>
        <w:ind w:left="1180" w:right="260" w:hanging="538"/>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investor rights agreement, the amended and restated limited liability company agreement, the tax matters agreement, the tax receivable agreement and the master services agreement.</w:t>
      </w:r>
    </w:p>
    <w:p>
      <w:pPr>
        <w:spacing w:after="0" w:line="91" w:lineRule="exact"/>
        <w:rPr>
          <w:rFonts w:ascii="Arial" w:cs="Arial" w:eastAsia="Arial" w:hAnsi="Arial"/>
          <w:sz w:val="18"/>
          <w:szCs w:val="18"/>
          <w:color w:val="auto"/>
        </w:rPr>
      </w:pPr>
    </w:p>
    <w:p>
      <w:pPr>
        <w:ind w:left="1180" w:right="440" w:hanging="538"/>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1180" w:right="500" w:hanging="538"/>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1180" w:right="60" w:hanging="538"/>
        <w:spacing w:after="0" w:line="341"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30" w:lineRule="exact"/>
        <w:rPr>
          <w:rFonts w:ascii="Arial" w:cs="Arial" w:eastAsia="Arial" w:hAnsi="Arial"/>
          <w:sz w:val="16"/>
          <w:szCs w:val="16"/>
          <w:color w:val="auto"/>
        </w:rPr>
      </w:pPr>
    </w:p>
    <w:p>
      <w:pPr>
        <w:jc w:val="both"/>
        <w:ind w:left="1180" w:right="140" w:hanging="538"/>
        <w:spacing w:after="0" w:line="263"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8" w:lineRule="exact"/>
        <w:rPr>
          <w:rFonts w:ascii="Arial" w:cs="Arial" w:eastAsia="Arial" w:hAnsi="Arial"/>
          <w:sz w:val="18"/>
          <w:szCs w:val="18"/>
          <w:color w:val="auto"/>
        </w:rPr>
      </w:pPr>
    </w:p>
    <w:p>
      <w:pPr>
        <w:ind w:left="1180" w:right="120" w:hanging="538"/>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Inc.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1180" w:right="80" w:hanging="538"/>
        <w:spacing w:after="0" w:line="263"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8" w:lineRule="exact"/>
        <w:rPr>
          <w:rFonts w:ascii="Arial" w:cs="Arial" w:eastAsia="Arial" w:hAnsi="Arial"/>
          <w:sz w:val="18"/>
          <w:szCs w:val="18"/>
          <w:color w:val="auto"/>
        </w:rPr>
      </w:pPr>
    </w:p>
    <w:p>
      <w:pPr>
        <w:ind w:left="1180" w:hanging="538"/>
        <w:spacing w:after="0" w:line="256"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2013” refers to the fiscal year ended September 30, 2013; “fiscal 2014” refers to the fiscal year ended September 30, 2014; “fiscal 2015” refers to the fiscal year ended September 30, 2015; “fiscal 2016” refers to the fiscal year ended September 30, 2016; “fiscal 2017” refers to the fiscal year ended September 30, 2017; “fiscal 2018” refers to the fiscal year ended September 30, 2018; “fiscal 2019” refers to the fiscal year ending September 30, 2019; and “fiscal 2019, 2020, 2021, 2022 and 2023” refers to the fiscal years ending September 30 for each of 2019, 2020, 2021, 2022 and 2023, respectively.</w:t>
      </w:r>
    </w:p>
    <w:p>
      <w:pPr>
        <w:spacing w:after="0" w:line="96" w:lineRule="exact"/>
        <w:rPr>
          <w:rFonts w:ascii="Arial" w:cs="Arial" w:eastAsia="Arial" w:hAnsi="Arial"/>
          <w:sz w:val="18"/>
          <w:szCs w:val="18"/>
          <w:color w:val="auto"/>
        </w:rPr>
      </w:pPr>
    </w:p>
    <w:p>
      <w:pPr>
        <w:ind w:left="1180" w:right="480" w:hanging="538"/>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22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U.S. households that purchased a specified item at least once during a specified time period.</w:t>
      </w:r>
    </w:p>
    <w:p>
      <w:pPr>
        <w:spacing w:after="0" w:line="75" w:lineRule="exact"/>
        <w:rPr>
          <w:rFonts w:ascii="Arial" w:cs="Arial" w:eastAsia="Arial" w:hAnsi="Arial"/>
          <w:sz w:val="18"/>
          <w:szCs w:val="18"/>
          <w:color w:val="auto"/>
        </w:rPr>
      </w:pPr>
    </w:p>
    <w:p>
      <w:pPr>
        <w:ind w:left="1180" w:right="60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1180" w:right="6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services agreement” refers to the master services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32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1180" w:right="260" w:hanging="538"/>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8" w:lineRule="exact"/>
        <w:rPr>
          <w:rFonts w:ascii="Arial" w:cs="Arial" w:eastAsia="Arial" w:hAnsi="Arial"/>
          <w:sz w:val="18"/>
          <w:szCs w:val="18"/>
          <w:color w:val="auto"/>
        </w:rPr>
      </w:pPr>
    </w:p>
    <w:p>
      <w:pPr>
        <w:ind w:left="1180" w:right="220" w:hanging="538"/>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1180" w:hanging="538"/>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Company, LLC, a Delaware limited liability company and wholly-owned subsidiary of Dymatize Enterprises, LLC.</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1" w:lineRule="exact"/>
        <w:rPr>
          <w:rFonts w:ascii="Arial" w:cs="Arial" w:eastAsia="Arial" w:hAnsi="Arial"/>
          <w:sz w:val="17"/>
          <w:szCs w:val="17"/>
          <w:color w:val="auto"/>
        </w:rPr>
      </w:pPr>
    </w:p>
    <w:p>
      <w:pPr>
        <w:ind w:left="1180" w:right="38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 rate” refers to the percentage of buyers of a particular product who purchase that product at least twice during a specified time period.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1180" w:right="40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1180" w:right="46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118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260" w:hanging="538"/>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1" w:lineRule="exact"/>
        <w:rPr>
          <w:rFonts w:ascii="Arial" w:cs="Arial" w:eastAsia="Arial" w:hAnsi="Arial"/>
          <w:sz w:val="17"/>
          <w:szCs w:val="17"/>
          <w:color w:val="auto"/>
        </w:rPr>
      </w:pPr>
    </w:p>
    <w:p>
      <w:pPr>
        <w:ind w:left="5640" w:right="120" w:hanging="4998"/>
        <w:spacing w:after="0" w:line="449" w:lineRule="auto"/>
        <w:tabs>
          <w:tab w:leader="none" w:pos="1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US xAOC including Convenience” refers to data from Nielsen tracked channels for Total US xAOC plus the convenience channel. iii</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hanging="538"/>
        <w:spacing w:after="0" w:line="263"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8" w:lineRule="exact"/>
        <w:rPr>
          <w:rFonts w:ascii="Arial" w:cs="Arial" w:eastAsia="Arial" w:hAnsi="Arial"/>
          <w:sz w:val="18"/>
          <w:szCs w:val="18"/>
          <w:color w:val="auto"/>
        </w:rPr>
      </w:pPr>
    </w:p>
    <w:p>
      <w:pPr>
        <w:ind w:left="1180" w:right="160" w:hanging="538"/>
        <w:spacing w:after="0" w:line="311"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53" w:lineRule="exact"/>
        <w:rPr>
          <w:rFonts w:ascii="Arial" w:cs="Arial" w:eastAsia="Arial" w:hAnsi="Arial"/>
          <w:sz w:val="16"/>
          <w:szCs w:val="16"/>
          <w:color w:val="auto"/>
        </w:rPr>
      </w:pPr>
    </w:p>
    <w:p>
      <w:pPr>
        <w:ind w:left="1180" w:right="140" w:hanging="538"/>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76" w:lineRule="exact"/>
        <w:rPr>
          <w:sz w:val="20"/>
          <w:szCs w:val="20"/>
          <w:color w:val="auto"/>
        </w:rPr>
      </w:pPr>
    </w:p>
    <w:p>
      <w:pPr>
        <w:ind w:left="220" w:right="80" w:firstLine="440"/>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220" w:right="60" w:firstLine="440"/>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93" w:lineRule="exact"/>
        <w:rPr>
          <w:sz w:val="20"/>
          <w:szCs w:val="20"/>
          <w:color w:val="auto"/>
        </w:rPr>
      </w:pPr>
    </w:p>
    <w:p>
      <w:pPr>
        <w:ind w:left="220" w:right="60" w:firstLine="440"/>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7"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93"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5" w:lineRule="exact"/>
        <w:rPr>
          <w:sz w:val="20"/>
          <w:szCs w:val="20"/>
          <w:color w:val="auto"/>
        </w:rPr>
      </w:pPr>
    </w:p>
    <w:p>
      <w:pPr>
        <w:ind w:left="1180" w:hanging="538"/>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420" w:hanging="538"/>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1180" w:right="120" w:hanging="538"/>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1"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351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3890" cy="6351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400" w:firstLine="426"/>
        <w:spacing w:after="0" w:line="25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93" w:lineRule="exact"/>
        <w:rPr>
          <w:sz w:val="20"/>
          <w:szCs w:val="20"/>
          <w:color w:val="auto"/>
        </w:rPr>
      </w:pPr>
    </w:p>
    <w:p>
      <w:pPr>
        <w:ind w:left="400" w:right="4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400" w:firstLine="426"/>
        <w:spacing w:after="0" w:line="254"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99" w:lineRule="exact"/>
        <w:rPr>
          <w:sz w:val="20"/>
          <w:szCs w:val="20"/>
          <w:color w:val="auto"/>
        </w:rPr>
      </w:pPr>
    </w:p>
    <w:p>
      <w:pPr>
        <w:ind w:left="1320" w:right="700" w:hanging="509"/>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320" w:right="200" w:hanging="509"/>
        <w:spacing w:after="0" w:line="263"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8" w:lineRule="exact"/>
        <w:rPr>
          <w:rFonts w:ascii="Arial" w:cs="Arial" w:eastAsia="Arial" w:hAnsi="Arial"/>
          <w:sz w:val="18"/>
          <w:szCs w:val="18"/>
          <w:color w:val="auto"/>
        </w:rPr>
      </w:pPr>
    </w:p>
    <w:p>
      <w:pPr>
        <w:ind w:left="1320" w:right="160" w:hanging="509"/>
        <w:spacing w:after="0" w:line="307"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2" w:lineRule="exact"/>
        <w:rPr>
          <w:rFonts w:ascii="Arial" w:cs="Arial" w:eastAsia="Arial" w:hAnsi="Arial"/>
          <w:sz w:val="17"/>
          <w:szCs w:val="17"/>
          <w:color w:val="auto"/>
        </w:rPr>
      </w:pPr>
    </w:p>
    <w:p>
      <w:pPr>
        <w:ind w:left="1320" w:right="100" w:hanging="509"/>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400" w:right="20" w:firstLine="426"/>
        <w:spacing w:after="0" w:line="254" w:lineRule="auto"/>
        <w:rPr>
          <w:sz w:val="20"/>
          <w:szCs w:val="20"/>
          <w:color w:val="auto"/>
        </w:rPr>
      </w:pPr>
      <w:r>
        <w:rPr>
          <w:rFonts w:ascii="Arial" w:cs="Arial" w:eastAsia="Arial" w:hAnsi="Arial"/>
          <w:sz w:val="18"/>
          <w:szCs w:val="18"/>
          <w:color w:val="auto"/>
        </w:rPr>
        <w:t xml:space="preserve">We believe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grew at a CAGR of 42% from fiscal 2016 to fiscal 2018.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is a market leader targeting fitness enthusiasts, who value the brand for its science-based product development and athletic performance focus.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552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3890" cy="4552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firstLine="426"/>
        <w:spacing w:after="0" w:line="256"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719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3890" cy="67195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920"/>
        <w:spacing w:after="0"/>
        <w:tabs>
          <w:tab w:leader="none" w:pos="68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0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Fiscal 2018 Net Sales By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 w:firstLine="426"/>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200" w:lineRule="exact"/>
        <w:rPr>
          <w:sz w:val="20"/>
          <w:szCs w:val="20"/>
          <w:color w:val="auto"/>
        </w:rPr>
      </w:pP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459" w:right="7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06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3890" cy="5906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12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6" w:lineRule="exact"/>
        <w:rPr>
          <w:sz w:val="20"/>
          <w:szCs w:val="20"/>
          <w:color w:val="auto"/>
        </w:rPr>
      </w:pPr>
    </w:p>
    <w:p>
      <w:pPr>
        <w:ind w:left="400" w:right="60" w:firstLine="426"/>
        <w:spacing w:after="0" w:line="290" w:lineRule="auto"/>
        <w:rPr>
          <w:sz w:val="20"/>
          <w:szCs w:val="20"/>
          <w:color w:val="auto"/>
        </w:rPr>
      </w:pPr>
      <w:r>
        <w:rPr>
          <w:rFonts w:ascii="Arial" w:cs="Arial" w:eastAsia="Arial" w:hAnsi="Arial"/>
          <w:sz w:val="16"/>
          <w:szCs w:val="16"/>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400" w:right="12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400" w:firstLine="426"/>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5" w:lineRule="exact"/>
        <w:rPr>
          <w:sz w:val="20"/>
          <w:szCs w:val="20"/>
          <w:color w:val="auto"/>
        </w:rPr>
      </w:pPr>
    </w:p>
    <w:p>
      <w:pPr>
        <w:ind w:left="400" w:right="20" w:firstLine="426"/>
        <w:spacing w:after="0" w:line="286"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24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06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3890" cy="5906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380"/>
        <w:spacing w:after="0" w:line="341" w:lineRule="auto"/>
        <w:rPr>
          <w:sz w:val="20"/>
          <w:szCs w:val="20"/>
          <w:color w:val="auto"/>
        </w:rPr>
      </w:pPr>
      <w:r>
        <w:rPr>
          <w:rFonts w:ascii="Arial" w:cs="Arial" w:eastAsia="Arial" w:hAnsi="Arial"/>
          <w:sz w:val="16"/>
          <w:szCs w:val="16"/>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25" w:lineRule="exact"/>
        <w:rPr>
          <w:sz w:val="20"/>
          <w:szCs w:val="20"/>
          <w:color w:val="auto"/>
        </w:rPr>
      </w:pPr>
    </w:p>
    <w:p>
      <w:pPr>
        <w:ind w:left="400" w:right="8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400" w:firstLine="426"/>
        <w:spacing w:after="0" w:line="286"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flagship brand and is supported by a portfolio of other well-recognized brands with growth potential.</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 xml:space="preserve">is positioned to appeal to mainstream consumers seeking convenient, delicious protein products they can enjoy throughout the day. Our 11 ounce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 epitomizes this brand commitment, providing a great-tasting, on-the-go beverage with 30 grams of protein and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category and the convenient nutrition RTD category based on Nielsen household panel data for all outlets for the 52 week period ended July 27, 2019.</w:t>
      </w:r>
    </w:p>
    <w:p>
      <w:pPr>
        <w:spacing w:after="0" w:line="171" w:lineRule="exact"/>
        <w:rPr>
          <w:sz w:val="20"/>
          <w:szCs w:val="20"/>
          <w:color w:val="auto"/>
        </w:rPr>
      </w:pPr>
    </w:p>
    <w:p>
      <w:pPr>
        <w:ind w:left="400" w:right="60" w:firstLine="426"/>
        <w:spacing w:after="0" w:line="254"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development, 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93" w:lineRule="exact"/>
        <w:rPr>
          <w:sz w:val="20"/>
          <w:szCs w:val="20"/>
          <w:color w:val="auto"/>
        </w:rPr>
      </w:pPr>
    </w:p>
    <w:p>
      <w:pPr>
        <w:ind w:left="400" w:right="40" w:firstLine="426"/>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June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400" w:right="360" w:firstLine="426"/>
        <w:spacing w:after="0" w:line="277"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delivers products with high protein and superior taste. The brand’s RTD protein shakes are formulated to deliver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protein while maintaining one of the leanest nutritional profiles (as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06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3890" cy="5906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40"/>
        <w:spacing w:after="0" w:line="259" w:lineRule="auto"/>
        <w:rPr>
          <w:sz w:val="20"/>
          <w:szCs w:val="20"/>
          <w:color w:val="auto"/>
        </w:rPr>
      </w:pPr>
      <w:r>
        <w:rPr>
          <w:rFonts w:ascii="Arial" w:cs="Arial" w:eastAsia="Arial" w:hAnsi="Arial"/>
          <w:sz w:val="18"/>
          <w:szCs w:val="18"/>
          <w:color w:val="auto"/>
        </w:rPr>
        <w:t xml:space="preserve">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to include new flavors, powders and nutrition bars.</w:t>
      </w:r>
    </w:p>
    <w:p>
      <w:pPr>
        <w:spacing w:after="0" w:line="186" w:lineRule="exact"/>
        <w:rPr>
          <w:sz w:val="20"/>
          <w:szCs w:val="20"/>
          <w:color w:val="auto"/>
        </w:rPr>
      </w:pPr>
    </w:p>
    <w:p>
      <w:pPr>
        <w:ind w:left="40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7" w:lineRule="exact"/>
        <w:rPr>
          <w:sz w:val="20"/>
          <w:szCs w:val="20"/>
          <w:color w:val="auto"/>
        </w:rPr>
      </w:pPr>
    </w:p>
    <w:p>
      <w:pPr>
        <w:ind w:left="400" w:right="40" w:firstLine="426"/>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has expanded its product portfolio to include a natural vegan protein bar and protein bars fortified with calcium and magnesium.</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400" w:right="120" w:firstLine="426"/>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1" w:lineRule="exact"/>
        <w:rPr>
          <w:sz w:val="20"/>
          <w:szCs w:val="20"/>
          <w:color w:val="auto"/>
        </w:rPr>
      </w:pPr>
    </w:p>
    <w:p>
      <w:pPr>
        <w:ind w:left="400" w:right="2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400" w:right="14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5" w:lineRule="exact"/>
        <w:rPr>
          <w:sz w:val="20"/>
          <w:szCs w:val="20"/>
          <w:color w:val="auto"/>
        </w:rPr>
      </w:pPr>
    </w:p>
    <w:p>
      <w:pPr>
        <w:ind w:left="40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24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3644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3890" cy="364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400" w:firstLine="426"/>
        <w:spacing w:after="0" w:line="273" w:lineRule="auto"/>
        <w:rPr>
          <w:sz w:val="20"/>
          <w:szCs w:val="20"/>
          <w:color w:val="auto"/>
        </w:rPr>
      </w:pPr>
      <w:r>
        <w:rPr>
          <w:rFonts w:ascii="Arial" w:cs="Arial" w:eastAsia="Arial" w:hAnsi="Arial"/>
          <w:sz w:val="17"/>
          <w:szCs w:val="17"/>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77" w:lineRule="exact"/>
        <w:rPr>
          <w:sz w:val="20"/>
          <w:szCs w:val="20"/>
          <w:color w:val="auto"/>
        </w:rPr>
      </w:pPr>
    </w:p>
    <w:p>
      <w:pPr>
        <w:ind w:left="400" w:right="260" w:firstLine="426"/>
        <w:spacing w:after="0" w:line="263"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865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3890" cy="6865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400" w:right="80" w:firstLine="426"/>
        <w:spacing w:after="0" w:line="263"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right="36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400" w:firstLine="426"/>
        <w:spacing w:after="0" w:line="290"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brand through new category buyers and incremental consumption by existing buyers. We</w:t>
      </w:r>
    </w:p>
    <w:p>
      <w:pPr>
        <w:spacing w:after="0" w:line="200" w:lineRule="exact"/>
        <w:rPr>
          <w:sz w:val="20"/>
          <w:szCs w:val="20"/>
          <w:color w:val="auto"/>
        </w:rPr>
      </w:pPr>
    </w:p>
    <w:p>
      <w:pPr>
        <w:spacing w:after="0" w:line="39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06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3890" cy="5906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spacing w:after="0" w:line="285" w:lineRule="auto"/>
        <w:rPr>
          <w:sz w:val="20"/>
          <w:szCs w:val="20"/>
          <w:color w:val="auto"/>
        </w:rPr>
      </w:pPr>
      <w:r>
        <w:rPr>
          <w:rFonts w:ascii="Arial" w:cs="Arial" w:eastAsia="Arial" w:hAnsi="Arial"/>
          <w:sz w:val="16"/>
          <w:szCs w:val="16"/>
          <w:color w:val="auto"/>
        </w:rPr>
        <w:t xml:space="preserve">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can play in healthy and active lifestyles. We plan to continue investing in comprehensive marketing plans that include national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w:t>
      </w:r>
    </w:p>
    <w:p>
      <w:pPr>
        <w:spacing w:after="0" w:line="1" w:lineRule="exact"/>
        <w:rPr>
          <w:sz w:val="20"/>
          <w:szCs w:val="20"/>
          <w:color w:val="auto"/>
        </w:rPr>
      </w:pPr>
    </w:p>
    <w:p>
      <w:pPr>
        <w:ind w:left="400" w:right="260"/>
        <w:spacing w:after="0" w:line="255" w:lineRule="auto"/>
        <w:rPr>
          <w:sz w:val="20"/>
          <w:szCs w:val="20"/>
          <w:color w:val="auto"/>
        </w:rPr>
      </w:pPr>
      <w:r>
        <w:rPr>
          <w:rFonts w:ascii="Arial" w:cs="Arial" w:eastAsia="Arial" w:hAnsi="Arial"/>
          <w:sz w:val="18"/>
          <w:szCs w:val="18"/>
          <w:color w:val="auto"/>
        </w:rPr>
        <w:t xml:space="preserve">We believe this marketing approach increases relevance, credibility and memorability among our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89" w:lineRule="exact"/>
        <w:rPr>
          <w:sz w:val="20"/>
          <w:szCs w:val="20"/>
          <w:color w:val="auto"/>
        </w:rPr>
      </w:pPr>
    </w:p>
    <w:p>
      <w:pPr>
        <w:ind w:left="400" w:right="60" w:firstLine="426"/>
        <w:spacing w:after="0" w:line="256"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400" w:right="4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6" w:lineRule="exact"/>
        <w:rPr>
          <w:sz w:val="20"/>
          <w:szCs w:val="20"/>
          <w:color w:val="auto"/>
        </w:rPr>
      </w:pPr>
    </w:p>
    <w:p>
      <w:pPr>
        <w:ind w:left="400" w:right="100" w:firstLine="426"/>
        <w:spacing w:after="0" w:line="311"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400" w:right="180" w:firstLine="426"/>
        <w:spacing w:after="0" w:line="263"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3" w:lineRule="exact"/>
        <w:rPr>
          <w:sz w:val="20"/>
          <w:szCs w:val="20"/>
          <w:color w:val="auto"/>
        </w:rPr>
      </w:pPr>
    </w:p>
    <w:p>
      <w:pPr>
        <w:ind w:left="400" w:firstLine="426"/>
        <w:spacing w:after="0" w:line="263"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043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3890" cy="60432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40"/>
        <w:spacing w:after="0" w:line="269" w:lineRule="auto"/>
        <w:rPr>
          <w:sz w:val="20"/>
          <w:szCs w:val="20"/>
          <w:color w:val="auto"/>
        </w:rPr>
      </w:pP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shakes. We expect to introduce two additional flavors in the fall of 2019. We also have improved the taste of our</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 xml:space="preserve">powder and nutrition bar formulations to ensure we continue to delight consumers. We believe our new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offering has achieved top 10% category velocities in FDM since its launch in December 2017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Clear </w:t>
      </w:r>
      <w:r>
        <w:rPr>
          <w:rFonts w:ascii="Arial" w:cs="Arial" w:eastAsia="Arial" w:hAnsi="Arial"/>
          <w:sz w:val="17"/>
          <w:szCs w:val="17"/>
          <w:color w:val="auto"/>
        </w:rPr>
        <w:t>RTD product is now distributed nationwide in Costco and other key retailers.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continues to be a leader in disruptive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0" w:lineRule="exact"/>
        <w:rPr>
          <w:sz w:val="20"/>
          <w:szCs w:val="20"/>
          <w:color w:val="auto"/>
        </w:rPr>
      </w:pPr>
    </w:p>
    <w:p>
      <w:pPr>
        <w:ind w:left="400" w:right="20" w:firstLine="426"/>
        <w:spacing w:after="0" w:line="256"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400" w:firstLine="426"/>
        <w:spacing w:after="0" w:line="263"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3" w:lineRule="exact"/>
        <w:rPr>
          <w:sz w:val="20"/>
          <w:szCs w:val="20"/>
          <w:color w:val="auto"/>
        </w:rPr>
      </w:pPr>
    </w:p>
    <w:p>
      <w:pPr>
        <w:ind w:left="400" w:right="10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7" w:lineRule="exact"/>
        <w:rPr>
          <w:sz w:val="20"/>
          <w:szCs w:val="20"/>
          <w:color w:val="auto"/>
        </w:rPr>
      </w:pPr>
    </w:p>
    <w:p>
      <w:pPr>
        <w:jc w:val="both"/>
        <w:ind w:left="400" w:right="140" w:firstLine="426"/>
        <w:spacing w:after="0" w:line="263"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United Kingdom (the “U.K.”), Japan and Australia.</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400" w:right="380" w:firstLine="426"/>
        <w:spacing w:after="0" w:line="263"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71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3890" cy="5871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right="200"/>
        <w:spacing w:after="0" w:line="259" w:lineRule="auto"/>
        <w:rPr>
          <w:sz w:val="20"/>
          <w:szCs w:val="20"/>
          <w:color w:val="auto"/>
        </w:rPr>
      </w:pPr>
      <w:r>
        <w:rPr>
          <w:rFonts w:ascii="Arial" w:cs="Arial" w:eastAsia="Arial" w:hAnsi="Arial"/>
          <w:sz w:val="18"/>
          <w:szCs w:val="18"/>
          <w:color w:val="auto"/>
        </w:rPr>
        <w:t>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7" w:lineRule="exact"/>
        <w:rPr>
          <w:sz w:val="20"/>
          <w:szCs w:val="20"/>
          <w:color w:val="auto"/>
        </w:rPr>
      </w:pPr>
    </w:p>
    <w:p>
      <w:pPr>
        <w:ind w:left="1320" w:right="180" w:hanging="509"/>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320" w:hanging="509"/>
        <w:spacing w:after="0" w:line="290"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w:t>
      </w:r>
    </w:p>
    <w:p>
      <w:pPr>
        <w:spacing w:after="0" w:line="69" w:lineRule="exact"/>
        <w:rPr>
          <w:rFonts w:ascii="Arial" w:cs="Arial" w:eastAsia="Arial" w:hAnsi="Arial"/>
          <w:sz w:val="16"/>
          <w:szCs w:val="16"/>
          <w:color w:val="auto"/>
        </w:rPr>
      </w:pPr>
    </w:p>
    <w:p>
      <w:pPr>
        <w:ind w:left="1320" w:hanging="509"/>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320" w:right="40" w:hanging="509"/>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320" w:right="180" w:hanging="509"/>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320" w:right="140" w:hanging="509"/>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320" w:hanging="509"/>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develop and offer products to meet these preferences.</w:t>
      </w:r>
    </w:p>
    <w:p>
      <w:pPr>
        <w:spacing w:after="0" w:line="141" w:lineRule="exact"/>
        <w:rPr>
          <w:rFonts w:ascii="Arial" w:cs="Arial" w:eastAsia="Arial" w:hAnsi="Arial"/>
          <w:sz w:val="17"/>
          <w:szCs w:val="17"/>
          <w:color w:val="auto"/>
        </w:rPr>
      </w:pPr>
    </w:p>
    <w:p>
      <w:pPr>
        <w:ind w:left="1320" w:hanging="509"/>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320" w:hanging="509"/>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141" w:lineRule="exact"/>
        <w:rPr>
          <w:rFonts w:ascii="Arial" w:cs="Arial" w:eastAsia="Arial" w:hAnsi="Arial"/>
          <w:sz w:val="17"/>
          <w:szCs w:val="17"/>
          <w:color w:val="auto"/>
        </w:rPr>
      </w:pPr>
    </w:p>
    <w:p>
      <w:pPr>
        <w:ind w:left="1320" w:right="60" w:hanging="509"/>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320" w:hanging="509"/>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320" w:right="280" w:hanging="509"/>
        <w:spacing w:after="0" w:line="307"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200" w:lineRule="exact"/>
        <w:rPr>
          <w:sz w:val="20"/>
          <w:szCs w:val="20"/>
          <w:color w:val="auto"/>
        </w:rPr>
      </w:pPr>
    </w:p>
    <w:p>
      <w:pPr>
        <w:spacing w:after="0" w:line="3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480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3890" cy="6480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320" w:right="160" w:hanging="509"/>
        <w:spacing w:after="0" w:line="263"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3" w:lineRule="exact"/>
        <w:rPr>
          <w:sz w:val="20"/>
          <w:szCs w:val="20"/>
          <w:color w:val="auto"/>
        </w:rPr>
      </w:pPr>
    </w:p>
    <w:p>
      <w:pPr>
        <w:ind w:left="400" w:right="30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400" w:right="10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1" w:lineRule="exact"/>
        <w:rPr>
          <w:sz w:val="20"/>
          <w:szCs w:val="20"/>
          <w:color w:val="auto"/>
        </w:rPr>
      </w:pPr>
    </w:p>
    <w:p>
      <w:pPr>
        <w:ind w:left="1320" w:right="120" w:hanging="509"/>
        <w:spacing w:after="0" w:line="263"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8" w:lineRule="exact"/>
        <w:rPr>
          <w:rFonts w:ascii="Arial" w:cs="Arial" w:eastAsia="Arial" w:hAnsi="Arial"/>
          <w:sz w:val="18"/>
          <w:szCs w:val="18"/>
          <w:color w:val="auto"/>
        </w:rPr>
      </w:pPr>
    </w:p>
    <w:p>
      <w:pPr>
        <w:ind w:left="1320" w:hanging="509"/>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740" w:hanging="40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 Blockers will merge with and into the A Blocker, with the A Blocker as the sole surviving corporation;</w:t>
      </w:r>
    </w:p>
    <w:p>
      <w:pPr>
        <w:spacing w:after="0" w:line="130" w:lineRule="exact"/>
        <w:rPr>
          <w:rFonts w:ascii="Arial" w:cs="Arial" w:eastAsia="Arial" w:hAnsi="Arial"/>
          <w:sz w:val="18"/>
          <w:szCs w:val="18"/>
          <w:color w:val="auto"/>
        </w:rPr>
      </w:pPr>
    </w:p>
    <w:p>
      <w:pPr>
        <w:ind w:left="1740" w:hanging="40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Premier Nutrition will convert from a Delaware corporation to a Delaware limited liability company;</w:t>
      </w:r>
    </w:p>
    <w:p>
      <w:pPr>
        <w:spacing w:after="0" w:line="130" w:lineRule="exact"/>
        <w:rPr>
          <w:rFonts w:ascii="Arial" w:cs="Arial" w:eastAsia="Arial" w:hAnsi="Arial"/>
          <w:sz w:val="18"/>
          <w:szCs w:val="18"/>
          <w:color w:val="auto"/>
        </w:rPr>
      </w:pPr>
    </w:p>
    <w:p>
      <w:pPr>
        <w:ind w:left="1740" w:right="200" w:hanging="403"/>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will distribute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740" w:right="340" w:hanging="403"/>
        <w:spacing w:after="0" w:line="341" w:lineRule="auto"/>
        <w:tabs>
          <w:tab w:leader="none" w:pos="17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Post Acquisition Sub IV, LLC will merge with and into BellRing Brands, LLC, with BellRing Brands, LLC as the surviving entity and, as a result, Active Nutrition International will become a direct subsidiary of BellRing Brands, LLC; and</w:t>
      </w:r>
    </w:p>
    <w:p>
      <w:pPr>
        <w:spacing w:after="0" w:line="30" w:lineRule="exact"/>
        <w:rPr>
          <w:rFonts w:ascii="Arial" w:cs="Arial" w:eastAsia="Arial" w:hAnsi="Arial"/>
          <w:sz w:val="16"/>
          <w:szCs w:val="16"/>
          <w:color w:val="auto"/>
        </w:rPr>
      </w:pPr>
    </w:p>
    <w:p>
      <w:pPr>
        <w:jc w:val="both"/>
        <w:ind w:left="1740" w:right="220" w:hanging="403"/>
        <w:spacing w:after="0" w:line="259"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borrow $ million under the Post bridge loan, and certain of its subsidiaries will be guarantors of the Post bridge loan (other than BellRing Brands, Inc., but including BellRing Brands, LLC and its domestic subsidiaries) as described under “—Debt Financing Arrangements—Post Bridge Loan” and “Description of Certain Indebtedness.” We will not receive any of the proceeds of the Post bridge loan.</w:t>
      </w:r>
    </w:p>
    <w:p>
      <w:pPr>
        <w:spacing w:after="0" w:line="91" w:lineRule="exact"/>
        <w:rPr>
          <w:rFonts w:ascii="Arial" w:cs="Arial" w:eastAsia="Arial" w:hAnsi="Arial"/>
          <w:sz w:val="18"/>
          <w:szCs w:val="18"/>
          <w:color w:val="auto"/>
        </w:rPr>
      </w:pPr>
    </w:p>
    <w:p>
      <w:pPr>
        <w:ind w:left="1320" w:hanging="509"/>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same day this offering is completed, but prior to the completion of this offering:</w:t>
      </w:r>
    </w:p>
    <w:p>
      <w:pPr>
        <w:spacing w:after="0" w:line="130" w:lineRule="exact"/>
        <w:rPr>
          <w:rFonts w:ascii="Arial" w:cs="Arial" w:eastAsia="Arial" w:hAnsi="Arial"/>
          <w:sz w:val="18"/>
          <w:szCs w:val="18"/>
          <w:color w:val="auto"/>
        </w:rPr>
      </w:pPr>
    </w:p>
    <w:p>
      <w:pPr>
        <w:ind w:left="1740" w:right="220" w:hanging="403"/>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380" w:hanging="611"/>
        <w:spacing w:after="0" w:line="256"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 so long as Post or its affiliates (other than us) directly own more than 50% of the BellRing Brands, LLC Units, will, in the aggregate, represent 33% of the combined voting power of the common stock of BellRing Brands, Inc., as described under “Description of Capital Stock;” and</w:t>
      </w:r>
    </w:p>
    <w:p>
      <w:pPr>
        <w:spacing w:after="0" w:line="96" w:lineRule="exact"/>
        <w:rPr>
          <w:rFonts w:ascii="Arial" w:cs="Arial" w:eastAsia="Arial" w:hAnsi="Arial"/>
          <w:sz w:val="18"/>
          <w:szCs w:val="18"/>
          <w:color w:val="auto"/>
        </w:rPr>
      </w:pPr>
    </w:p>
    <w:p>
      <w:pPr>
        <w:ind w:left="2380" w:right="320" w:hanging="611"/>
        <w:spacing w:after="0" w:line="27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so long as Post or its affiliates (other than us) directly own more than 50% of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24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497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3890" cy="6497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300" w:right="540"/>
        <w:spacing w:after="0" w:line="277" w:lineRule="auto"/>
        <w:rPr>
          <w:sz w:val="20"/>
          <w:szCs w:val="20"/>
          <w:color w:val="auto"/>
        </w:rPr>
      </w:pPr>
      <w:r>
        <w:rPr>
          <w:rFonts w:ascii="Arial" w:cs="Arial" w:eastAsia="Arial" w:hAnsi="Arial"/>
          <w:sz w:val="18"/>
          <w:szCs w:val="18"/>
          <w:color w:val="auto"/>
        </w:rPr>
        <w:t>BellRing Brands, LLC Units, will represent 67% of the combined voting power of the common stock of BellRing Brands, Inc., as described under “Description of Capital Stock;”</w:t>
      </w:r>
    </w:p>
    <w:p>
      <w:pPr>
        <w:spacing w:after="0" w:line="75" w:lineRule="exact"/>
        <w:rPr>
          <w:sz w:val="20"/>
          <w:szCs w:val="20"/>
          <w:color w:val="auto"/>
        </w:rPr>
      </w:pPr>
    </w:p>
    <w:p>
      <w:pPr>
        <w:jc w:val="both"/>
        <w:ind w:left="1740" w:right="40" w:hanging="403"/>
        <w:spacing w:after="0" w:line="286"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Inc. will issue to Post (in exchange for the 1,000 shares of common stock initially issued to Post in connection with its incorporation, which shares will be cancelled as part of the exchange) one share of Class B common stock, which share of Class B common stock cannot be transferred by Post except to its affiliates (other than us).</w:t>
      </w:r>
    </w:p>
    <w:p>
      <w:pPr>
        <w:spacing w:after="0" w:line="70" w:lineRule="exact"/>
        <w:rPr>
          <w:rFonts w:ascii="Arial" w:cs="Arial" w:eastAsia="Arial" w:hAnsi="Arial"/>
          <w:sz w:val="17"/>
          <w:szCs w:val="17"/>
          <w:color w:val="auto"/>
        </w:rPr>
      </w:pPr>
    </w:p>
    <w:p>
      <w:pPr>
        <w:ind w:left="1320" w:hanging="509"/>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740" w:right="520" w:hanging="403"/>
        <w:spacing w:after="0" w:line="307" w:lineRule="auto"/>
        <w:tabs>
          <w:tab w:leader="none" w:pos="17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BellRing Brands, LLC will contribute all of the equity interests in Active Nutrition International and Premier Nutrition to Dymatize Enterprises, such that Dymatize Enterprises will be the direct holder of such equity interests;</w:t>
      </w:r>
    </w:p>
    <w:p>
      <w:pPr>
        <w:spacing w:after="0" w:line="52" w:lineRule="exact"/>
        <w:rPr>
          <w:rFonts w:ascii="Arial" w:cs="Arial" w:eastAsia="Arial" w:hAnsi="Arial"/>
          <w:sz w:val="17"/>
          <w:szCs w:val="17"/>
          <w:color w:val="auto"/>
        </w:rPr>
      </w:pPr>
    </w:p>
    <w:p>
      <w:pPr>
        <w:ind w:left="1740" w:right="160" w:hanging="403"/>
        <w:spacing w:after="0" w:line="256"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6" w:lineRule="exact"/>
        <w:rPr>
          <w:rFonts w:ascii="Arial" w:cs="Arial" w:eastAsia="Arial" w:hAnsi="Arial"/>
          <w:sz w:val="18"/>
          <w:szCs w:val="18"/>
          <w:color w:val="auto"/>
        </w:rPr>
      </w:pPr>
    </w:p>
    <w:p>
      <w:pPr>
        <w:ind w:left="1740" w:right="60" w:hanging="403"/>
        <w:spacing w:after="0" w:line="263"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w:t>
      </w:r>
    </w:p>
    <w:p>
      <w:pPr>
        <w:spacing w:after="0" w:line="88" w:lineRule="exact"/>
        <w:rPr>
          <w:rFonts w:ascii="Arial" w:cs="Arial" w:eastAsia="Arial" w:hAnsi="Arial"/>
          <w:sz w:val="18"/>
          <w:szCs w:val="18"/>
          <w:color w:val="auto"/>
        </w:rPr>
      </w:pPr>
    </w:p>
    <w:p>
      <w:pPr>
        <w:ind w:left="1740" w:right="240" w:hanging="403"/>
        <w:spacing w:after="0" w:line="263"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8" w:lineRule="exact"/>
        <w:rPr>
          <w:rFonts w:ascii="Arial" w:cs="Arial" w:eastAsia="Arial" w:hAnsi="Arial"/>
          <w:sz w:val="18"/>
          <w:szCs w:val="18"/>
          <w:color w:val="auto"/>
        </w:rPr>
      </w:pPr>
    </w:p>
    <w:p>
      <w:pPr>
        <w:ind w:left="2380" w:right="380" w:hanging="611"/>
        <w:spacing w:after="0" w:line="277" w:lineRule="auto"/>
        <w:tabs>
          <w:tab w:leader="none" w:pos="2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380" w:right="100" w:hanging="611"/>
        <w:spacing w:after="0" w:line="277" w:lineRule="auto"/>
        <w:tabs>
          <w:tab w:leader="none" w:pos="2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w:t>
      </w:r>
    </w:p>
    <w:p>
      <w:pPr>
        <w:spacing w:after="0" w:line="75" w:lineRule="exact"/>
        <w:rPr>
          <w:sz w:val="20"/>
          <w:szCs w:val="20"/>
          <w:color w:val="auto"/>
        </w:rPr>
      </w:pPr>
    </w:p>
    <w:p>
      <w:pPr>
        <w:ind w:left="1340"/>
        <w:spacing w:after="0"/>
        <w:tabs>
          <w:tab w:leader="none" w:pos="1720" w:val="left"/>
          <w:tab w:leader="none" w:pos="7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Post’s membership interests in BellRing Brands, LLC will be reclassified as</w:t>
      </w:r>
      <w:r>
        <w:rPr>
          <w:sz w:val="20"/>
          <w:szCs w:val="20"/>
          <w:color w:val="auto"/>
        </w:rPr>
        <w:tab/>
      </w:r>
      <w:r>
        <w:rPr>
          <w:rFonts w:ascii="Arial" w:cs="Arial" w:eastAsia="Arial" w:hAnsi="Arial"/>
          <w:sz w:val="17"/>
          <w:szCs w:val="17"/>
          <w:color w:val="auto"/>
        </w:rPr>
        <w:t>BellRing Brands, LLC Units;</w:t>
      </w:r>
    </w:p>
    <w:p>
      <w:pPr>
        <w:spacing w:after="0" w:line="130" w:lineRule="exact"/>
        <w:rPr>
          <w:sz w:val="20"/>
          <w:szCs w:val="20"/>
          <w:color w:val="auto"/>
        </w:rPr>
      </w:pPr>
    </w:p>
    <w:p>
      <w:pPr>
        <w:ind w:left="1740" w:right="200" w:hanging="403"/>
        <w:spacing w:after="0" w:line="277"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5" w:lineRule="exact"/>
        <w:rPr>
          <w:rFonts w:ascii="Arial" w:cs="Arial" w:eastAsia="Arial" w:hAnsi="Arial"/>
          <w:sz w:val="18"/>
          <w:szCs w:val="18"/>
          <w:color w:val="auto"/>
        </w:rPr>
      </w:pPr>
    </w:p>
    <w:p>
      <w:pPr>
        <w:ind w:left="2320" w:right="180" w:hanging="983"/>
        <w:spacing w:after="0" w:line="286" w:lineRule="auto"/>
        <w:tabs>
          <w:tab w:leader="none" w:pos="17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BellRing Brands, Inc. will contribute the net proceeds it receives in this offering to BellRing Brands, LLC, in exchange for BellRing Brands, LLC Units (which is equal to the number of shares of Class A common stock sold in this offering or BellRing Brands, LLC Units if the underwriters exercise their over-allotment option in full);</w:t>
      </w:r>
    </w:p>
    <w:p>
      <w:pPr>
        <w:spacing w:after="0" w:line="70" w:lineRule="exact"/>
        <w:rPr>
          <w:rFonts w:ascii="Arial" w:cs="Arial" w:eastAsia="Arial" w:hAnsi="Arial"/>
          <w:sz w:val="17"/>
          <w:szCs w:val="17"/>
          <w:color w:val="auto"/>
        </w:rPr>
      </w:pPr>
    </w:p>
    <w:p>
      <w:pPr>
        <w:ind w:left="1740" w:hanging="403"/>
        <w:spacing w:after="0" w:line="259"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investor rights agreement, (iii) the tax matters agreement, (iv) the tax receivable agreement and (v) the master services agreement, each as described under “Certain Relationships and Related Party Transactions—Post-Offering Relationship with Post;” and</w:t>
      </w:r>
    </w:p>
    <w:p>
      <w:pPr>
        <w:spacing w:after="0" w:line="91" w:lineRule="exact"/>
        <w:rPr>
          <w:rFonts w:ascii="Arial" w:cs="Arial" w:eastAsia="Arial" w:hAnsi="Arial"/>
          <w:sz w:val="18"/>
          <w:szCs w:val="18"/>
          <w:color w:val="auto"/>
        </w:rPr>
      </w:pPr>
    </w:p>
    <w:p>
      <w:pPr>
        <w:ind w:left="1740" w:right="240" w:hanging="403"/>
        <w:spacing w:after="0" w:line="277"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 will contribute all of the equity interests in Premier Nutrition to BellRing Brands, LLC, such that BellRing Brands, LLC will be the direct holder of such equity interests.</w:t>
      </w:r>
    </w:p>
    <w:p>
      <w:pPr>
        <w:spacing w:after="0" w:line="170" w:lineRule="exact"/>
        <w:rPr>
          <w:sz w:val="20"/>
          <w:szCs w:val="20"/>
          <w:color w:val="auto"/>
        </w:rPr>
      </w:pPr>
    </w:p>
    <w:p>
      <w:pPr>
        <w:ind w:left="400" w:right="40" w:firstLine="426"/>
        <w:spacing w:after="0" w:line="277" w:lineRule="auto"/>
        <w:rPr>
          <w:sz w:val="20"/>
          <w:szCs w:val="20"/>
          <w:color w:val="auto"/>
        </w:rPr>
      </w:pPr>
      <w:r>
        <w:rPr>
          <w:rFonts w:ascii="Arial" w:cs="Arial" w:eastAsia="Arial" w:hAnsi="Arial"/>
          <w:sz w:val="18"/>
          <w:szCs w:val="18"/>
          <w:color w:val="auto"/>
        </w:rPr>
        <w:t>In this offering, BellRing Brands, Inc. will issue shares of Class A common stock (or shares if the underwriters exercise their over-allotment option in full) in exchange for net proceeds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97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3890" cy="5897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spacing w:after="0" w:line="273" w:lineRule="auto"/>
        <w:rPr>
          <w:sz w:val="20"/>
          <w:szCs w:val="20"/>
          <w:color w:val="auto"/>
        </w:rPr>
      </w:pPr>
      <w:r>
        <w:rPr>
          <w:rFonts w:ascii="Arial" w:cs="Arial" w:eastAsia="Arial" w:hAnsi="Arial"/>
          <w:sz w:val="17"/>
          <w:szCs w:val="17"/>
          <w:color w:val="auto"/>
        </w:rPr>
        <w:t>approximately $ million (or approximately $ million if the underwriters exercise their over-allotment option in full), assuming the shares are offered at $ per share (the midpoint of the price range set forth on the cover page of this prospectus), after deducting underwriting discounts</w:t>
      </w:r>
    </w:p>
    <w:p>
      <w:pPr>
        <w:spacing w:after="0" w:line="1" w:lineRule="exact"/>
        <w:rPr>
          <w:sz w:val="20"/>
          <w:szCs w:val="20"/>
          <w:color w:val="auto"/>
        </w:rPr>
      </w:pPr>
    </w:p>
    <w:p>
      <w:pPr>
        <w:ind w:left="400" w:right="80"/>
        <w:spacing w:after="0" w:line="255" w:lineRule="auto"/>
        <w:rPr>
          <w:sz w:val="20"/>
          <w:szCs w:val="20"/>
          <w:color w:val="auto"/>
        </w:rPr>
      </w:pPr>
      <w:r>
        <w:rPr>
          <w:rFonts w:ascii="Arial" w:cs="Arial" w:eastAsia="Arial" w:hAnsi="Arial"/>
          <w:sz w:val="18"/>
          <w:szCs w:val="18"/>
          <w:color w:val="auto"/>
        </w:rPr>
        <w:t>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97" w:lineRule="exact"/>
        <w:rPr>
          <w:sz w:val="20"/>
          <w:szCs w:val="20"/>
          <w:color w:val="auto"/>
        </w:rPr>
      </w:pPr>
    </w:p>
    <w:p>
      <w:pPr>
        <w:ind w:left="820" w:right="378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ind w:left="1320" w:hanging="509"/>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entities comprising Post’s Active Nutrition business will be direct or indirect subsidiaries of BellRing Brands, LLC.</w:t>
      </w:r>
    </w:p>
    <w:p>
      <w:pPr>
        <w:spacing w:after="0" w:line="130" w:lineRule="exact"/>
        <w:rPr>
          <w:rFonts w:ascii="Arial" w:cs="Arial" w:eastAsia="Arial" w:hAnsi="Arial"/>
          <w:sz w:val="18"/>
          <w:szCs w:val="18"/>
          <w:color w:val="auto"/>
        </w:rPr>
      </w:pPr>
    </w:p>
    <w:p>
      <w:pPr>
        <w:ind w:left="1320" w:right="500" w:hanging="509"/>
        <w:spacing w:after="0" w:line="263"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its indirect interests in the subsidiaries of BellRing Brands, LLC and will have no independent means of generating revenue or cash flow.</w:t>
      </w:r>
    </w:p>
    <w:p>
      <w:pPr>
        <w:spacing w:after="0" w:line="88" w:lineRule="exact"/>
        <w:rPr>
          <w:rFonts w:ascii="Arial" w:cs="Arial" w:eastAsia="Arial" w:hAnsi="Arial"/>
          <w:sz w:val="18"/>
          <w:szCs w:val="18"/>
          <w:color w:val="auto"/>
        </w:rPr>
      </w:pPr>
    </w:p>
    <w:p>
      <w:pPr>
        <w:ind w:left="1320" w:hanging="509"/>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320" w:right="80" w:hanging="509"/>
        <w:spacing w:after="0" w:line="301" w:lineRule="auto"/>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BellRing Brands, LLC will be treated as a partnership for U.S. federal income tax purposes immediately after BellRing Brands, Inc.’s purchase of BellRing Brands, LLC Units in connection with this offering and, as such, will not itself generally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6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ind w:left="220"/>
              <w:spacing w:after="0"/>
              <w:rPr>
                <w:sz w:val="20"/>
                <w:szCs w:val="20"/>
                <w:color w:val="auto"/>
              </w:rPr>
            </w:pPr>
            <w:r>
              <w:rPr>
                <w:rFonts w:ascii="Arial" w:cs="Arial" w:eastAsia="Arial" w:hAnsi="Arial"/>
                <w:sz w:val="18"/>
                <w:szCs w:val="18"/>
                <w:color w:val="auto"/>
              </w:rPr>
              <w:t>Post will hold</w:t>
            </w:r>
          </w:p>
        </w:tc>
        <w:tc>
          <w:tcPr>
            <w:tcW w:w="3280" w:type="dxa"/>
            <w:vAlign w:val="bottom"/>
            <w:gridSpan w:val="2"/>
          </w:tcPr>
          <w:p>
            <w:pPr>
              <w:ind w:left="420"/>
              <w:spacing w:after="0"/>
              <w:rPr>
                <w:sz w:val="20"/>
                <w:szCs w:val="20"/>
                <w:color w:val="auto"/>
              </w:rPr>
            </w:pPr>
            <w:r>
              <w:rPr>
                <w:rFonts w:ascii="Arial" w:cs="Arial" w:eastAsia="Arial" w:hAnsi="Arial"/>
                <w:sz w:val="18"/>
                <w:szCs w:val="18"/>
                <w:color w:val="auto"/>
                <w:w w:val="97"/>
              </w:rPr>
              <w:t>BellRing Brands, LLC Units, equal to</w:t>
            </w:r>
          </w:p>
        </w:tc>
        <w:tc>
          <w:tcPr>
            <w:tcW w:w="4960" w:type="dxa"/>
            <w:vAlign w:val="bottom"/>
            <w:gridSpan w:val="2"/>
          </w:tcPr>
          <w:p>
            <w:pPr>
              <w:jc w:val="center"/>
              <w:spacing w:after="0"/>
              <w:rPr>
                <w:sz w:val="20"/>
                <w:szCs w:val="20"/>
                <w:color w:val="auto"/>
              </w:rPr>
            </w:pPr>
            <w:r>
              <w:rPr>
                <w:rFonts w:ascii="Arial" w:cs="Arial" w:eastAsia="Arial" w:hAnsi="Arial"/>
                <w:sz w:val="18"/>
                <w:szCs w:val="18"/>
                <w:color w:val="auto"/>
                <w:w w:val="94"/>
              </w:rPr>
              <w:t>% of the economic interest in BellRing Brands, LLC (or   % if the</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1"/>
              </w:rPr>
              <w:t>underwriters exercise their over-allotment option in full) and one share of BellRing Brands, Inc. Class B common stock, which, for so</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2"/>
              </w:rPr>
              <w:t>long as Post or its affiliates (other than us) directly own more than 50% of the BellRing Brands, LLC Units, will represent 67% of the</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4"/>
              </w:rPr>
              <w:t>combined voting power of the common stock of BellRing Brands, Inc. as described in this prospectus. Subject to the terms of the</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3"/>
              </w:rPr>
              <w:t>amended and restated limited liability company agreement, Post may redeem BellRing Brands, LLC Units for, at BellRing Brands,</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1"/>
              </w:rPr>
              <w:t>LLC’s option (as determined by its Board of Managers), (i) shares of BellRing Brands, Inc. Class A common stock or (ii) cash (based</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3"/>
              </w:rPr>
              <w:t>on the market price of the shares of BellRing Brands, Inc. Class A common stock). The redemption of BellRing Brands, LLC Units</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5"/>
              </w:rPr>
              <w:t>for shares of Class A common stock will be at an initial redemption rate of one share of Class A common stock for one BellRing</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1"/>
              </w:rPr>
              <w:t>Brands, LLC Unit, subject to customary redemption rate adjustments for stock splits, stock dividends and reclassifications. The share</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2"/>
              </w:rPr>
              <w:t>of BellRing Brands, Inc. Class B common stock will be initially owned by Post and cannot be transferred except to affiliates of Post</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2"/>
              </w:rPr>
              <w:t>(other than us). We do not intend to list our Class B common stock on any stock exchange. See “Certain Relationships and Related</w:t>
            </w:r>
          </w:p>
        </w:tc>
      </w:tr>
      <w:tr>
        <w:trPr>
          <w:trHeight w:val="230"/>
        </w:trPr>
        <w:tc>
          <w:tcPr>
            <w:tcW w:w="280" w:type="dxa"/>
            <w:vAlign w:val="bottom"/>
          </w:tcPr>
          <w:p>
            <w:pPr>
              <w:spacing w:after="0"/>
              <w:rPr>
                <w:sz w:val="20"/>
                <w:szCs w:val="20"/>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8"/>
              </w:rPr>
              <w:t>Party Transactions—Post-Offering Relationship with Post—Amended and Restated Limited Liability Company Agreement.”</w:t>
            </w: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The purchasers in this offering (i) will own</w:t>
            </w:r>
          </w:p>
        </w:tc>
        <w:tc>
          <w:tcPr>
            <w:tcW w:w="3700" w:type="dxa"/>
            <w:vAlign w:val="bottom"/>
            <w:gridSpan w:val="2"/>
          </w:tcPr>
          <w:p>
            <w:pPr>
              <w:ind w:left="400"/>
              <w:spacing w:after="0"/>
              <w:rPr>
                <w:sz w:val="20"/>
                <w:szCs w:val="20"/>
                <w:color w:val="auto"/>
              </w:rPr>
            </w:pPr>
            <w:r>
              <w:rPr>
                <w:rFonts w:ascii="Arial" w:cs="Arial" w:eastAsia="Arial" w:hAnsi="Arial"/>
                <w:sz w:val="18"/>
                <w:szCs w:val="18"/>
                <w:color w:val="auto"/>
              </w:rPr>
              <w:t>shares of our Class A common stock (or</w:t>
            </w:r>
          </w:p>
        </w:tc>
        <w:tc>
          <w:tcPr>
            <w:tcW w:w="2440" w:type="dxa"/>
            <w:vAlign w:val="bottom"/>
          </w:tcPr>
          <w:p>
            <w:pPr>
              <w:ind w:left="400"/>
              <w:spacing w:after="0"/>
              <w:rPr>
                <w:sz w:val="20"/>
                <w:szCs w:val="20"/>
                <w:color w:val="auto"/>
              </w:rPr>
            </w:pPr>
            <w:r>
              <w:rPr>
                <w:rFonts w:ascii="Arial" w:cs="Arial" w:eastAsia="Arial" w:hAnsi="Arial"/>
                <w:sz w:val="18"/>
                <w:szCs w:val="18"/>
                <w:color w:val="auto"/>
                <w:w w:val="99"/>
              </w:rPr>
              <w:t>shares if the underwriters</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3"/>
              </w:rPr>
              <w:t>exercise their over-allotment option in full), which, for so long as Post or its affiliates (other than us) directly own more than 50% of</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2"/>
              </w:rPr>
              <w:t>the BellRing Brands, LLC Units, will represent 33% of the combined voting power of our common stock and 100% of the economic</w:t>
            </w:r>
          </w:p>
        </w:tc>
      </w:tr>
      <w:tr>
        <w:trPr>
          <w:trHeight w:val="216"/>
        </w:trPr>
        <w:tc>
          <w:tcPr>
            <w:tcW w:w="280" w:type="dxa"/>
            <w:vAlign w:val="bottom"/>
          </w:tcPr>
          <w:p>
            <w:pPr>
              <w:spacing w:after="0"/>
              <w:rPr>
                <w:sz w:val="18"/>
                <w:szCs w:val="18"/>
                <w:color w:val="auto"/>
              </w:rPr>
            </w:pPr>
          </w:p>
        </w:tc>
        <w:tc>
          <w:tcPr>
            <w:tcW w:w="9860" w:type="dxa"/>
            <w:vAlign w:val="bottom"/>
            <w:gridSpan w:val="5"/>
          </w:tcPr>
          <w:p>
            <w:pPr>
              <w:ind w:left="220"/>
              <w:spacing w:after="0"/>
              <w:rPr>
                <w:sz w:val="20"/>
                <w:szCs w:val="20"/>
                <w:color w:val="auto"/>
              </w:rPr>
            </w:pPr>
            <w:r>
              <w:rPr>
                <w:rFonts w:ascii="Arial" w:cs="Arial" w:eastAsia="Arial" w:hAnsi="Arial"/>
                <w:sz w:val="18"/>
                <w:szCs w:val="18"/>
                <w:color w:val="auto"/>
                <w:w w:val="95"/>
              </w:rPr>
              <w:t>interest in BellRing Brands, Inc., and (ii) through BellRing Brands, Inc.’s ownership of BellRing Brands, LLC Units, indirectly will</w:t>
            </w:r>
          </w:p>
        </w:tc>
      </w:tr>
      <w:tr>
        <w:trPr>
          <w:trHeight w:val="230"/>
        </w:trPr>
        <w:tc>
          <w:tcPr>
            <w:tcW w:w="280" w:type="dxa"/>
            <w:vAlign w:val="bottom"/>
          </w:tcPr>
          <w:p>
            <w:pPr>
              <w:spacing w:after="0"/>
              <w:rPr>
                <w:sz w:val="20"/>
                <w:szCs w:val="20"/>
                <w:color w:val="auto"/>
              </w:rPr>
            </w:pPr>
          </w:p>
        </w:tc>
        <w:tc>
          <w:tcPr>
            <w:tcW w:w="4900" w:type="dxa"/>
            <w:vAlign w:val="bottom"/>
            <w:gridSpan w:val="3"/>
          </w:tcPr>
          <w:p>
            <w:pPr>
              <w:ind w:left="220"/>
              <w:spacing w:after="0"/>
              <w:rPr>
                <w:sz w:val="20"/>
                <w:szCs w:val="20"/>
                <w:color w:val="auto"/>
              </w:rPr>
            </w:pPr>
            <w:r>
              <w:rPr>
                <w:rFonts w:ascii="Arial" w:cs="Arial" w:eastAsia="Arial" w:hAnsi="Arial"/>
                <w:sz w:val="18"/>
                <w:szCs w:val="18"/>
                <w:color w:val="auto"/>
                <w:w w:val="96"/>
              </w:rPr>
              <w:t>hold   % of the economic interest in BellRing Brands, LLC (or</w:t>
            </w:r>
          </w:p>
        </w:tc>
        <w:tc>
          <w:tcPr>
            <w:tcW w:w="4960" w:type="dxa"/>
            <w:vAlign w:val="bottom"/>
            <w:gridSpan w:val="2"/>
          </w:tcPr>
          <w:p>
            <w:pPr>
              <w:jc w:val="center"/>
              <w:spacing w:after="0"/>
              <w:rPr>
                <w:sz w:val="20"/>
                <w:szCs w:val="20"/>
                <w:color w:val="auto"/>
              </w:rPr>
            </w:pPr>
            <w:r>
              <w:rPr>
                <w:rFonts w:ascii="Arial" w:cs="Arial" w:eastAsia="Arial" w:hAnsi="Arial"/>
                <w:sz w:val="18"/>
                <w:szCs w:val="18"/>
                <w:color w:val="auto"/>
                <w:w w:val="93"/>
              </w:rPr>
              <w:t>% if the underwriters exercise their over-allotment option in full).</w:t>
            </w:r>
          </w:p>
        </w:tc>
      </w:tr>
    </w:tbl>
    <w:p>
      <w:pPr>
        <w:spacing w:after="0" w:line="107" w:lineRule="exact"/>
        <w:rPr>
          <w:sz w:val="20"/>
          <w:szCs w:val="20"/>
          <w:color w:val="auto"/>
        </w:rPr>
      </w:pPr>
    </w:p>
    <w:p>
      <w:pPr>
        <w:ind w:left="1320" w:right="180" w:hanging="509"/>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24968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3890" cy="2496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340" w:right="180"/>
        <w:spacing w:after="0" w:line="263" w:lineRule="auto"/>
        <w:rPr>
          <w:sz w:val="20"/>
          <w:szCs w:val="20"/>
          <w:color w:val="auto"/>
        </w:rPr>
      </w:pPr>
      <w:r>
        <w:rPr>
          <w:rFonts w:ascii="Arial" w:cs="Arial" w:eastAsia="Arial" w:hAnsi="Arial"/>
          <w:sz w:val="18"/>
          <w:szCs w:val="18"/>
          <w:color w:val="auto"/>
        </w:rPr>
        <w:t>BellRing Brands, Inc. and the number of BellRing Brands, LLC Units owned by BellRing Brands, Inc. See “Certain Relationships and Related Party Transactions—Post-Offering Relationship with Post—Amended and Restated Limited Liability Company Agreement.”</w:t>
      </w:r>
    </w:p>
    <w:p>
      <w:pPr>
        <w:spacing w:after="0" w:line="88" w:lineRule="exact"/>
        <w:rPr>
          <w:sz w:val="20"/>
          <w:szCs w:val="20"/>
          <w:color w:val="auto"/>
        </w:rPr>
      </w:pPr>
    </w:p>
    <w:p>
      <w:pPr>
        <w:ind w:left="1320" w:hanging="509"/>
        <w:spacing w:after="0" w:line="253"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1320" w:right="20" w:hanging="509"/>
        <w:spacing w:after="0" w:line="286" w:lineRule="auto"/>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240" w:top="459" w:right="7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917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3890" cy="6917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00" w:firstLine="426"/>
        <w:spacing w:after="0" w:line="263" w:lineRule="auto"/>
        <w:rPr>
          <w:sz w:val="20"/>
          <w:szCs w:val="20"/>
          <w:color w:val="auto"/>
        </w:rPr>
      </w:pPr>
      <w:r>
        <w:rPr>
          <w:rFonts w:ascii="Arial" w:cs="Arial" w:eastAsia="Arial" w:hAnsi="Arial"/>
          <w:sz w:val="18"/>
          <w:szCs w:val="18"/>
          <w:color w:val="auto"/>
        </w:rPr>
        <w:t>The following diagram shows our corporate structure immediately after completion of the formation transactions and this offering (assuming an initial public offering price at the midpoint of the estimated offering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400" w:right="280" w:firstLine="426"/>
        <w:spacing w:after="0" w:line="301" w:lineRule="auto"/>
        <w:rPr>
          <w:sz w:val="20"/>
          <w:szCs w:val="20"/>
          <w:color w:val="auto"/>
        </w:rPr>
      </w:pPr>
      <w:r>
        <w:rPr>
          <w:rFonts w:ascii="Arial" w:cs="Arial" w:eastAsia="Arial" w:hAnsi="Arial"/>
          <w:sz w:val="16"/>
          <w:szCs w:val="16"/>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w:t>
      </w:r>
    </w:p>
    <w:p>
      <w:pPr>
        <w:spacing w:after="0" w:line="200" w:lineRule="exact"/>
        <w:rPr>
          <w:sz w:val="20"/>
          <w:szCs w:val="20"/>
          <w:color w:val="auto"/>
        </w:rPr>
      </w:pPr>
    </w:p>
    <w:p>
      <w:pPr>
        <w:spacing w:after="0" w:line="38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240" w:top="459" w:right="6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906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3890" cy="5906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40"/>
        <w:spacing w:after="0" w:line="307" w:lineRule="auto"/>
        <w:rPr>
          <w:sz w:val="20"/>
          <w:szCs w:val="20"/>
          <w:color w:val="auto"/>
        </w:rPr>
      </w:pPr>
      <w:r>
        <w:rPr>
          <w:rFonts w:ascii="Arial" w:cs="Arial" w:eastAsia="Arial" w:hAnsi="Arial"/>
          <w:sz w:val="17"/>
          <w:szCs w:val="17"/>
          <w:color w:val="auto"/>
        </w:rPr>
        <w:t>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ind w:left="400" w:right="20" w:firstLine="426"/>
        <w:spacing w:after="0" w:line="286" w:lineRule="auto"/>
        <w:rPr>
          <w:sz w:val="20"/>
          <w:szCs w:val="20"/>
          <w:color w:val="auto"/>
        </w:rPr>
      </w:pPr>
      <w:r>
        <w:rPr>
          <w:rFonts w:ascii="Arial" w:cs="Arial" w:eastAsia="Arial" w:hAnsi="Arial"/>
          <w:sz w:val="16"/>
          <w:szCs w:val="16"/>
          <w:color w:val="auto"/>
        </w:rPr>
        <w:t>Prior to the completion of this offering, Post will borrow $ million under an unsecured bridge loan (which we refer to as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 rate per annum equal to (i) with respect to the period commencing on</w:t>
      </w:r>
    </w:p>
    <w:p>
      <w:pPr>
        <w:spacing w:after="0" w:line="1" w:lineRule="exact"/>
        <w:rPr>
          <w:sz w:val="20"/>
          <w:szCs w:val="20"/>
          <w:color w:val="auto"/>
        </w:rPr>
      </w:pPr>
    </w:p>
    <w:p>
      <w:pPr>
        <w:ind w:left="400" w:firstLine="719"/>
        <w:spacing w:after="0" w:line="253" w:lineRule="auto"/>
        <w:rPr>
          <w:sz w:val="20"/>
          <w:szCs w:val="20"/>
          <w:color w:val="auto"/>
        </w:rPr>
      </w:pPr>
      <w:r>
        <w:rPr>
          <w:rFonts w:ascii="Arial" w:cs="Arial" w:eastAsia="Arial" w:hAnsi="Arial"/>
          <w:sz w:val="18"/>
          <w:szCs w:val="18"/>
          <w:color w:val="auto"/>
        </w:rPr>
        <w:t>, and ending on , the Eurodollar Rate (as such term is defined in the bridge facility agreement) plus 450 basis points, (ii) with respect to the period commencing on , and ending on , the Eurodollar Rate plus 500 basis points, (iii) with respect to the period between and , 12.00% and (iv) with respect to the period on or after through the maturity date, 12.25%. Payments of interest on the Post bridge loan are due on , , and the last day of each quarter thereafter. The Post bridge loan will mature on August 23, 2024.</w:t>
      </w:r>
    </w:p>
    <w:p>
      <w:pPr>
        <w:spacing w:after="0" w:line="200" w:lineRule="exact"/>
        <w:rPr>
          <w:sz w:val="20"/>
          <w:szCs w:val="20"/>
          <w:color w:val="auto"/>
        </w:rPr>
      </w:pPr>
    </w:p>
    <w:p>
      <w:pPr>
        <w:spacing w:after="0" w:line="208" w:lineRule="exact"/>
        <w:rPr>
          <w:sz w:val="20"/>
          <w:szCs w:val="20"/>
          <w:color w:val="auto"/>
        </w:rPr>
      </w:pPr>
    </w:p>
    <w:p>
      <w:pPr>
        <w:ind w:left="400" w:firstLine="426"/>
        <w:spacing w:after="0" w:line="253" w:lineRule="auto"/>
        <w:rPr>
          <w:sz w:val="20"/>
          <w:szCs w:val="20"/>
          <w:color w:val="auto"/>
        </w:rPr>
      </w:pPr>
      <w:r>
        <w:rPr>
          <w:rFonts w:ascii="Arial" w:cs="Arial" w:eastAsia="Arial" w:hAnsi="Arial"/>
          <w:sz w:val="18"/>
          <w:szCs w:val="18"/>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 See “Description of Certain Indebtedness.”</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400" w:right="220" w:firstLine="426"/>
        <w:spacing w:after="0" w:line="273"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revolving credit facility with approximately $200 million borrowing capacity and an approximately</w:t>
      </w:r>
    </w:p>
    <w:p>
      <w:pPr>
        <w:spacing w:after="0" w:line="1" w:lineRule="exact"/>
        <w:rPr>
          <w:sz w:val="20"/>
          <w:szCs w:val="20"/>
          <w:color w:val="auto"/>
        </w:rPr>
      </w:pPr>
    </w:p>
    <w:p>
      <w:pPr>
        <w:ind w:left="400"/>
        <w:spacing w:after="0" w:line="287" w:lineRule="auto"/>
        <w:rPr>
          <w:sz w:val="20"/>
          <w:szCs w:val="20"/>
          <w:color w:val="auto"/>
        </w:rPr>
      </w:pPr>
      <w:r>
        <w:rPr>
          <w:rFonts w:ascii="Arial" w:cs="Arial" w:eastAsia="Arial" w:hAnsi="Arial"/>
          <w:sz w:val="16"/>
          <w:szCs w:val="16"/>
          <w:color w:val="auto"/>
        </w:rPr>
        <w:t>$820.0 million term loan facility (which we refer to collectively as the “debt facilities”)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approximately $820.0 million under the term loan facility and approximately $15.0 million under the revolving credit facility and receive net proceeds of approximately $6.6 million, after deducting fees, expenses and repayment of the remaining portion of the Post bridge loan and related interest.</w:t>
      </w:r>
    </w:p>
    <w:p>
      <w:pPr>
        <w:spacing w:after="0" w:line="168" w:lineRule="exact"/>
        <w:rPr>
          <w:sz w:val="20"/>
          <w:szCs w:val="20"/>
          <w:color w:val="auto"/>
        </w:rPr>
      </w:pPr>
    </w:p>
    <w:p>
      <w:pPr>
        <w:ind w:left="400" w:right="20" w:firstLine="426"/>
        <w:spacing w:after="0" w:line="311" w:lineRule="auto"/>
        <w:rPr>
          <w:sz w:val="20"/>
          <w:szCs w:val="20"/>
          <w:color w:val="auto"/>
        </w:rPr>
      </w:pPr>
      <w:r>
        <w:rPr>
          <w:rFonts w:ascii="Arial" w:cs="Arial" w:eastAsia="Arial" w:hAnsi="Arial"/>
          <w:sz w:val="16"/>
          <w:szCs w:val="16"/>
          <w:color w:val="auto"/>
        </w:rPr>
        <w:t>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200" w:lineRule="exact"/>
        <w:rPr>
          <w:sz w:val="20"/>
          <w:szCs w:val="20"/>
          <w:color w:val="auto"/>
        </w:rPr>
      </w:pPr>
    </w:p>
    <w:p>
      <w:pPr>
        <w:spacing w:after="0" w:line="38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291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3890" cy="6291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20" w:firstLine="426"/>
        <w:spacing w:after="0" w:line="256"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 See “Description of Certain Indebtedness.”</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400" w:firstLine="426"/>
        <w:spacing w:after="0" w:line="293" w:lineRule="auto"/>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 Post will own one share of our Class B common stock and, for so long as Post or its affiliates (other than us) directly own more than 50% of the BellRing Brands, LLC Units as described in this prospectus, will control 67% of the combined voting power of our outstanding common stock.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63" w:lineRule="exact"/>
        <w:rPr>
          <w:sz w:val="20"/>
          <w:szCs w:val="20"/>
          <w:color w:val="auto"/>
        </w:rPr>
      </w:pPr>
    </w:p>
    <w:p>
      <w:pPr>
        <w:ind w:left="400" w:right="340" w:firstLine="426"/>
        <w:spacing w:after="0" w:line="263" w:lineRule="auto"/>
        <w:rPr>
          <w:sz w:val="20"/>
          <w:szCs w:val="20"/>
          <w:color w:val="auto"/>
        </w:rPr>
      </w:pPr>
      <w:r>
        <w:rPr>
          <w:rFonts w:ascii="Arial" w:cs="Arial" w:eastAsia="Arial" w:hAnsi="Arial"/>
          <w:sz w:val="18"/>
          <w:szCs w:val="18"/>
          <w:color w:val="auto"/>
        </w:rPr>
        <w:t>Post will receive the net proceeds of the Post bridge loan, estimated to be approximately $ million after deducting fees and expenses, which it expects to use to repay a portion of its existing debt. Neither BellRing Brands, Inc. nor BellRing Brands, LLC will receive any of the proceeds of the Post bridge loan.</w:t>
      </w:r>
    </w:p>
    <w:p>
      <w:pPr>
        <w:spacing w:after="0" w:line="183" w:lineRule="exact"/>
        <w:rPr>
          <w:sz w:val="20"/>
          <w:szCs w:val="20"/>
          <w:color w:val="auto"/>
        </w:rPr>
      </w:pPr>
    </w:p>
    <w:p>
      <w:pPr>
        <w:jc w:val="both"/>
        <w:ind w:left="400" w:right="100" w:firstLine="426"/>
        <w:spacing w:after="0" w:line="290"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investor rights agreement, (iii) the tax receivable agreement, (iv) the tax matters agreement,</w:t>
      </w:r>
    </w:p>
    <w:p>
      <w:pPr>
        <w:spacing w:after="0" w:line="1" w:lineRule="exact"/>
        <w:rPr>
          <w:sz w:val="20"/>
          <w:szCs w:val="20"/>
          <w:color w:val="auto"/>
        </w:rPr>
      </w:pPr>
    </w:p>
    <w:p>
      <w:pPr>
        <w:ind w:left="400" w:right="620" w:hanging="7"/>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and (vi) the master services agreement, each as described under “Certain Relationships and Related Party Transactions—Post-Offering Relationship with Post.”</w:t>
      </w: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400" w:right="480" w:firstLine="426"/>
        <w:spacing w:after="0" w:line="263"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8" w:lineRule="exact"/>
        <w:rPr>
          <w:sz w:val="20"/>
          <w:szCs w:val="20"/>
          <w:color w:val="auto"/>
        </w:rPr>
      </w:pPr>
    </w:p>
    <w:p>
      <w:pPr>
        <w:ind w:left="1320" w:hanging="509"/>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320" w:hanging="509"/>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320" w:right="40" w:hanging="509"/>
        <w:spacing w:after="0" w:line="311" w:lineRule="auto"/>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3" w:lineRule="exact"/>
        <w:rPr>
          <w:rFonts w:ascii="Arial" w:cs="Arial" w:eastAsia="Arial" w:hAnsi="Arial"/>
          <w:sz w:val="16"/>
          <w:szCs w:val="16"/>
          <w:color w:val="auto"/>
        </w:rPr>
      </w:pPr>
    </w:p>
    <w:p>
      <w:pPr>
        <w:ind w:left="1320" w:hanging="509"/>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400" w:right="80" w:firstLine="426"/>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8" w:lineRule="exact"/>
        <w:rPr>
          <w:sz w:val="20"/>
          <w:szCs w:val="20"/>
          <w:color w:val="auto"/>
        </w:rPr>
      </w:pPr>
    </w:p>
    <w:p>
      <w:pPr>
        <w:ind w:left="1320" w:hanging="509"/>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629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3890" cy="4629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320" w:right="480" w:hanging="509"/>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320" w:right="220" w:hanging="509"/>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320" w:right="40" w:hanging="509"/>
        <w:spacing w:after="0" w:line="263"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8" w:lineRule="exact"/>
        <w:rPr>
          <w:rFonts w:ascii="Arial" w:cs="Arial" w:eastAsia="Arial" w:hAnsi="Arial"/>
          <w:sz w:val="18"/>
          <w:szCs w:val="18"/>
          <w:color w:val="auto"/>
        </w:rPr>
      </w:pPr>
    </w:p>
    <w:p>
      <w:pPr>
        <w:ind w:left="1320" w:right="20" w:hanging="509"/>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400" w:right="14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6" w:lineRule="exact"/>
        <w:rPr>
          <w:sz w:val="20"/>
          <w:szCs w:val="20"/>
          <w:color w:val="auto"/>
        </w:rPr>
      </w:pPr>
    </w:p>
    <w:p>
      <w:pPr>
        <w:ind w:left="400" w:right="6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8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400" w:firstLine="426"/>
        <w:spacing w:after="0" w:line="296"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 Louis, Missouri 63144, and its telephone number is (314) 644-7600. BellRing Brands, Inc.’s website is www.bellring.com.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6318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3890" cy="56318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700" w:type="dxa"/>
            <w:vAlign w:val="bottom"/>
          </w:tcPr>
          <w:p>
            <w:pPr>
              <w:ind w:left="180"/>
              <w:spacing w:after="0"/>
              <w:rPr>
                <w:sz w:val="20"/>
                <w:szCs w:val="20"/>
                <w:color w:val="auto"/>
              </w:rPr>
            </w:pPr>
            <w:r>
              <w:rPr>
                <w:rFonts w:ascii="Arial" w:cs="Arial" w:eastAsia="Arial" w:hAnsi="Arial"/>
                <w:sz w:val="18"/>
                <w:szCs w:val="18"/>
                <w:b w:val="1"/>
                <w:bCs w:val="1"/>
                <w:color w:val="auto"/>
              </w:rPr>
              <w:t>THE OFFERING</w:t>
            </w:r>
          </w:p>
        </w:tc>
        <w:tc>
          <w:tcPr>
            <w:tcW w:w="13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40" w:type="dxa"/>
            <w:vAlign w:val="bottom"/>
          </w:tcPr>
          <w:p>
            <w:pPr>
              <w:spacing w:after="0"/>
              <w:rPr>
                <w:sz w:val="20"/>
                <w:szCs w:val="20"/>
                <w:color w:val="auto"/>
              </w:rPr>
            </w:pPr>
            <w:r>
              <w:rPr>
                <w:rFonts w:ascii="Arial" w:cs="Arial" w:eastAsia="Arial" w:hAnsi="Arial"/>
                <w:sz w:val="18"/>
                <w:szCs w:val="18"/>
                <w:color w:val="auto"/>
              </w:rPr>
              <w:t>Issuer</w:t>
            </w:r>
          </w:p>
        </w:tc>
        <w:tc>
          <w:tcPr>
            <w:tcW w:w="3020" w:type="dxa"/>
            <w:vAlign w:val="bottom"/>
            <w:gridSpan w:val="2"/>
          </w:tcPr>
          <w:p>
            <w:pPr>
              <w:ind w:left="1080"/>
              <w:spacing w:after="0"/>
              <w:rPr>
                <w:sz w:val="20"/>
                <w:szCs w:val="20"/>
                <w:color w:val="auto"/>
              </w:rPr>
            </w:pPr>
            <w:r>
              <w:rPr>
                <w:rFonts w:ascii="Arial" w:cs="Arial" w:eastAsia="Arial" w:hAnsi="Arial"/>
                <w:sz w:val="18"/>
                <w:szCs w:val="18"/>
                <w:color w:val="auto"/>
              </w:rPr>
              <w:t>BellRing Brands, Inc.</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Class A common stock offered</w:t>
            </w:r>
          </w:p>
        </w:tc>
        <w:tc>
          <w:tcPr>
            <w:tcW w:w="1700" w:type="dxa"/>
            <w:vAlign w:val="bottom"/>
          </w:tcPr>
          <w:p>
            <w:pPr>
              <w:spacing w:after="0"/>
              <w:rPr>
                <w:sz w:val="23"/>
                <w:szCs w:val="23"/>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3140" w:type="dxa"/>
            <w:vAlign w:val="bottom"/>
          </w:tcPr>
          <w:p>
            <w:pPr>
              <w:ind w:left="340"/>
              <w:spacing w:after="0"/>
              <w:rPr>
                <w:sz w:val="20"/>
                <w:szCs w:val="20"/>
                <w:color w:val="auto"/>
              </w:rPr>
            </w:pPr>
            <w:r>
              <w:rPr>
                <w:rFonts w:ascii="Arial" w:cs="Arial" w:eastAsia="Arial" w:hAnsi="Arial"/>
                <w:sz w:val="18"/>
                <w:szCs w:val="18"/>
                <w:color w:val="auto"/>
              </w:rPr>
              <w:t>shares if the underwriters exercise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their over-allotment option in full). Each share of our Class 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3"/>
              </w:rPr>
              <w:t>common stock will be eligible for dividends and distributions upon</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020" w:type="dxa"/>
            <w:vAlign w:val="bottom"/>
            <w:gridSpan w:val="2"/>
          </w:tcPr>
          <w:p>
            <w:pPr>
              <w:ind w:left="1260"/>
              <w:spacing w:after="0"/>
              <w:rPr>
                <w:sz w:val="20"/>
                <w:szCs w:val="20"/>
                <w:color w:val="auto"/>
              </w:rPr>
            </w:pPr>
            <w:r>
              <w:rPr>
                <w:rFonts w:ascii="Arial" w:cs="Arial" w:eastAsia="Arial" w:hAnsi="Arial"/>
                <w:sz w:val="18"/>
                <w:szCs w:val="18"/>
                <w:color w:val="auto"/>
              </w:rPr>
              <w:t>liquidation.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18"/>
                <w:szCs w:val="18"/>
                <w:color w:val="auto"/>
                <w:w w:val="95"/>
              </w:rPr>
              <w:t>Class A common stock to be outstanding after this offering</w:t>
            </w:r>
          </w:p>
        </w:tc>
        <w:tc>
          <w:tcPr>
            <w:tcW w:w="1700" w:type="dxa"/>
            <w:vAlign w:val="bottom"/>
          </w:tcPr>
          <w:p>
            <w:pPr>
              <w:spacing w:after="0"/>
              <w:rPr>
                <w:sz w:val="24"/>
                <w:szCs w:val="24"/>
                <w:color w:val="auto"/>
              </w:rPr>
            </w:pP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shares (or</w:t>
            </w:r>
          </w:p>
        </w:tc>
        <w:tc>
          <w:tcPr>
            <w:tcW w:w="3140" w:type="dxa"/>
            <w:vAlign w:val="bottom"/>
            <w:vMerge w:val="restart"/>
          </w:tcPr>
          <w:p>
            <w:pPr>
              <w:ind w:left="340"/>
              <w:spacing w:after="0"/>
              <w:rPr>
                <w:sz w:val="20"/>
                <w:szCs w:val="20"/>
                <w:color w:val="auto"/>
              </w:rPr>
            </w:pPr>
            <w:r>
              <w:rPr>
                <w:rFonts w:ascii="Arial" w:cs="Arial" w:eastAsia="Arial" w:hAnsi="Arial"/>
                <w:sz w:val="18"/>
                <w:szCs w:val="18"/>
                <w:color w:val="auto"/>
              </w:rPr>
              <w:t>shares if the underwriters exercise</w:t>
            </w:r>
          </w:p>
        </w:tc>
        <w:tc>
          <w:tcPr>
            <w:tcW w:w="0" w:type="dxa"/>
            <w:vAlign w:val="bottom"/>
          </w:tcPr>
          <w:p>
            <w:pPr>
              <w:spacing w:after="0"/>
              <w:rPr>
                <w:sz w:val="1"/>
                <w:szCs w:val="1"/>
                <w:color w:val="auto"/>
              </w:rPr>
            </w:pPr>
          </w:p>
        </w:tc>
      </w:tr>
      <w:tr>
        <w:trPr>
          <w:trHeight w:val="201"/>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Over-allotment option</w:t>
            </w:r>
          </w:p>
        </w:tc>
        <w:tc>
          <w:tcPr>
            <w:tcW w:w="6160" w:type="dxa"/>
            <w:vAlign w:val="bottom"/>
            <w:gridSpan w:val="3"/>
          </w:tcPr>
          <w:p>
            <w:pPr>
              <w:ind w:left="1080"/>
              <w:spacing w:after="0"/>
              <w:rPr>
                <w:sz w:val="20"/>
                <w:szCs w:val="20"/>
                <w:color w:val="auto"/>
              </w:rPr>
            </w:pPr>
            <w:r>
              <w:rPr>
                <w:rFonts w:ascii="Arial" w:cs="Arial" w:eastAsia="Arial" w:hAnsi="Arial"/>
                <w:sz w:val="18"/>
                <w:szCs w:val="18"/>
                <w:color w:val="auto"/>
              </w:rPr>
              <w:t>We have granted to the underwriters an option to purchase up</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700" w:type="dxa"/>
            <w:vAlign w:val="bottom"/>
          </w:tcPr>
          <w:p>
            <w:pPr>
              <w:ind w:left="1260"/>
              <w:spacing w:after="0"/>
              <w:rPr>
                <w:sz w:val="20"/>
                <w:szCs w:val="20"/>
                <w:color w:val="auto"/>
              </w:rPr>
            </w:pPr>
            <w:r>
              <w:rPr>
                <w:rFonts w:ascii="Arial" w:cs="Arial" w:eastAsia="Arial" w:hAnsi="Arial"/>
                <w:sz w:val="18"/>
                <w:szCs w:val="18"/>
                <w:color w:val="auto"/>
              </w:rPr>
              <w:t>to</w:t>
            </w: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w w:val="89"/>
              </w:rPr>
              <w:t>additional shares of our Class A common stock from us at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8"/>
              </w:rPr>
              <w:t>the initial public offering price (less underwriting discounts and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2"/>
              </w:rPr>
              <w:t>commissions) to cover over-allotments, if any, for a period of thirty</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days from the date of this prospectus.</w:t>
            </w: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18"/>
                <w:szCs w:val="18"/>
                <w:color w:val="auto"/>
                <w:w w:val="95"/>
              </w:rPr>
              <w:t>Class B common stock to be outstanding after this offering</w:t>
            </w:r>
          </w:p>
        </w:tc>
        <w:tc>
          <w:tcPr>
            <w:tcW w:w="6160" w:type="dxa"/>
            <w:vAlign w:val="bottom"/>
            <w:gridSpan w:val="3"/>
            <w:vMerge w:val="restart"/>
          </w:tcPr>
          <w:p>
            <w:pPr>
              <w:ind w:left="1080"/>
              <w:spacing w:after="0"/>
              <w:rPr>
                <w:sz w:val="20"/>
                <w:szCs w:val="20"/>
                <w:color w:val="auto"/>
              </w:rPr>
            </w:pPr>
            <w:r>
              <w:rPr>
                <w:rFonts w:ascii="Arial" w:cs="Arial" w:eastAsia="Arial" w:hAnsi="Arial"/>
                <w:sz w:val="18"/>
                <w:szCs w:val="18"/>
                <w:color w:val="auto"/>
                <w:w w:val="96"/>
              </w:rPr>
              <w:t>One share, which will be issued to Post. The share of our Class B</w:t>
            </w:r>
          </w:p>
        </w:tc>
        <w:tc>
          <w:tcPr>
            <w:tcW w:w="0" w:type="dxa"/>
            <w:vAlign w:val="bottom"/>
          </w:tcPr>
          <w:p>
            <w:pPr>
              <w:spacing w:after="0"/>
              <w:rPr>
                <w:sz w:val="1"/>
                <w:szCs w:val="1"/>
                <w:color w:val="auto"/>
              </w:rPr>
            </w:pPr>
          </w:p>
        </w:tc>
      </w:tr>
      <w:tr>
        <w:trPr>
          <w:trHeight w:val="201"/>
        </w:trPr>
        <w:tc>
          <w:tcPr>
            <w:tcW w:w="4440" w:type="dxa"/>
            <w:vAlign w:val="bottom"/>
          </w:tcPr>
          <w:p>
            <w:pPr>
              <w:spacing w:after="0"/>
              <w:rPr>
                <w:sz w:val="17"/>
                <w:szCs w:val="17"/>
                <w:color w:val="auto"/>
              </w:rPr>
            </w:pPr>
          </w:p>
        </w:tc>
        <w:tc>
          <w:tcPr>
            <w:tcW w:w="6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common stock will have no economic rights and cannot be</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transferred by Post except to its affiliates (other than us).</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Voting rights</w:t>
            </w:r>
          </w:p>
        </w:tc>
        <w:tc>
          <w:tcPr>
            <w:tcW w:w="6160" w:type="dxa"/>
            <w:vAlign w:val="bottom"/>
            <w:gridSpan w:val="3"/>
          </w:tcPr>
          <w:p>
            <w:pPr>
              <w:ind w:left="1080"/>
              <w:spacing w:after="0"/>
              <w:rPr>
                <w:sz w:val="20"/>
                <w:szCs w:val="20"/>
                <w:color w:val="auto"/>
              </w:rPr>
            </w:pPr>
            <w:r>
              <w:rPr>
                <w:rFonts w:ascii="Arial" w:cs="Arial" w:eastAsia="Arial" w:hAnsi="Arial"/>
                <w:sz w:val="18"/>
                <w:szCs w:val="18"/>
                <w:color w:val="auto"/>
                <w:w w:val="90"/>
              </w:rPr>
              <w:t>One vote per share for Class A common stock; Class A common stock</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5"/>
              </w:rPr>
              <w:t>and Class B common stock vote together as a single class on all</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6"/>
              </w:rPr>
              <w:t>matters submitted to a vote of stockholders. See “Description of</w:t>
            </w:r>
          </w:p>
        </w:tc>
        <w:tc>
          <w:tcPr>
            <w:tcW w:w="0" w:type="dxa"/>
            <w:vAlign w:val="bottom"/>
          </w:tcPr>
          <w:p>
            <w:pPr>
              <w:spacing w:after="0"/>
              <w:rPr>
                <w:sz w:val="1"/>
                <w:szCs w:val="1"/>
                <w:color w:val="auto"/>
              </w:rPr>
            </w:pPr>
          </w:p>
        </w:tc>
      </w:tr>
    </w:tbl>
    <w:p>
      <w:pPr>
        <w:ind w:left="6100"/>
        <w:spacing w:after="0"/>
        <w:rPr>
          <w:sz w:val="20"/>
          <w:szCs w:val="20"/>
          <w:color w:val="auto"/>
        </w:rPr>
      </w:pPr>
      <w:r>
        <w:rPr>
          <w:rFonts w:ascii="Arial" w:cs="Arial" w:eastAsia="Arial" w:hAnsi="Arial"/>
          <w:sz w:val="17"/>
          <w:szCs w:val="17"/>
          <w:color w:val="auto"/>
        </w:rPr>
        <w:t>Capital Stock.” For so long as Post or its affiliates (other than us)</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directly own more than 50% of the BellRing Brands, LLC Units,</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the aggregate voting power of the share of our Class B common</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stock will represent 67% of the combined voting power of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common stock of BellRing Brands, Inc. and, in the aggregate, the</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 of the Class A common stock will have 33% of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combined voting power of the common stock of BellRing Brands,</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Inc. In the event that Post and its affiliates (other than us) hold 50%</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or less of the BellRing Brands, LLC Units, the holder of the share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of Class B common stock shall be entitled to a number of votes</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equal to the number of BellRing Brands, LLC Units held by all</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persons other than us; provided, that (i) Post, or its applicable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affiliate, as the holder of the share of our Class B common stock,</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will only be entitled to cast a number of votes on its own behalf and</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at its own discretion equal to the number of BellRing Brands,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800" w:type="dxa"/>
            <w:vAlign w:val="bottom"/>
            <w:tcBorders>
              <w:top w:val="single" w:sz="8" w:color="auto"/>
              <w:left w:val="single" w:sz="8" w:color="auto"/>
            </w:tcBorders>
          </w:tcPr>
          <w:p>
            <w:pPr>
              <w:spacing w:after="0"/>
              <w:rPr>
                <w:sz w:val="24"/>
                <w:szCs w:val="24"/>
                <w:color w:val="auto"/>
              </w:rPr>
            </w:pPr>
          </w:p>
        </w:tc>
        <w:tc>
          <w:tcPr>
            <w:tcW w:w="6220" w:type="dxa"/>
            <w:vAlign w:val="bottom"/>
            <w:tcBorders>
              <w:top w:val="single" w:sz="8" w:color="auto"/>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Units held by Post and its affiliates (other than us), and (ii) in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event that any BellRing Brands, LLC Units are held by persons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other than us or Post and its affiliates, then Post, or its applicable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affiliate, as the holder of the share of our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will cast the remainder of the votes to which the share of our Class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B common stock is entitled only in accordance with instructions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and directions from such other holders of the BellRing Brands, LLC</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Units in accordance with proxies granted by Post to, or voting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4"/>
              </w:rPr>
              <w:t>agreements or other voting arrangements entered into by Post with,</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such other holders pursuant to the amended and restated limited</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liability company agreement.</w:t>
            </w:r>
          </w:p>
        </w:tc>
        <w:tc>
          <w:tcPr>
            <w:tcW w:w="0" w:type="dxa"/>
            <w:vAlign w:val="bottom"/>
          </w:tcPr>
          <w:p>
            <w:pPr>
              <w:spacing w:after="0"/>
              <w:rPr>
                <w:sz w:val="1"/>
                <w:szCs w:val="1"/>
                <w:color w:val="auto"/>
              </w:rPr>
            </w:pPr>
          </w:p>
        </w:tc>
      </w:tr>
      <w:tr>
        <w:trPr>
          <w:trHeight w:val="283"/>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Rights of the BellRing Brands, LLC Units</w:t>
            </w:r>
          </w:p>
        </w:tc>
        <w:tc>
          <w:tcPr>
            <w:tcW w:w="6220" w:type="dxa"/>
            <w:vAlign w:val="bottom"/>
            <w:tcBorders>
              <w:right w:val="single" w:sz="8" w:color="auto"/>
            </w:tcBorders>
            <w:gridSpan w:val="3"/>
            <w:vMerge w:val="restart"/>
          </w:tcPr>
          <w:p>
            <w:pPr>
              <w:ind w:left="920"/>
              <w:spacing w:after="0"/>
              <w:rPr>
                <w:sz w:val="20"/>
                <w:szCs w:val="20"/>
                <w:color w:val="auto"/>
              </w:rPr>
            </w:pPr>
            <w:r>
              <w:rPr>
                <w:rFonts w:ascii="Arial" w:cs="Arial" w:eastAsia="Arial" w:hAnsi="Arial"/>
                <w:sz w:val="18"/>
                <w:szCs w:val="18"/>
                <w:color w:val="auto"/>
              </w:rPr>
              <w:t>Subject to the terms of the amended and restated limited liability</w:t>
            </w:r>
          </w:p>
        </w:tc>
        <w:tc>
          <w:tcPr>
            <w:tcW w:w="0" w:type="dxa"/>
            <w:vAlign w:val="bottom"/>
          </w:tcPr>
          <w:p>
            <w:pPr>
              <w:spacing w:after="0"/>
              <w:rPr>
                <w:sz w:val="1"/>
                <w:szCs w:val="1"/>
                <w:color w:val="auto"/>
              </w:rPr>
            </w:pPr>
          </w:p>
        </w:tc>
      </w:tr>
      <w:tr>
        <w:trPr>
          <w:trHeight w:val="201"/>
        </w:trPr>
        <w:tc>
          <w:tcPr>
            <w:tcW w:w="4800" w:type="dxa"/>
            <w:vAlign w:val="bottom"/>
            <w:tcBorders>
              <w:left w:val="single" w:sz="8" w:color="auto"/>
            </w:tcBorders>
          </w:tcPr>
          <w:p>
            <w:pPr>
              <w:spacing w:after="0"/>
              <w:rPr>
                <w:sz w:val="17"/>
                <w:szCs w:val="17"/>
                <w:color w:val="auto"/>
              </w:rPr>
            </w:pPr>
          </w:p>
        </w:tc>
        <w:tc>
          <w:tcPr>
            <w:tcW w:w="622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company agreement, BellRing Brands, LLC Units may be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redeemed at any time for, at BellRing Brands, LLC’s option (as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determined by its Board of Managers), (i) shares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common stock or (ii) cash (based on the market price of the shares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4"/>
              </w:rPr>
              <w:t>of our Class A common stock). The redemption of BellRing Brands,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LLC Units for shares of Class A common stock will be at an initial</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redemption rate of one share of Class A common stock for one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BellRing Brands, LLC Unit, subject to customary redemption rate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7"/>
              </w:rPr>
              <w:t>adjustments for stock splits, stock dividends and reclassifications.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622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w w:val="93"/>
              </w:rPr>
              <w:t>We have applied to list our Class A common stock on the NYSE under</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the trading symbol “BRBR”.</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2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w w:val="94"/>
              </w:rPr>
              <w:t>As a result of Post’s ownership of our share of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following this offering, Post will beneficially own more than 50%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of the combined voting power of our outstanding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and we will be a “controlled company” within the meaning of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NYSE corporate governance standards; however, we do not</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currently expect to rely on the “controlled company” exemptions.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2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rPr>
              <w:t>We estimate that the net proceeds from the sale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common stock in this offering, after deducting the underwriting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discount and expenses of this offering, will be approximately</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36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million if the underwriters exercise their</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2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over-allotment option in full) based on an assumed initial public</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2620" w:type="dxa"/>
            <w:vAlign w:val="bottom"/>
            <w:gridSpan w:val="2"/>
          </w:tcPr>
          <w:p>
            <w:pPr>
              <w:ind w:left="1100"/>
              <w:spacing w:after="0"/>
              <w:rPr>
                <w:sz w:val="20"/>
                <w:szCs w:val="20"/>
                <w:color w:val="auto"/>
              </w:rPr>
            </w:pPr>
            <w:r>
              <w:rPr>
                <w:rFonts w:ascii="Arial" w:cs="Arial" w:eastAsia="Arial" w:hAnsi="Arial"/>
                <w:sz w:val="18"/>
                <w:szCs w:val="18"/>
                <w:color w:val="auto"/>
              </w:rPr>
              <w:t>offering price of $</w:t>
            </w:r>
          </w:p>
        </w:tc>
        <w:tc>
          <w:tcPr>
            <w:tcW w:w="36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 share (the midpoint of the estimated</w:t>
            </w:r>
          </w:p>
        </w:tc>
        <w:tc>
          <w:tcPr>
            <w:tcW w:w="0" w:type="dxa"/>
            <w:vAlign w:val="bottom"/>
          </w:tcPr>
          <w:p>
            <w:pPr>
              <w:spacing w:after="0"/>
              <w:rPr>
                <w:sz w:val="1"/>
                <w:szCs w:val="1"/>
                <w:color w:val="auto"/>
              </w:rPr>
            </w:pPr>
          </w:p>
        </w:tc>
      </w:tr>
      <w:tr>
        <w:trPr>
          <w:trHeight w:val="240"/>
        </w:trPr>
        <w:tc>
          <w:tcPr>
            <w:tcW w:w="48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00" w:type="dxa"/>
            <w:vAlign w:val="bottom"/>
          </w:tcPr>
          <w:p>
            <w:pPr>
              <w:spacing w:after="0"/>
              <w:rPr>
                <w:sz w:val="24"/>
                <w:szCs w:val="24"/>
                <w:color w:val="auto"/>
              </w:rPr>
            </w:pPr>
          </w:p>
        </w:tc>
        <w:tc>
          <w:tcPr>
            <w:tcW w:w="1380" w:type="dxa"/>
            <w:vAlign w:val="bottom"/>
          </w:tcPr>
          <w:p>
            <w:pPr>
              <w:ind w:left="620"/>
              <w:spacing w:after="0"/>
              <w:rPr>
                <w:sz w:val="20"/>
                <w:szCs w:val="20"/>
                <w:color w:val="auto"/>
              </w:rPr>
            </w:pPr>
            <w:r>
              <w:rPr>
                <w:rFonts w:ascii="Arial" w:cs="Arial" w:eastAsia="Arial" w:hAnsi="Arial"/>
                <w:sz w:val="18"/>
                <w:szCs w:val="18"/>
                <w:color w:val="auto"/>
              </w:rPr>
              <w:t>21</w:t>
            </w:r>
          </w:p>
        </w:tc>
        <w:tc>
          <w:tcPr>
            <w:tcW w:w="1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540" w:type="dxa"/>
            <w:vAlign w:val="bottom"/>
            <w:tcBorders>
              <w:top w:val="single" w:sz="8" w:color="auto"/>
              <w:left w:val="single" w:sz="8" w:color="auto"/>
            </w:tcBorders>
          </w:tcPr>
          <w:p>
            <w:pPr>
              <w:spacing w:after="0"/>
              <w:rPr>
                <w:sz w:val="24"/>
                <w:szCs w:val="24"/>
                <w:color w:val="auto"/>
              </w:rPr>
            </w:pPr>
          </w:p>
        </w:tc>
        <w:tc>
          <w:tcPr>
            <w:tcW w:w="7480" w:type="dxa"/>
            <w:vAlign w:val="bottom"/>
            <w:tcBorders>
              <w:top w:val="single" w:sz="8" w:color="auto"/>
              <w:right w:val="single" w:sz="8" w:color="auto"/>
            </w:tcBorders>
          </w:tcPr>
          <w:p>
            <w:pPr>
              <w:ind w:left="2360"/>
              <w:spacing w:after="0"/>
              <w:rPr>
                <w:sz w:val="20"/>
                <w:szCs w:val="20"/>
                <w:color w:val="auto"/>
              </w:rPr>
            </w:pPr>
            <w:r>
              <w:rPr>
                <w:rFonts w:ascii="Arial" w:cs="Arial" w:eastAsia="Arial" w:hAnsi="Arial"/>
                <w:sz w:val="18"/>
                <w:szCs w:val="18"/>
                <w:color w:val="auto"/>
                <w:w w:val="95"/>
              </w:rPr>
              <w:t>offering price range set forth on the cover page of this prospectus).</w:t>
            </w:r>
          </w:p>
        </w:tc>
      </w:tr>
      <w:tr>
        <w:trPr>
          <w:trHeight w:val="282"/>
        </w:trPr>
        <w:tc>
          <w:tcPr>
            <w:tcW w:w="354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w w:val="97"/>
              </w:rPr>
              <w:t>BellRing Brands, Inc. will contribute the net proceeds of this offering</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to BellRing Brands, LLC in exchange for BellRing Brands, LLC</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Units as described under “—Formation Transactions.” BellRing</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7"/>
              </w:rPr>
              <w:t>Brands, LLC, in turn, will use the net proceeds of this offering that</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5"/>
              </w:rPr>
              <w:t>it receives from BellRing Brands, Inc. to repay a portion of the Post</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4"/>
              </w:rPr>
              <w:t>bridge loan and related interest. Immediately after the completion of</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the formation transactions and the completion of this offering,</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8"/>
              </w:rPr>
              <w:t>BellRing Brands, LLC expects to enter into the debt facilities and</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4"/>
              </w:rPr>
              <w:t>use the proceeds of such borrowing under the term loan facility and</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5"/>
              </w:rPr>
              <w:t>the revolving credit facility (i) to repay the remaining balance of the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8"/>
              </w:rPr>
              <w:t>Post bridge loan and all interest thereunder, (ii) to pay directly, or</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4"/>
              </w:rPr>
              <w:t>reimburse Post for, as applicable, all fees and expenses incurred by</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us or Post in connection with this offering and the formation</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transactions (including the debt facilities but excluding the Post</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8"/>
              </w:rPr>
              <w:t>bridge loan), (iii) to reimburse Post for the amount of cash on our</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7"/>
              </w:rPr>
              <w:t>balance sheet immediately prior to the completion of this offering,</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5"/>
              </w:rPr>
              <w:t>and (iv) to the extent there are any remaining proceeds, for general</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corporate purposes. See “Use of Proceeds” and “Description of</w:t>
            </w:r>
          </w:p>
        </w:tc>
      </w:tr>
      <w:tr>
        <w:trPr>
          <w:trHeight w:val="230"/>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Certain Indebtedness—Debt Facilities.”</w:t>
            </w:r>
          </w:p>
        </w:tc>
      </w:tr>
      <w:tr>
        <w:trPr>
          <w:trHeight w:val="282"/>
        </w:trPr>
        <w:tc>
          <w:tcPr>
            <w:tcW w:w="35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7480" w:type="dxa"/>
            <w:vAlign w:val="bottom"/>
            <w:tcBorders>
              <w:right w:val="single" w:sz="8" w:color="auto"/>
            </w:tcBorders>
          </w:tcPr>
          <w:p>
            <w:pPr>
              <w:ind w:left="2180"/>
              <w:spacing w:after="0"/>
              <w:rPr>
                <w:sz w:val="20"/>
                <w:szCs w:val="20"/>
                <w:color w:val="auto"/>
              </w:rPr>
            </w:pPr>
            <w:r>
              <w:rPr>
                <w:rFonts w:ascii="Arial" w:cs="Arial" w:eastAsia="Arial" w:hAnsi="Arial"/>
                <w:sz w:val="18"/>
                <w:szCs w:val="18"/>
                <w:color w:val="auto"/>
              </w:rPr>
              <w:t>Affiliates of Morgan Stanley &amp; Co. LLC, Citigroup Global Markets</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Inc., J.P. Morgan Securities LLC, Goldman Sachs &amp; Co. LLC,</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5"/>
              </w:rPr>
              <w:t>BofA Securities, Inc. and Credit Suisse Securities (USA) LLC, each</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of which is an underwriter in this offering, are lenders under the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6"/>
              </w:rPr>
              <w:t>Post bridge loan. The proceeds received by BellRing Brands, LLC</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6"/>
              </w:rPr>
              <w:t>from its sale of BellRing Brands, LLC Units will be used to repay a</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5"/>
              </w:rPr>
              <w:t>portion of the Post bridge loan and related interest. Because of the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manner in which the proceeds will be used, this offering will be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conducted in accordance with Financial Industry Regulatory</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Authority, Inc., or FINRA, Rule 5121. This rule requires, among</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other things, that a qualified independent underwriter has</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participated in the preparation of, and has exercised the usual</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8"/>
              </w:rPr>
              <w:t>standards of ‘‘due diligence’’ with respect to, this prospectus and</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the registration statement of which this prospectus forms a part.</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3320"/>
              <w:spacing w:after="0"/>
              <w:rPr>
                <w:sz w:val="20"/>
                <w:szCs w:val="20"/>
                <w:color w:val="auto"/>
              </w:rPr>
            </w:pPr>
            <w:r>
              <w:rPr>
                <w:rFonts w:ascii="Arial" w:cs="Arial" w:eastAsia="Arial" w:hAnsi="Arial"/>
                <w:sz w:val="18"/>
                <w:szCs w:val="18"/>
                <w:color w:val="auto"/>
                <w:w w:val="94"/>
              </w:rPr>
              <w:t>has agreed to act as qualified independent underwriter</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for the offering and to undertake the legal responsibilities and</w:t>
            </w:r>
          </w:p>
        </w:tc>
      </w:tr>
      <w:tr>
        <w:trPr>
          <w:trHeight w:val="230"/>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liabilities of an</w:t>
            </w:r>
          </w:p>
        </w:tc>
      </w:tr>
      <w:tr>
        <w:trPr>
          <w:trHeight w:val="240"/>
        </w:trPr>
        <w:tc>
          <w:tcPr>
            <w:tcW w:w="3540" w:type="dxa"/>
            <w:vAlign w:val="bottom"/>
            <w:tcBorders>
              <w:left w:val="single" w:sz="8" w:color="auto"/>
              <w:bottom w:val="single" w:sz="8" w:color="auto"/>
            </w:tcBorders>
          </w:tcPr>
          <w:p>
            <w:pPr>
              <w:spacing w:after="0"/>
              <w:rPr>
                <w:sz w:val="20"/>
                <w:szCs w:val="20"/>
                <w:color w:val="auto"/>
              </w:rPr>
            </w:pPr>
          </w:p>
        </w:tc>
        <w:tc>
          <w:tcPr>
            <w:tcW w:w="7480" w:type="dxa"/>
            <w:vAlign w:val="bottom"/>
            <w:tcBorders>
              <w:bottom w:val="single" w:sz="8" w:color="auto"/>
              <w:right w:val="single" w:sz="8" w:color="auto"/>
            </w:tcBorders>
          </w:tcPr>
          <w:p>
            <w:pPr>
              <w:spacing w:after="0"/>
              <w:rPr>
                <w:sz w:val="20"/>
                <w:szCs w:val="20"/>
                <w:color w:val="auto"/>
              </w:rPr>
            </w:pPr>
          </w:p>
        </w:tc>
      </w:tr>
      <w:tr>
        <w:trPr>
          <w:trHeight w:val="604"/>
        </w:trPr>
        <w:tc>
          <w:tcPr>
            <w:tcW w:w="3540" w:type="dxa"/>
            <w:vAlign w:val="bottom"/>
          </w:tcPr>
          <w:p>
            <w:pPr>
              <w:spacing w:after="0"/>
              <w:rPr>
                <w:sz w:val="24"/>
                <w:szCs w:val="24"/>
                <w:color w:val="auto"/>
              </w:rPr>
            </w:pPr>
          </w:p>
        </w:tc>
        <w:tc>
          <w:tcPr>
            <w:tcW w:w="7480" w:type="dxa"/>
            <w:vAlign w:val="bottom"/>
          </w:tcPr>
          <w:p>
            <w:pPr>
              <w:ind w:left="188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580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3890" cy="5580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6"/>
              </w:rPr>
              <w:t>underwriter under the Securities Act, specifically including those</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inherent in Section 11 of the Securities Act. We will agree to</w:t>
            </w:r>
          </w:p>
        </w:tc>
      </w:tr>
      <w:tr>
        <w:trPr>
          <w:trHeight w:val="216"/>
        </w:trPr>
        <w:tc>
          <w:tcPr>
            <w:tcW w:w="3740" w:type="dxa"/>
            <w:vAlign w:val="bottom"/>
          </w:tcPr>
          <w:p>
            <w:pPr>
              <w:spacing w:after="0"/>
              <w:rPr>
                <w:sz w:val="18"/>
                <w:szCs w:val="18"/>
                <w:color w:val="auto"/>
              </w:rPr>
            </w:pPr>
          </w:p>
        </w:tc>
        <w:tc>
          <w:tcPr>
            <w:tcW w:w="3200" w:type="dxa"/>
            <w:vAlign w:val="bottom"/>
          </w:tcPr>
          <w:p>
            <w:pPr>
              <w:ind w:left="1960"/>
              <w:spacing w:after="0"/>
              <w:rPr>
                <w:sz w:val="20"/>
                <w:szCs w:val="20"/>
                <w:color w:val="auto"/>
              </w:rPr>
            </w:pPr>
            <w:r>
              <w:rPr>
                <w:rFonts w:ascii="Arial" w:cs="Arial" w:eastAsia="Arial" w:hAnsi="Arial"/>
                <w:sz w:val="18"/>
                <w:szCs w:val="18"/>
                <w:color w:val="auto"/>
              </w:rPr>
              <w:t>indemnify</w:t>
            </w:r>
          </w:p>
        </w:tc>
        <w:tc>
          <w:tcPr>
            <w:tcW w:w="3680" w:type="dxa"/>
            <w:vAlign w:val="bottom"/>
          </w:tcPr>
          <w:p>
            <w:pPr>
              <w:ind w:left="500"/>
              <w:spacing w:after="0"/>
              <w:rPr>
                <w:sz w:val="20"/>
                <w:szCs w:val="20"/>
                <w:color w:val="auto"/>
              </w:rPr>
            </w:pPr>
            <w:r>
              <w:rPr>
                <w:rFonts w:ascii="Arial" w:cs="Arial" w:eastAsia="Arial" w:hAnsi="Arial"/>
                <w:sz w:val="18"/>
                <w:szCs w:val="18"/>
                <w:color w:val="auto"/>
              </w:rPr>
              <w:t>against liabilities incurred in connection</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with acting as qualified independent underwriter, including</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liabilities under the Securities Act. Moreover, none of Morgan</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8"/>
              </w:rPr>
              <w:t>Stanley &amp; Co. LLC, Citigroup Global Markets Inc., J.P. Morgan</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5"/>
              </w:rPr>
              <w:t>Securities LLC, Goldman Sachs &amp; Co. LLC, BofA Securities, Inc.</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3"/>
              </w:rPr>
              <w:t>and Credit Suisse Securities (USA) LLC, is permitted to sell Class</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A common stock in this offering to an account over which it</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5"/>
              </w:rPr>
              <w:t>exercises discretionary authority without the prior specific written</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8"/>
              </w:rPr>
              <w:t>approval of the account holder. See “Underwriting (Conflicts of</w:t>
            </w:r>
          </w:p>
        </w:tc>
      </w:tr>
      <w:tr>
        <w:trPr>
          <w:trHeight w:val="230"/>
        </w:trPr>
        <w:tc>
          <w:tcPr>
            <w:tcW w:w="3740" w:type="dxa"/>
            <w:vAlign w:val="bottom"/>
          </w:tcPr>
          <w:p>
            <w:pPr>
              <w:spacing w:after="0"/>
              <w:rPr>
                <w:sz w:val="20"/>
                <w:szCs w:val="20"/>
                <w:color w:val="auto"/>
              </w:rPr>
            </w:pPr>
          </w:p>
        </w:tc>
        <w:tc>
          <w:tcPr>
            <w:tcW w:w="3200" w:type="dxa"/>
            <w:vAlign w:val="bottom"/>
          </w:tcPr>
          <w:p>
            <w:pPr>
              <w:ind w:left="1960"/>
              <w:spacing w:after="0"/>
              <w:rPr>
                <w:sz w:val="20"/>
                <w:szCs w:val="20"/>
                <w:color w:val="auto"/>
              </w:rPr>
            </w:pPr>
            <w:r>
              <w:rPr>
                <w:rFonts w:ascii="Arial" w:cs="Arial" w:eastAsia="Arial" w:hAnsi="Arial"/>
                <w:sz w:val="18"/>
                <w:szCs w:val="18"/>
                <w:color w:val="auto"/>
              </w:rPr>
              <w:t>Interest).”</w:t>
            </w:r>
          </w:p>
        </w:tc>
        <w:tc>
          <w:tcPr>
            <w:tcW w:w="3680" w:type="dxa"/>
            <w:vAlign w:val="bottom"/>
          </w:tcPr>
          <w:p>
            <w:pPr>
              <w:spacing w:after="0"/>
              <w:rPr>
                <w:sz w:val="20"/>
                <w:szCs w:val="20"/>
                <w:color w:val="auto"/>
              </w:rPr>
            </w:pPr>
          </w:p>
        </w:tc>
      </w:tr>
      <w:tr>
        <w:trPr>
          <w:trHeight w:val="269"/>
        </w:trPr>
        <w:tc>
          <w:tcPr>
            <w:tcW w:w="3740" w:type="dxa"/>
            <w:vAlign w:val="bottom"/>
          </w:tcPr>
          <w:p>
            <w:pPr>
              <w:spacing w:after="0"/>
              <w:rPr>
                <w:sz w:val="20"/>
                <w:szCs w:val="20"/>
                <w:color w:val="auto"/>
              </w:rPr>
            </w:pPr>
            <w:r>
              <w:rPr>
                <w:rFonts w:ascii="Arial" w:cs="Arial" w:eastAsia="Arial" w:hAnsi="Arial"/>
                <w:sz w:val="18"/>
                <w:szCs w:val="18"/>
                <w:color w:val="auto"/>
              </w:rPr>
              <w:t>Dividend Policy</w:t>
            </w:r>
          </w:p>
        </w:tc>
        <w:tc>
          <w:tcPr>
            <w:tcW w:w="6880" w:type="dxa"/>
            <w:vAlign w:val="bottom"/>
            <w:gridSpan w:val="2"/>
          </w:tcPr>
          <w:p>
            <w:pPr>
              <w:ind w:left="1780"/>
              <w:spacing w:after="0"/>
              <w:rPr>
                <w:sz w:val="20"/>
                <w:szCs w:val="20"/>
                <w:color w:val="auto"/>
              </w:rPr>
            </w:pPr>
            <w:r>
              <w:rPr>
                <w:rFonts w:ascii="Arial" w:cs="Arial" w:eastAsia="Arial" w:hAnsi="Arial"/>
                <w:sz w:val="18"/>
                <w:szCs w:val="18"/>
                <w:color w:val="auto"/>
                <w:w w:val="91"/>
              </w:rPr>
              <w:t>We do not intend to pay dividends on our Class A common stock or to</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4"/>
              </w:rPr>
              <w:t>cause BellRing Brands, LLC to make distributions to its members</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0"/>
              </w:rPr>
              <w:t>(other than to make certain distributions as described under “Certain</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Relationships and Related Party Transactions—Post-Offering</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5"/>
              </w:rPr>
              <w:t>Relationship with Post—Amended and Restated Limited Liability</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Company Agreement”). We anticipate that we will retain all</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4"/>
              </w:rPr>
              <w:t>available funds and any future earnings to support our operations</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5"/>
              </w:rPr>
              <w:t>and to finance the growth and development of our business. Any</w:t>
            </w:r>
          </w:p>
        </w:tc>
      </w:tr>
      <w:tr>
        <w:trPr>
          <w:trHeight w:val="216"/>
        </w:trPr>
        <w:tc>
          <w:tcPr>
            <w:tcW w:w="3740" w:type="dxa"/>
            <w:vAlign w:val="bottom"/>
          </w:tcPr>
          <w:p>
            <w:pPr>
              <w:spacing w:after="0"/>
              <w:rPr>
                <w:sz w:val="18"/>
                <w:szCs w:val="18"/>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0"/>
              </w:rPr>
              <w:t>future determination to pay dividends on our Class A common stock</w:t>
            </w:r>
          </w:p>
        </w:tc>
      </w:tr>
      <w:tr>
        <w:trPr>
          <w:trHeight w:val="230"/>
        </w:trPr>
        <w:tc>
          <w:tcPr>
            <w:tcW w:w="3740" w:type="dxa"/>
            <w:vAlign w:val="bottom"/>
          </w:tcPr>
          <w:p>
            <w:pPr>
              <w:spacing w:after="0"/>
              <w:rPr>
                <w:sz w:val="20"/>
                <w:szCs w:val="20"/>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rPr>
              <w:t>will be made by our Board of Directors.</w:t>
            </w:r>
          </w:p>
        </w:tc>
      </w:tr>
      <w:tr>
        <w:trPr>
          <w:trHeight w:val="269"/>
        </w:trPr>
        <w:tc>
          <w:tcPr>
            <w:tcW w:w="374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6880" w:type="dxa"/>
            <w:vAlign w:val="bottom"/>
            <w:gridSpan w:val="2"/>
          </w:tcPr>
          <w:p>
            <w:pPr>
              <w:ind w:left="1780"/>
              <w:spacing w:after="0"/>
              <w:rPr>
                <w:sz w:val="20"/>
                <w:szCs w:val="20"/>
                <w:color w:val="auto"/>
              </w:rPr>
            </w:pPr>
            <w:r>
              <w:rPr>
                <w:rFonts w:ascii="Arial" w:cs="Arial" w:eastAsia="Arial" w:hAnsi="Arial"/>
                <w:sz w:val="18"/>
                <w:szCs w:val="18"/>
                <w:color w:val="auto"/>
                <w:w w:val="98"/>
              </w:rPr>
              <w:t>We intend to enter into a tax receivable agreement with Post and</w:t>
            </w:r>
          </w:p>
        </w:tc>
      </w:tr>
      <w:tr>
        <w:trPr>
          <w:trHeight w:val="230"/>
        </w:trPr>
        <w:tc>
          <w:tcPr>
            <w:tcW w:w="3740" w:type="dxa"/>
            <w:vAlign w:val="bottom"/>
          </w:tcPr>
          <w:p>
            <w:pPr>
              <w:spacing w:after="0"/>
              <w:rPr>
                <w:sz w:val="20"/>
                <w:szCs w:val="20"/>
                <w:color w:val="auto"/>
              </w:rPr>
            </w:pPr>
          </w:p>
        </w:tc>
        <w:tc>
          <w:tcPr>
            <w:tcW w:w="6880" w:type="dxa"/>
            <w:vAlign w:val="bottom"/>
            <w:gridSpan w:val="2"/>
          </w:tcPr>
          <w:p>
            <w:pPr>
              <w:ind w:left="1960"/>
              <w:spacing w:after="0"/>
              <w:rPr>
                <w:sz w:val="20"/>
                <w:szCs w:val="20"/>
                <w:color w:val="auto"/>
              </w:rPr>
            </w:pPr>
            <w:r>
              <w:rPr>
                <w:rFonts w:ascii="Arial" w:cs="Arial" w:eastAsia="Arial" w:hAnsi="Arial"/>
                <w:sz w:val="18"/>
                <w:szCs w:val="18"/>
                <w:color w:val="auto"/>
                <w:w w:val="98"/>
              </w:rPr>
              <w:t>BellRing Brands, LLC that will provide for the payment by us to</w:t>
            </w:r>
          </w:p>
        </w:tc>
      </w:tr>
    </w:tbl>
    <w:p>
      <w:pPr>
        <w:ind w:left="6100"/>
        <w:spacing w:after="0"/>
        <w:rPr>
          <w:sz w:val="20"/>
          <w:szCs w:val="20"/>
          <w:color w:val="auto"/>
        </w:rPr>
      </w:pPr>
      <w:r>
        <w:rPr>
          <w:rFonts w:ascii="Arial" w:cs="Arial" w:eastAsia="Arial" w:hAnsi="Arial"/>
          <w:sz w:val="16"/>
          <w:szCs w:val="16"/>
          <w:color w:val="auto"/>
        </w:rPr>
        <w:t>Post (or certain of its transferees or other assignees) of 85% of the</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amount of cash savings, if any, in U.S. federal income tax, as well</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as state and local income tax and franchise tax (using an assumed</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tax rate on a base equal to the U.S. federal taxable income of</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BellRing Brands, Inc.), that we actually realize (or, in some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circumstances, we are deemed to realize) as a result of (a) the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increase in the tax basis of assets of BellRing Brands, LLC</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attributable to (i) the redemption of BellRing Brands, LLC Units by</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Post (or certain of its transferees or assignees) pursuant to the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amended and restated limited liability company agreement,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(ii) deemed sales by Post (or certain of its transferees or assignees)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of BellRing Brands, LLC Units or assets to BellRing Brands, Inc.,</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(iii) certain actual or deemed distributions from BellRing Brands,</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LLC to Post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3473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3890" cy="347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(or certain of its transferees or assignees) and (iv) certain formation</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transactions, (b) disproportionate allocations of tax benefits to</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BellRing Brands, Inc. as a result of Section 704(c) of the Internal</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Revenue Code of 1986, as amended (the “Code”) and (c) certain tax</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benefits (e.g., basis adjustments, deductions, etc.) attributable to</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payments under the tax receivable agreement. See “Certain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Relationships and Related Party Transactions—Post-Offering</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Relationship with Post—Tax Receivable Agreement.”</w:t>
      </w:r>
    </w:p>
    <w:p>
      <w:pPr>
        <w:spacing w:after="0" w:line="210" w:lineRule="exact"/>
        <w:rPr>
          <w:sz w:val="20"/>
          <w:szCs w:val="20"/>
          <w:color w:val="auto"/>
        </w:rPr>
      </w:pPr>
    </w:p>
    <w:p>
      <w:pPr>
        <w:ind w:left="400" w:right="200" w:firstLine="426"/>
        <w:spacing w:after="0" w:line="290"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(“2019 LTIP”) that we</w:t>
      </w:r>
    </w:p>
    <w:p>
      <w:pPr>
        <w:spacing w:after="0" w:line="1" w:lineRule="exact"/>
        <w:rPr>
          <w:sz w:val="20"/>
          <w:szCs w:val="20"/>
          <w:color w:val="auto"/>
        </w:rPr>
      </w:pPr>
    </w:p>
    <w:p>
      <w:pPr>
        <w:ind w:left="400" w:right="40"/>
        <w:spacing w:after="0" w:line="289" w:lineRule="auto"/>
        <w:rPr>
          <w:sz w:val="20"/>
          <w:szCs w:val="20"/>
          <w:color w:val="auto"/>
        </w:rPr>
      </w:pPr>
      <w:r>
        <w:rPr>
          <w:rFonts w:ascii="Arial" w:cs="Arial" w:eastAsia="Arial" w:hAnsi="Arial"/>
          <w:sz w:val="17"/>
          <w:szCs w:val="17"/>
          <w:color w:val="auto"/>
        </w:rPr>
        <w:t>plan to adopt prior to this offering. We have reserved shares of our Class A common stock for issuance under the 2019 LTIP. See “Executive Compensation—BellRing Brands, Inc. 2019 Long-Term Incentive Plan” for additional information regarding our equity incentive plan.</w:t>
      </w:r>
    </w:p>
    <w:p>
      <w:pPr>
        <w:spacing w:after="0" w:line="162" w:lineRule="exact"/>
        <w:rPr>
          <w:sz w:val="20"/>
          <w:szCs w:val="20"/>
          <w:color w:val="auto"/>
        </w:rPr>
      </w:pPr>
    </w:p>
    <w:p>
      <w:pPr>
        <w:ind w:left="400" w:right="28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5" w:lineRule="exact"/>
        <w:rPr>
          <w:sz w:val="20"/>
          <w:szCs w:val="20"/>
          <w:color w:val="auto"/>
        </w:rPr>
      </w:pPr>
    </w:p>
    <w:p>
      <w:pPr>
        <w:ind w:left="1320" w:hanging="509"/>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completion of the formation transactions as described elsewhere in this prospectus;</w:t>
      </w:r>
    </w:p>
    <w:p>
      <w:pPr>
        <w:spacing w:after="0" w:line="130" w:lineRule="exact"/>
        <w:rPr>
          <w:rFonts w:ascii="Arial" w:cs="Arial" w:eastAsia="Arial" w:hAnsi="Arial"/>
          <w:sz w:val="18"/>
          <w:szCs w:val="18"/>
          <w:color w:val="auto"/>
        </w:rPr>
      </w:pPr>
    </w:p>
    <w:p>
      <w:pPr>
        <w:ind w:left="1320" w:right="320" w:hanging="509"/>
        <w:spacing w:after="0" w:line="277"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320" w:hanging="509"/>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320" w:hanging="509"/>
        <w:spacing w:after="0"/>
        <w:tabs>
          <w:tab w:leader="none" w:pos="1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3302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3890" cy="330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400" w:right="40" w:firstLine="426"/>
        <w:spacing w:after="0" w:line="270" w:lineRule="auto"/>
        <w:rPr>
          <w:sz w:val="20"/>
          <w:szCs w:val="20"/>
          <w:color w:val="auto"/>
        </w:rPr>
      </w:pPr>
      <w:r>
        <w:rPr>
          <w:rFonts w:ascii="Arial" w:cs="Arial" w:eastAsia="Arial" w:hAnsi="Arial"/>
          <w:sz w:val="17"/>
          <w:szCs w:val="17"/>
          <w:color w:val="auto"/>
        </w:rPr>
        <w:t>The following tables set forth certain summary historical condensed combined financial data for Post’s Active Nutrition business as of September 30, 2018 and 2017 and for each of the fiscal years in the three-year period ended September 30, 2018, and as of June 30, 2019 and for the nine months ended June 30, 2019 and 2018.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79" w:lineRule="exact"/>
        <w:rPr>
          <w:sz w:val="20"/>
          <w:szCs w:val="20"/>
          <w:color w:val="auto"/>
        </w:rPr>
      </w:pPr>
    </w:p>
    <w:p>
      <w:pPr>
        <w:ind w:left="400" w:firstLine="426"/>
        <w:spacing w:after="0" w:line="293" w:lineRule="auto"/>
        <w:rPr>
          <w:sz w:val="20"/>
          <w:szCs w:val="20"/>
          <w:color w:val="auto"/>
        </w:rPr>
      </w:pPr>
      <w:r>
        <w:rPr>
          <w:rFonts w:ascii="Arial" w:cs="Arial" w:eastAsia="Arial" w:hAnsi="Arial"/>
          <w:sz w:val="16"/>
          <w:szCs w:val="16"/>
          <w:color w:val="auto"/>
        </w:rPr>
        <w:t>The summary historical condensed combined financial data as of September 30, 2018 and 2017 and as of each of the fiscal years in the three-year period ended September 30, 2018 have been derived from the audited combined financial statements of Post’s Active Nutrition business. The summary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63" w:lineRule="exact"/>
        <w:rPr>
          <w:sz w:val="20"/>
          <w:szCs w:val="20"/>
          <w:color w:val="auto"/>
        </w:rPr>
      </w:pPr>
    </w:p>
    <w:p>
      <w:pPr>
        <w:jc w:val="both"/>
        <w:ind w:left="400" w:right="140" w:firstLine="426"/>
        <w:spacing w:after="0" w:line="263"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391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3890" cy="53917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Active Nutrition</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6"/>
          </w:tcPr>
          <w:p>
            <w:pPr>
              <w:jc w:val="center"/>
              <w:ind w:right="150"/>
              <w:spacing w:after="0" w:line="119"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left="254"/>
              <w:spacing w:after="0" w:line="14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sales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639.9</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$ 607.6</w:t>
            </w: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827.5</w:t>
            </w:r>
          </w:p>
        </w:tc>
        <w:tc>
          <w:tcPr>
            <w:tcW w:w="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$713.2</w:t>
            </w: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467.4</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277.7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245.8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179.2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131.0</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Investing activities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(84.0)</w:t>
            </w: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156.5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118.5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5"/>
              </w:rPr>
              <w:t>Active Nutrition</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6"/>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7"/>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(unaudited)</w:t>
            </w:r>
          </w:p>
        </w:tc>
        <w:tc>
          <w:tcPr>
            <w:tcW w:w="6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583.2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484.4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80" w:hanging="42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5"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2"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For the last twelve months ended June 30, 2019,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supplier and approximately 57%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40"/>
        <w:spacing w:after="0" w:line="269" w:lineRule="auto"/>
        <w:rPr>
          <w:sz w:val="20"/>
          <w:szCs w:val="20"/>
          <w:color w:val="auto"/>
        </w:rPr>
      </w:pPr>
      <w:r>
        <w:rPr>
          <w:rFonts w:ascii="Arial" w:cs="Arial" w:eastAsia="Arial" w:hAnsi="Arial"/>
          <w:sz w:val="17"/>
          <w:szCs w:val="17"/>
          <w:color w:val="auto"/>
        </w:rPr>
        <w:t>with one of our former third party contract manufacturers, which we had expected to produce less than 10% of our RTD protein shakes for fiscal year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80" w:lineRule="exact"/>
        <w:rPr>
          <w:sz w:val="20"/>
          <w:szCs w:val="20"/>
          <w:color w:val="auto"/>
        </w:rPr>
      </w:pPr>
    </w:p>
    <w:p>
      <w:pPr>
        <w:ind w:left="220" w:right="120" w:firstLine="440"/>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The convenient nutrition category, which we believe includes the everyday nutrition, adult nutrition, sports nutrition and weight management consumer need states, is highly competitive. We compete with other brands in the convenient nutrition category and with many nutritional food and beverage players, as well as manufacturers of private label products.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91"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220" w:right="40" w:firstLine="440"/>
        <w:spacing w:after="0" w:line="285" w:lineRule="auto"/>
        <w:rPr>
          <w:sz w:val="20"/>
          <w:szCs w:val="20"/>
          <w:color w:val="auto"/>
        </w:rPr>
      </w:pPr>
      <w:r>
        <w:rPr>
          <w:rFonts w:ascii="Arial" w:cs="Arial" w:eastAsia="Arial" w:hAnsi="Arial"/>
          <w:sz w:val="16"/>
          <w:szCs w:val="16"/>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76" w:lineRule="exact"/>
        <w:rPr>
          <w:sz w:val="20"/>
          <w:szCs w:val="20"/>
          <w:color w:val="auto"/>
        </w:rPr>
      </w:pPr>
    </w:p>
    <w:p>
      <w:pPr>
        <w:ind w:left="220" w:right="140" w:firstLine="440"/>
        <w:spacing w:after="0" w:line="256"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91" w:lineRule="exact"/>
        <w:rPr>
          <w:sz w:val="20"/>
          <w:szCs w:val="20"/>
          <w:color w:val="auto"/>
        </w:rPr>
      </w:pPr>
    </w:p>
    <w:p>
      <w:pPr>
        <w:ind w:left="220" w:right="140" w:firstLine="440"/>
        <w:spacing w:after="0" w:line="273" w:lineRule="auto"/>
        <w:rPr>
          <w:sz w:val="20"/>
          <w:szCs w:val="20"/>
          <w:color w:val="auto"/>
        </w:rPr>
      </w:pPr>
      <w:r>
        <w:rPr>
          <w:rFonts w:ascii="Arial" w:cs="Arial" w:eastAsia="Arial" w:hAnsi="Arial"/>
          <w:sz w:val="17"/>
          <w:szCs w:val="17"/>
          <w:color w:val="auto"/>
        </w:rPr>
        <w:t>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Competitors can be affected differently by weather conditions and natural disasters depending on the location of their suppliers and operations.</w:t>
      </w:r>
    </w:p>
    <w:p>
      <w:pPr>
        <w:spacing w:after="0" w:line="177"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Failure to take adequate steps to reduce the likelihood or mitigate the potential impact of such events, or to effectively manage such events if they occur, particularly when an ingredient or packaging material is sourced</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from a single location or supplier, could adversely affect our business, financial condition, results of operations and cash flows and/or require additional resources to restore our supply chain.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1" w:lineRule="exact"/>
        <w:rPr>
          <w:sz w:val="20"/>
          <w:szCs w:val="20"/>
          <w:color w:val="auto"/>
        </w:rPr>
      </w:pPr>
    </w:p>
    <w:p>
      <w:pPr>
        <w:ind w:left="220" w:right="60" w:firstLine="440"/>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must identify changing consumer and customer preferences and develop and offer products to meet these preferences.</w:t>
      </w:r>
    </w:p>
    <w:p>
      <w:pPr>
        <w:spacing w:after="0" w:line="128"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 or effectively introduce new products in response, to such changes could negatively impact our business, financial condition, results of operations and cash flows.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220" w:right="160" w:firstLine="440"/>
        <w:spacing w:after="0" w:line="311"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70"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8"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91"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220" w:right="80" w:firstLine="440"/>
        <w:spacing w:after="0" w:line="268"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94"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86" w:lineRule="exact"/>
        <w:rPr>
          <w:sz w:val="20"/>
          <w:szCs w:val="20"/>
          <w:color w:val="auto"/>
        </w:rPr>
      </w:pPr>
    </w:p>
    <w:p>
      <w:pPr>
        <w:ind w:left="220" w:right="60" w:firstLine="440"/>
        <w:spacing w:after="0" w:line="296" w:lineRule="auto"/>
        <w:rPr>
          <w:sz w:val="20"/>
          <w:szCs w:val="20"/>
          <w:color w:val="auto"/>
        </w:rPr>
      </w:pPr>
      <w:r>
        <w:rPr>
          <w:rFonts w:ascii="Arial" w:cs="Arial" w:eastAsia="Arial" w:hAnsi="Arial"/>
          <w:sz w:val="16"/>
          <w:szCs w:val="16"/>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220" w:right="40" w:firstLine="440"/>
        <w:spacing w:after="0" w:line="288" w:lineRule="auto"/>
        <w:rPr>
          <w:sz w:val="20"/>
          <w:szCs w:val="20"/>
          <w:color w:val="auto"/>
        </w:rPr>
      </w:pPr>
      <w:r>
        <w:rPr>
          <w:rFonts w:ascii="Arial" w:cs="Arial" w:eastAsia="Arial" w:hAnsi="Arial"/>
          <w:sz w:val="16"/>
          <w:szCs w:val="16"/>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7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220" w:right="120" w:firstLine="440"/>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September 1, 2019, we had approximately 380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4"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3" w:lineRule="exact"/>
        <w:rPr>
          <w:sz w:val="20"/>
          <w:szCs w:val="20"/>
          <w:color w:val="auto"/>
        </w:rPr>
      </w:pPr>
    </w:p>
    <w:p>
      <w:pPr>
        <w:ind w:left="220" w:right="140" w:firstLine="440"/>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0" w:lineRule="exact"/>
        <w:rPr>
          <w:sz w:val="20"/>
          <w:szCs w:val="20"/>
          <w:color w:val="auto"/>
        </w:rPr>
      </w:pPr>
    </w:p>
    <w:p>
      <w:pPr>
        <w:ind w:left="220" w:right="120" w:firstLine="440"/>
        <w:spacing w:after="0" w:line="275" w:lineRule="auto"/>
        <w:rPr>
          <w:sz w:val="20"/>
          <w:szCs w:val="20"/>
          <w:color w:val="auto"/>
        </w:rPr>
      </w:pPr>
      <w:r>
        <w:rPr>
          <w:rFonts w:ascii="Arial" w:cs="Arial" w:eastAsia="Arial" w:hAnsi="Arial"/>
          <w:sz w:val="17"/>
          <w:szCs w:val="17"/>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56" w:lineRule="auto"/>
        <w:rPr>
          <w:sz w:val="20"/>
          <w:szCs w:val="20"/>
          <w:color w:val="auto"/>
        </w:rPr>
      </w:pPr>
      <w:r>
        <w:rPr>
          <w:rFonts w:ascii="Arial" w:cs="Arial" w:eastAsia="Arial" w:hAnsi="Arial"/>
          <w:sz w:val="18"/>
          <w:szCs w:val="18"/>
          <w:color w:val="auto"/>
        </w:rPr>
        <w:t>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91"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278"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220" w:right="360" w:firstLine="440"/>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5" w:lineRule="exact"/>
        <w:rPr>
          <w:sz w:val="20"/>
          <w:szCs w:val="20"/>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1180" w:right="120" w:hanging="538"/>
        <w:spacing w:after="0" w:line="263"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41" w:lineRule="exact"/>
        <w:rPr>
          <w:rFonts w:ascii="Arial" w:cs="Arial" w:eastAsia="Arial" w:hAnsi="Arial"/>
          <w:sz w:val="17"/>
          <w:szCs w:val="17"/>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1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8"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220" w:right="100" w:firstLine="440"/>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7"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3" w:lineRule="exact"/>
        <w:rPr>
          <w:sz w:val="20"/>
          <w:szCs w:val="20"/>
          <w:color w:val="auto"/>
        </w:rPr>
      </w:pPr>
    </w:p>
    <w:p>
      <w:pPr>
        <w:ind w:left="660" w:right="16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 and the foreign tax credit, among others. There can be no assurance that future tax law changes will not increase the rate of the corporate income tax significantly; impose new limitations on deductions, credits or other tax</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spacing w:after="0" w:line="256" w:lineRule="auto"/>
        <w:rPr>
          <w:sz w:val="20"/>
          <w:szCs w:val="20"/>
          <w:color w:val="auto"/>
        </w:rPr>
      </w:pPr>
      <w:r>
        <w:rPr>
          <w:rFonts w:ascii="Arial" w:cs="Arial" w:eastAsia="Arial" w:hAnsi="Arial"/>
          <w:sz w:val="18"/>
          <w:szCs w:val="18"/>
          <w:color w:val="auto"/>
        </w:rPr>
        <w:t>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220" w:right="40" w:firstLine="440"/>
        <w:spacing w:after="0" w:line="271"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220" w:right="180" w:firstLine="440"/>
        <w:spacing w:after="0" w:line="296"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220" w:right="200" w:firstLine="440"/>
        <w:spacing w:after="0" w:line="259" w:lineRule="auto"/>
        <w:rPr>
          <w:sz w:val="20"/>
          <w:szCs w:val="20"/>
          <w:color w:val="auto"/>
        </w:rPr>
      </w:pPr>
      <w:r>
        <w:rPr>
          <w:rFonts w:ascii="Arial" w:cs="Arial" w:eastAsia="Arial" w:hAnsi="Arial"/>
          <w:sz w:val="18"/>
          <w:szCs w:val="18"/>
          <w:color w:val="auto"/>
        </w:rPr>
        <w:t>With approximately 380 employees as of September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220" w:right="360" w:firstLine="440"/>
        <w:spacing w:after="0" w:line="263"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75" w:lineRule="auto"/>
        <w:rPr>
          <w:sz w:val="20"/>
          <w:szCs w:val="20"/>
          <w:color w:val="auto"/>
        </w:rPr>
      </w:pPr>
      <w:r>
        <w:rPr>
          <w:rFonts w:ascii="Arial" w:cs="Arial" w:eastAsia="Arial" w:hAnsi="Arial"/>
          <w:sz w:val="17"/>
          <w:szCs w:val="17"/>
          <w:color w:val="auto"/>
        </w:rPr>
        <w:t>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283"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220" w:right="60" w:firstLine="440"/>
        <w:spacing w:after="0" w:line="290"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8" w:lineRule="exact"/>
        <w:rPr>
          <w:sz w:val="20"/>
          <w:szCs w:val="20"/>
          <w:color w:val="auto"/>
        </w:rPr>
      </w:pPr>
    </w:p>
    <w:p>
      <w:pPr>
        <w:ind w:left="220" w:right="80" w:firstLine="440"/>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8"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70"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2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0" w:lineRule="exact"/>
        <w:rPr>
          <w:sz w:val="20"/>
          <w:szCs w:val="20"/>
          <w:color w:val="auto"/>
        </w:rPr>
      </w:pPr>
    </w:p>
    <w:p>
      <w:pPr>
        <w:ind w:left="220" w:right="60" w:firstLine="440"/>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0" w:lineRule="exact"/>
        <w:rPr>
          <w:sz w:val="20"/>
          <w:szCs w:val="20"/>
          <w:color w:val="auto"/>
        </w:rPr>
      </w:pPr>
    </w:p>
    <w:p>
      <w:pPr>
        <w:ind w:left="220" w:right="120" w:firstLine="440"/>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60" w:firstLine="440"/>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285" w:lineRule="exact"/>
        <w:rPr>
          <w:sz w:val="20"/>
          <w:szCs w:val="20"/>
          <w:color w:val="auto"/>
        </w:rPr>
      </w:pPr>
    </w:p>
    <w:p>
      <w:pPr>
        <w:ind w:left="66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220" w:right="100" w:firstLine="440"/>
        <w:spacing w:after="0" w:line="269"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9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220" w:right="680" w:firstLine="440"/>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5" w:lineRule="exact"/>
        <w:rPr>
          <w:sz w:val="20"/>
          <w:szCs w:val="20"/>
          <w:color w:val="auto"/>
        </w:rPr>
      </w:pPr>
    </w:p>
    <w:p>
      <w:pPr>
        <w:ind w:left="220" w:right="120" w:firstLine="440"/>
        <w:spacing w:after="0" w:line="341"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5" w:lineRule="exact"/>
        <w:rPr>
          <w:sz w:val="20"/>
          <w:szCs w:val="20"/>
          <w:color w:val="auto"/>
        </w:rPr>
      </w:pPr>
    </w:p>
    <w:p>
      <w:pPr>
        <w:ind w:left="220" w:right="80" w:firstLine="440"/>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8" w:lineRule="exact"/>
        <w:rPr>
          <w:sz w:val="20"/>
          <w:szCs w:val="20"/>
          <w:color w:val="auto"/>
        </w:rPr>
      </w:pPr>
    </w:p>
    <w:p>
      <w:pPr>
        <w:ind w:left="220" w:right="120" w:firstLine="440"/>
        <w:spacing w:after="0" w:line="254"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220" w:firstLine="440"/>
        <w:spacing w:after="0" w:line="288" w:lineRule="auto"/>
        <w:rPr>
          <w:sz w:val="20"/>
          <w:szCs w:val="20"/>
          <w:color w:val="auto"/>
        </w:rPr>
      </w:pPr>
      <w:r>
        <w:rPr>
          <w:rFonts w:ascii="Arial" w:cs="Arial" w:eastAsia="Arial" w:hAnsi="Arial"/>
          <w:sz w:val="16"/>
          <w:szCs w:val="16"/>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0" w:lineRule="exact"/>
        <w:rPr>
          <w:sz w:val="20"/>
          <w:szCs w:val="20"/>
          <w:color w:val="auto"/>
        </w:rPr>
      </w:pPr>
    </w:p>
    <w:p>
      <w:pPr>
        <w:ind w:left="1180" w:right="140" w:hanging="538"/>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1180" w:right="60" w:hanging="538"/>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1180" w:right="160" w:hanging="538"/>
        <w:spacing w:after="0" w:line="263"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1180" w:right="660" w:hanging="538"/>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240" w:firstLine="440"/>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4" w:lineRule="exact"/>
        <w:rPr>
          <w:sz w:val="20"/>
          <w:szCs w:val="20"/>
          <w:color w:val="auto"/>
        </w:rPr>
      </w:pPr>
    </w:p>
    <w:p>
      <w:pPr>
        <w:ind w:left="660" w:right="600"/>
        <w:spacing w:after="0" w:line="307"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9"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 In addition, in order to preserve its intended tax treatment in connection with the formation transactions, we expect that Post will require that BellRing Brands, LLC maintain a level of outstanding indebtedness at least equal to $ for so long as Post owns an interest in BellRing Brands, LLC.</w:t>
      </w:r>
    </w:p>
    <w:p>
      <w:pPr>
        <w:spacing w:after="0" w:line="271" w:lineRule="exact"/>
        <w:rPr>
          <w:sz w:val="20"/>
          <w:szCs w:val="20"/>
          <w:color w:val="auto"/>
        </w:rPr>
      </w:pPr>
    </w:p>
    <w:p>
      <w:pPr>
        <w:ind w:left="660" w:right="340"/>
        <w:spacing w:after="0" w:line="341"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7"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1" w:lineRule="exact"/>
        <w:rPr>
          <w:sz w:val="20"/>
          <w:szCs w:val="20"/>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220" w:right="400" w:firstLine="440"/>
        <w:spacing w:after="0" w:line="263"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83" w:lineRule="exact"/>
        <w:rPr>
          <w:sz w:val="20"/>
          <w:szCs w:val="20"/>
          <w:color w:val="auto"/>
        </w:rPr>
      </w:pPr>
    </w:p>
    <w:p>
      <w:pPr>
        <w:ind w:left="220" w:right="220" w:firstLine="440"/>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6"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5" w:lineRule="exact"/>
        <w:rPr>
          <w:sz w:val="20"/>
          <w:szCs w:val="20"/>
          <w:color w:val="auto"/>
        </w:rPr>
      </w:pPr>
    </w:p>
    <w:p>
      <w:pPr>
        <w:ind w:left="1180" w:hanging="538"/>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220" w:right="100" w:firstLine="440"/>
        <w:spacing w:after="0" w:line="311"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After the completion of this offering, Post will own the share of our Class B common stock, which, for so long as Post or its affiliates (other than us) directly own more than 50% of the BellRing Brands, LLC Units as described in this prospectus, will represent 67% of the total voting power of both classes of our common stock outstanding after this offering.</w:t>
      </w:r>
    </w:p>
    <w:p>
      <w:pPr>
        <w:spacing w:after="0" w:line="183"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As long as Post or its affiliates (other than us) owns more than 50% of the BellRing Brands, LLC Units as described in this prospectus, it will be able to control nearly all corporate actions that require a stockholder vote, regardless of the vote of any other stockholder. As a result, Post will have the ability to control significant matters involving us, including:</w:t>
      </w:r>
    </w:p>
    <w:p>
      <w:pPr>
        <w:spacing w:after="0" w:line="88" w:lineRule="exact"/>
        <w:rPr>
          <w:sz w:val="20"/>
          <w:szCs w:val="20"/>
          <w:color w:val="auto"/>
        </w:rPr>
      </w:pPr>
    </w:p>
    <w:p>
      <w:pPr>
        <w:ind w:left="1180" w:hanging="538"/>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1" w:lineRule="exact"/>
        <w:rPr>
          <w:rFonts w:ascii="Arial" w:cs="Arial" w:eastAsia="Arial" w:hAnsi="Arial"/>
          <w:sz w:val="17"/>
          <w:szCs w:val="17"/>
          <w:color w:val="auto"/>
        </w:rPr>
      </w:pPr>
    </w:p>
    <w:p>
      <w:pPr>
        <w:ind w:left="1180" w:hanging="538"/>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1180" w:right="600" w:hanging="538"/>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220" w:right="120" w:firstLine="440"/>
        <w:spacing w:after="0" w:line="279" w:lineRule="auto"/>
        <w:rPr>
          <w:sz w:val="20"/>
          <w:szCs w:val="20"/>
          <w:color w:val="auto"/>
        </w:rPr>
      </w:pPr>
      <w:r>
        <w:rPr>
          <w:rFonts w:ascii="Arial" w:cs="Arial" w:eastAsia="Arial" w:hAnsi="Arial"/>
          <w:sz w:val="17"/>
          <w:szCs w:val="17"/>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as described in this prospectus, Post will have the ability to substantially influence these matters for as long as it owns a significant portion of the voting power.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271" w:lineRule="exact"/>
        <w:rPr>
          <w:sz w:val="20"/>
          <w:szCs w:val="20"/>
          <w:color w:val="auto"/>
        </w:rPr>
      </w:pPr>
    </w:p>
    <w:p>
      <w:pPr>
        <w:ind w:left="660" w:right="280"/>
        <w:spacing w:after="0" w:line="307"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9"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as described in this prospectus.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spin-off to its shareholders. See “Shares Eligible for Future Sale.”</w:t>
      </w:r>
    </w:p>
    <w:p>
      <w:pPr>
        <w:spacing w:after="0" w:line="176" w:lineRule="exact"/>
        <w:rPr>
          <w:sz w:val="20"/>
          <w:szCs w:val="20"/>
          <w:color w:val="auto"/>
        </w:rPr>
      </w:pPr>
    </w:p>
    <w:p>
      <w:pPr>
        <w:ind w:left="220" w:right="680" w:firstLine="440"/>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5" w:lineRule="exact"/>
        <w:rPr>
          <w:sz w:val="20"/>
          <w:szCs w:val="20"/>
          <w:color w:val="auto"/>
        </w:rPr>
      </w:pPr>
    </w:p>
    <w:p>
      <w:pPr>
        <w:ind w:left="1180" w:hanging="538"/>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3"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80" w:firstLine="440"/>
        <w:spacing w:after="0" w:line="296"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8"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affiliates (except that we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77"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83" w:lineRule="exact"/>
        <w:rPr>
          <w:sz w:val="20"/>
          <w:szCs w:val="20"/>
          <w:color w:val="auto"/>
        </w:rPr>
      </w:pPr>
    </w:p>
    <w:p>
      <w:pPr>
        <w:ind w:left="220" w:right="180" w:firstLine="440"/>
        <w:spacing w:after="0" w:line="275"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83"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5" w:lineRule="exact"/>
        <w:rPr>
          <w:sz w:val="20"/>
          <w:szCs w:val="20"/>
          <w:color w:val="auto"/>
        </w:rPr>
      </w:pPr>
    </w:p>
    <w:p>
      <w:pPr>
        <w:jc w:val="both"/>
        <w:ind w:left="220" w:right="180" w:firstLine="440"/>
        <w:spacing w:after="0" w:line="311" w:lineRule="auto"/>
        <w:rPr>
          <w:sz w:val="20"/>
          <w:szCs w:val="20"/>
          <w:color w:val="auto"/>
        </w:rPr>
      </w:pPr>
      <w:r>
        <w:rPr>
          <w:rFonts w:ascii="Arial" w:cs="Arial" w:eastAsia="Arial" w:hAnsi="Arial"/>
          <w:sz w:val="16"/>
          <w:szCs w:val="16"/>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273" w:lineRule="auto"/>
        <w:rPr>
          <w:sz w:val="20"/>
          <w:szCs w:val="20"/>
          <w:color w:val="auto"/>
        </w:rPr>
      </w:pPr>
      <w:r>
        <w:rPr>
          <w:rFonts w:ascii="Arial" w:cs="Arial" w:eastAsia="Arial" w:hAnsi="Arial"/>
          <w:sz w:val="17"/>
          <w:szCs w:val="17"/>
          <w:color w:val="auto"/>
        </w:rPr>
        <w:t>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In connection with this offering, BellRing Brands, Inc. and BellRing Brands, LLC will enter into a tax matters agreement with Post. 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8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Brands, LLC will require us to make cash payments to Post for certain tax benefits we may realize in the future, and these payments could be substantial.</w:t>
      </w:r>
    </w:p>
    <w:p>
      <w:pPr>
        <w:spacing w:after="0" w:line="62"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See “Certain Relationships and Related Party Transactions—Post-Offering Relationship with Post—Amended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pre-existing, contributed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71"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67" w:lineRule="auto"/>
        <w:rPr>
          <w:sz w:val="20"/>
          <w:szCs w:val="20"/>
          <w:color w:val="auto"/>
        </w:rPr>
      </w:pPr>
      <w:r>
        <w:rPr>
          <w:rFonts w:ascii="Arial" w:cs="Arial" w:eastAsia="Arial" w:hAnsi="Arial"/>
          <w:sz w:val="17"/>
          <w:szCs w:val="17"/>
          <w:color w:val="auto"/>
        </w:rPr>
        <w:t>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Payments under the tax receivable agreement are not conditioned on Post’s continued ownership of BellRing Brands, LLC Units or our Class A common stock or Class B common stock after this offering. The payment obligation is a payment obligation of ours and not of BellRing Brands, LLC.</w:t>
      </w:r>
    </w:p>
    <w:p>
      <w:pPr>
        <w:spacing w:after="0" w:line="190"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Post (or its transferees or assignees) may nevertheless determine to engage in redemptions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will not be reimbursed for any payments made to Post under the tax receivable agreement in the event that any tax benefits are disallowed.</w:t>
      </w:r>
    </w:p>
    <w:p>
      <w:pPr>
        <w:spacing w:after="0" w:line="151" w:lineRule="exact"/>
        <w:rPr>
          <w:sz w:val="20"/>
          <w:szCs w:val="20"/>
          <w:color w:val="auto"/>
        </w:rPr>
      </w:pPr>
    </w:p>
    <w:p>
      <w:pPr>
        <w:ind w:left="220" w:right="20" w:firstLine="440"/>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220" w:right="20" w:firstLine="440"/>
        <w:spacing w:after="0" w:line="285"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Such obligations under the tax receivable agreement, however, would not arise if Post distributes its beneficial retained interest in BellRing Brands, LLC by means of a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284" w:lineRule="exact"/>
        <w:rPr>
          <w:sz w:val="20"/>
          <w:szCs w:val="20"/>
          <w:color w:val="auto"/>
        </w:rPr>
      </w:pPr>
    </w:p>
    <w:p>
      <w:pPr>
        <w:ind w:left="660" w:right="40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84"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0"/>
        <w:spacing w:after="0" w:line="307" w:lineRule="auto"/>
        <w:rPr>
          <w:sz w:val="20"/>
          <w:szCs w:val="20"/>
          <w:color w:val="auto"/>
        </w:rPr>
      </w:pPr>
      <w:r>
        <w:rPr>
          <w:rFonts w:ascii="Arial" w:cs="Arial" w:eastAsia="Arial" w:hAnsi="Arial"/>
          <w:sz w:val="17"/>
          <w:szCs w:val="17"/>
          <w:color w:val="auto"/>
        </w:rPr>
        <w:t>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47" w:lineRule="exact"/>
        <w:rPr>
          <w:sz w:val="20"/>
          <w:szCs w:val="20"/>
          <w:color w:val="auto"/>
        </w:rPr>
      </w:pPr>
    </w:p>
    <w:p>
      <w:pPr>
        <w:ind w:left="220" w:right="300" w:firstLine="440"/>
        <w:spacing w:after="0" w:line="263"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291"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75"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Subject to the terms of the amended and restated limited liability company agreement, BellRing Brands, LLC Units may be redeemed at any time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73"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220" w:right="40" w:firstLine="440"/>
        <w:spacing w:after="0" w:line="268" w:lineRule="auto"/>
        <w:rPr>
          <w:sz w:val="20"/>
          <w:szCs w:val="20"/>
          <w:color w:val="auto"/>
        </w:rPr>
      </w:pPr>
      <w:r>
        <w:rPr>
          <w:rFonts w:ascii="Arial" w:cs="Arial" w:eastAsia="Arial" w:hAnsi="Arial"/>
          <w:sz w:val="17"/>
          <w:szCs w:val="17"/>
          <w:color w:val="auto"/>
        </w:rPr>
        <w:t>After this offering, and subject to the lock-up period described below under “Shares Eligible for Future Sale—Lock-up Agreements,”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 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as described in this prospectus, will provide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82"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Prior to completion of this offering, Post has provided us with various services including finance, information technology, legal, human resources, quality, supply chain and purchasing functions. Following this offering, we expect Post to continue to provide many of these services to us for a fee provided for in the master services agreement described in “Certain Relationships and Related Party Transactions—Post-Offering Relationship with Post —Master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60" w:right="26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6"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30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supply chain and purchasing functions. Following this offering, Post will continue to provide some of these services to us pursuant to a master services agreement. For more information regarding the master services agreement, see “Certain Relationships and Related Party Transactions—Post-Offering Relationship with Post—Master Services Agreement.” However, we cannot assure you that all of these functions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master services agreement, we will need to perform these functions ourselves or hire third parties to perform these functions on our behalf.</w:t>
      </w: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4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2"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 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76" w:lineRule="exact"/>
        <w:rPr>
          <w:sz w:val="20"/>
          <w:szCs w:val="20"/>
          <w:color w:val="auto"/>
        </w:rPr>
      </w:pPr>
    </w:p>
    <w:p>
      <w:pPr>
        <w:ind w:left="220" w:right="100" w:firstLine="440"/>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5"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220" w:right="60" w:firstLine="440"/>
        <w:spacing w:after="0" w:line="269" w:lineRule="auto"/>
        <w:rPr>
          <w:sz w:val="20"/>
          <w:szCs w:val="20"/>
          <w:color w:val="auto"/>
        </w:rPr>
      </w:pPr>
      <w:r>
        <w:rPr>
          <w:rFonts w:ascii="Arial" w:cs="Arial" w:eastAsia="Arial" w:hAnsi="Arial"/>
          <w:sz w:val="17"/>
          <w:szCs w:val="17"/>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 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220" w:right="340" w:firstLine="440"/>
        <w:spacing w:after="0" w:line="290"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w:t>
      </w:r>
    </w:p>
    <w:p>
      <w:pPr>
        <w:spacing w:after="0" w:line="1" w:lineRule="exact"/>
        <w:rPr>
          <w:sz w:val="20"/>
          <w:szCs w:val="20"/>
          <w:color w:val="auto"/>
        </w:rPr>
      </w:pPr>
    </w:p>
    <w:p>
      <w:pPr>
        <w:ind w:left="220" w:right="80"/>
        <w:spacing w:after="0" w:line="260" w:lineRule="auto"/>
        <w:rPr>
          <w:sz w:val="20"/>
          <w:szCs w:val="20"/>
          <w:color w:val="auto"/>
        </w:rPr>
      </w:pPr>
      <w:r>
        <w:rPr>
          <w:rFonts w:ascii="Arial" w:cs="Arial" w:eastAsia="Arial" w:hAnsi="Arial"/>
          <w:sz w:val="18"/>
          <w:szCs w:val="18"/>
          <w:color w:val="auto"/>
        </w:rPr>
        <w:t>substantial dilution of $ per share, the difference between the price per share you paid for a share of Class A common stock (based on the midpoint of the estimated offering price range set forth on the cover page of this prospectus) and the as adjusted net</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tabs>
          <w:tab w:leader="none" w:pos="6420" w:val="left"/>
        </w:tabs>
        <w:rPr>
          <w:sz w:val="20"/>
          <w:szCs w:val="20"/>
          <w:color w:val="auto"/>
        </w:rPr>
      </w:pPr>
      <w:r>
        <w:rPr>
          <w:rFonts w:ascii="Arial" w:cs="Arial" w:eastAsia="Arial" w:hAnsi="Arial"/>
          <w:sz w:val="18"/>
          <w:szCs w:val="18"/>
          <w:color w:val="auto"/>
        </w:rPr>
        <w:t>tangible book value per share of our Class A common stock calculated as of</w:t>
      </w:r>
      <w:r>
        <w:rPr>
          <w:sz w:val="20"/>
          <w:szCs w:val="20"/>
          <w:color w:val="auto"/>
        </w:rPr>
        <w:tab/>
      </w:r>
      <w:r>
        <w:rPr>
          <w:rFonts w:ascii="Arial" w:cs="Arial" w:eastAsia="Arial" w:hAnsi="Arial"/>
          <w:sz w:val="16"/>
          <w:szCs w:val="16"/>
          <w:color w:val="auto"/>
        </w:rPr>
        <w:t>, after giving effect to the issuance of shares of our Class A</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 in this offering. For additional information about the dilution that you will experience immediately after this offering, see “Dilution.”</w:t>
      </w:r>
    </w:p>
    <w:p>
      <w:pPr>
        <w:spacing w:after="0" w:line="330"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5"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Prior to this offering, there has been no public market for shares of our Class A common stock. The initial public offering price of our Class A common stock was determined through negotiation among us, Post and the 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90"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 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We have applied to list our Class A common stock on the NYSE under the symbol “BRBR”.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40"/>
        <w:spacing w:after="0" w:line="341"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7" w:lineRule="exact"/>
        <w:rPr>
          <w:sz w:val="20"/>
          <w:szCs w:val="20"/>
          <w:color w:val="auto"/>
        </w:rPr>
      </w:pPr>
    </w:p>
    <w:p>
      <w:pPr>
        <w:ind w:left="220" w:right="140" w:firstLine="440"/>
        <w:spacing w:after="0" w:line="286"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w:t>
      </w:r>
    </w:p>
    <w:p>
      <w:pPr>
        <w:spacing w:after="0" w:line="1" w:lineRule="exact"/>
        <w:rPr>
          <w:sz w:val="20"/>
          <w:szCs w:val="20"/>
          <w:color w:val="auto"/>
        </w:rPr>
      </w:pPr>
    </w:p>
    <w:p>
      <w:pPr>
        <w:ind w:left="220"/>
        <w:spacing w:after="0" w:line="252" w:lineRule="auto"/>
        <w:rPr>
          <w:sz w:val="20"/>
          <w:szCs w:val="20"/>
          <w:color w:val="auto"/>
        </w:rPr>
      </w:pPr>
      <w:r>
        <w:rPr>
          <w:rFonts w:ascii="Arial" w:cs="Arial" w:eastAsia="Arial" w:hAnsi="Arial"/>
          <w:sz w:val="18"/>
          <w:szCs w:val="18"/>
          <w:color w:val="auto"/>
        </w:rPr>
        <w:t>have shares of outstanding Class A common stock on a fully diluted basis, assuming that all of the BellRing Brands, LLC Units outstanding after giving effect to the formation transactions and this offering described under “Prospectus Summary—Formation Transactions,” excluding those held by us, are redeemed for shares of our Class A common stock and assuming no exercise of the underwriters’ over-allotment option. Also, in the future, we may issue shares of our Class A common stock or securities convertible into shares of our Class A common stock in connection with investments or acquisitions. The number of shares of our Class A common stock issued in connection with an investment or acquisition could constitute a material portion of our then outstanding shares of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w:t>
      </w:r>
    </w:p>
    <w:p>
      <w:pPr>
        <w:spacing w:after="0" w:line="46" w:lineRule="exact"/>
        <w:rPr>
          <w:sz w:val="20"/>
          <w:szCs w:val="20"/>
          <w:color w:val="auto"/>
        </w:rPr>
      </w:pPr>
    </w:p>
    <w:p>
      <w:pPr>
        <w:ind w:left="220" w:right="40"/>
        <w:spacing w:after="0" w:line="284" w:lineRule="auto"/>
        <w:rPr>
          <w:sz w:val="20"/>
          <w:szCs w:val="20"/>
          <w:color w:val="auto"/>
        </w:rPr>
      </w:pPr>
      <w:r>
        <w:rPr>
          <w:rFonts w:ascii="Arial" w:cs="Arial" w:eastAsia="Arial" w:hAnsi="Arial"/>
          <w:sz w:val="16"/>
          <w:szCs w:val="16"/>
          <w:color w:val="auto"/>
        </w:rPr>
        <w:t>and Post, which will hold BellRing Brands, LLC Units (equal to % of the economic interest in BellRing Brands, LLC) (or %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Subject to the terms of the amended and restated limited liability company agreement, BellRing Brands, LLC Units will be redeemable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Shares of our Class A common stock issuable upon a redemption of BellRing Brands, LLC Units as described above would be considered “restricted securities,” as that term is defined in Rule 144 under the Securities Act, unless the issuance is registered under the Securities Act. We, our executive officers and directors and Post also will agree with the underwriters not to 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redemption of BellRing Brands, LLC Units will be eligible for resale from time to time, subject to certain contractual restrictions and the requirements of the Securities Act.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file a registration statement under the Securities Act as soon as practicable after the closing of this offering</w:t>
      </w:r>
    </w:p>
    <w:p>
      <w:pPr>
        <w:spacing w:after="0" w:line="23"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registering shares of our Class A common stock reserved for issuance under the 2019 LTIP,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220" w:right="120" w:firstLine="440"/>
        <w:spacing w:after="0" w:line="273" w:lineRule="auto"/>
        <w:rPr>
          <w:sz w:val="20"/>
          <w:szCs w:val="20"/>
          <w:color w:val="auto"/>
        </w:rPr>
      </w:pPr>
      <w:r>
        <w:rPr>
          <w:rFonts w:ascii="Arial" w:cs="Arial" w:eastAsia="Arial" w:hAnsi="Arial"/>
          <w:sz w:val="17"/>
          <w:szCs w:val="17"/>
          <w:color w:val="auto"/>
        </w:rPr>
        <w:t>Our amended and restated certificate of incorporation will authorize us to issue up to shares of Class A common stock, one share of Class B common stock and up to shares of preferred stock with such rights and preferences as may be determined by our Board of Directors.</w:t>
      </w:r>
    </w:p>
    <w:p>
      <w:pPr>
        <w:spacing w:after="0" w:line="1" w:lineRule="exact"/>
        <w:rPr>
          <w:sz w:val="20"/>
          <w:szCs w:val="20"/>
          <w:color w:val="auto"/>
        </w:rPr>
      </w:pPr>
    </w:p>
    <w:p>
      <w:pPr>
        <w:ind w:left="220" w:right="160"/>
        <w:spacing w:after="0" w:line="269" w:lineRule="auto"/>
        <w:rPr>
          <w:sz w:val="20"/>
          <w:szCs w:val="20"/>
          <w:color w:val="auto"/>
        </w:rPr>
      </w:pPr>
      <w:r>
        <w:rPr>
          <w:rFonts w:ascii="Arial" w:cs="Arial" w:eastAsia="Arial" w:hAnsi="Arial"/>
          <w:sz w:val="17"/>
          <w:szCs w:val="17"/>
          <w:color w:val="auto"/>
        </w:rPr>
        <w:t>Subject to compliance with applicable law and various ancillary agreements we intend to enter into with Post and its affiliates (other than us)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220" w:right="100" w:firstLine="440"/>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8"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and related interest. Immediately after the completion of the formation transactions and the completion of this offering, BellRing Brands, LLC expects to enter into the debt facilities and use the proceeds of such borrowing to repay the remaining balance of the Post bridge loan and all interest thereunder, and for the other purposes described under “Use of Proceeds.” See “Use of Proceeds” and Description of Certain Indebtedness—Debt Facilities.” Our management will not have any discretion over the specific use of such proceeds.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40"/>
        <w:spacing w:after="0" w:line="341"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7"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7" w:lineRule="exact"/>
        <w:rPr>
          <w:sz w:val="20"/>
          <w:szCs w:val="20"/>
          <w:color w:val="auto"/>
        </w:rPr>
      </w:pPr>
    </w:p>
    <w:p>
      <w:pPr>
        <w:ind w:left="1180" w:right="260" w:hanging="538"/>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Brands, LLC Units;</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1180" w:right="120" w:hanging="538"/>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220" w:right="60" w:firstLine="440"/>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certain transferees of any of them designated in writing by Post) will not be deemed to be “interested stockholders,” regardless of the percentage of our stock owned by them, and accordingly will not be subject to such restrictions.</w:t>
      </w:r>
    </w:p>
    <w:p>
      <w:pPr>
        <w:spacing w:after="0" w:line="177" w:lineRule="exact"/>
        <w:rPr>
          <w:sz w:val="20"/>
          <w:szCs w:val="20"/>
          <w:color w:val="auto"/>
        </w:rPr>
      </w:pPr>
    </w:p>
    <w:p>
      <w:pPr>
        <w:jc w:val="both"/>
        <w:ind w:left="220" w:right="100" w:firstLine="440"/>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27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220" w:right="500" w:firstLine="440"/>
        <w:spacing w:after="0" w:line="311"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4" w:lineRule="exact"/>
        <w:rPr>
          <w:sz w:val="20"/>
          <w:szCs w:val="20"/>
          <w:color w:val="auto"/>
        </w:rPr>
      </w:pPr>
    </w:p>
    <w:p>
      <w:pPr>
        <w:ind w:left="1180" w:hanging="538"/>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5620" w:hanging="4978"/>
        <w:spacing w:after="0" w:line="449" w:lineRule="auto"/>
        <w:tabs>
          <w:tab w:leader="none" w:pos="11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 54</w:t>
      </w:r>
    </w:p>
    <w:p>
      <w:pPr>
        <w:sectPr>
          <w:pgSz w:w="11900" w:h="16838" w:orient="portrait"/>
          <w:cols w:equalWidth="0" w:num="1">
            <w:col w:w="11140"/>
          </w:cols>
          <w:pgMar w:left="24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560" w:hanging="538"/>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200" w:hanging="538"/>
        <w:spacing w:after="0" w:line="263"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8" w:lineRule="exact"/>
        <w:rPr>
          <w:rFonts w:ascii="Arial" w:cs="Arial" w:eastAsia="Arial" w:hAnsi="Arial"/>
          <w:sz w:val="18"/>
          <w:szCs w:val="18"/>
          <w:color w:val="auto"/>
        </w:rPr>
      </w:pPr>
    </w:p>
    <w:p>
      <w:pPr>
        <w:ind w:left="1180" w:right="360" w:hanging="538"/>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220" w:right="320" w:firstLine="440"/>
        <w:spacing w:after="0" w:line="263"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291"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5" w:lineRule="exact"/>
        <w:rPr>
          <w:sz w:val="20"/>
          <w:szCs w:val="20"/>
          <w:color w:val="auto"/>
        </w:rPr>
      </w:pPr>
    </w:p>
    <w:p>
      <w:pPr>
        <w:jc w:val="both"/>
        <w:ind w:left="220" w:right="200" w:firstLine="440"/>
        <w:spacing w:after="0" w:line="263"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8" w:lineRule="exact"/>
        <w:rPr>
          <w:sz w:val="20"/>
          <w:szCs w:val="20"/>
          <w:color w:val="auto"/>
        </w:rPr>
      </w:pPr>
    </w:p>
    <w:p>
      <w:pPr>
        <w:ind w:left="1180" w:hanging="538"/>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20" w:hanging="538"/>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91"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220" w:right="80" w:firstLine="440"/>
        <w:spacing w:after="0" w:line="254"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8" w:lineRule="exact"/>
        <w:rPr>
          <w:sz w:val="20"/>
          <w:szCs w:val="20"/>
          <w:color w:val="auto"/>
        </w:rPr>
      </w:pPr>
    </w:p>
    <w:p>
      <w:pPr>
        <w:ind w:left="220" w:firstLine="440"/>
        <w:spacing w:after="0" w:line="283"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Brands, LLC may elect out of the application of these rules (but certain of its subsidiaries will likely not), but there can be no assurance that it will be eligible to do so in each tax year or that such election will be made. BellRing Brands, LLC (or its subsidiaries that are partnerships) may be subject to material liabilities pursuant to this legislation and related guidance if, for example, its calculations of taxable income are incorrect. Its members may be required to reimburse BellRing Brands, LLC for taxes, interest, and penalties resulting from an audit.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in the case of BellRing Brands, Inc., in an amount sufficient to allow BellRing Brands, Inc. to pay its tax obligations in respect of taxable income allocated to it from BellRing Brands, LLC and to make any payments required under the tax receivable agreement. In addition to tax expenses, and expenses under the tax receivable agreement, which could be significant, BellRing Brands, Inc. also will incur expenses related to its operations. See “Certain Relationships and Related Party Transactions—Post-Offering Relationship with Post—Tax Receivable Agreement.” We expect that BellRing Brands, LLC will make distributions pro rata to holders of the BellRing Brands, LLC Units in an amount sufficient to allow BellRing Brands, Inc. to pay its operating expenses.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7" w:lineRule="exact"/>
        <w:rPr>
          <w:sz w:val="20"/>
          <w:szCs w:val="20"/>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180" w:right="280" w:hanging="538"/>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1180" w:right="80" w:hanging="538"/>
        <w:spacing w:after="0" w:line="263"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1" w:lineRule="exact"/>
        <w:rPr>
          <w:rFonts w:ascii="Arial" w:cs="Arial" w:eastAsia="Arial" w:hAnsi="Arial"/>
          <w:sz w:val="17"/>
          <w:szCs w:val="17"/>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1" w:lineRule="exact"/>
        <w:rPr>
          <w:rFonts w:ascii="Arial" w:cs="Arial" w:eastAsia="Arial" w:hAnsi="Arial"/>
          <w:sz w:val="17"/>
          <w:szCs w:val="17"/>
          <w:color w:val="auto"/>
        </w:rPr>
      </w:pPr>
    </w:p>
    <w:p>
      <w:pPr>
        <w:ind w:left="1180" w:right="80" w:hanging="538"/>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1180" w:right="400" w:hanging="538"/>
        <w:spacing w:after="0" w:line="307"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2" w:lineRule="exact"/>
        <w:rPr>
          <w:rFonts w:ascii="Arial" w:cs="Arial" w:eastAsia="Arial" w:hAnsi="Arial"/>
          <w:sz w:val="17"/>
          <w:szCs w:val="17"/>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1180" w:right="300" w:hanging="538"/>
        <w:spacing w:after="0" w:line="263"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180" w:hanging="538"/>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1180" w:right="320" w:hanging="538"/>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180" w:hanging="538"/>
        <w:spacing w:after="0" w:line="307"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2" w:lineRule="exact"/>
        <w:rPr>
          <w:rFonts w:ascii="Arial" w:cs="Arial" w:eastAsia="Arial" w:hAnsi="Arial"/>
          <w:sz w:val="17"/>
          <w:szCs w:val="17"/>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240" w:top="459" w:right="7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discounts and commissions and expenses of this offering, will be approximately $ million ($ million if the underwriters exercise their over-allotment option in full) based on an assumed initial public offering price of $ per share (the midpoint of the estimated offering price range set forth on the cover page of this prospectus).</w:t>
      </w:r>
    </w:p>
    <w:p>
      <w:pPr>
        <w:spacing w:after="0" w:line="186" w:lineRule="exact"/>
        <w:rPr>
          <w:sz w:val="20"/>
          <w:szCs w:val="20"/>
          <w:color w:val="auto"/>
        </w:rPr>
      </w:pPr>
    </w:p>
    <w:p>
      <w:pPr>
        <w:ind w:left="220" w:right="160" w:firstLine="440"/>
        <w:spacing w:after="0" w:line="283" w:lineRule="auto"/>
        <w:rPr>
          <w:sz w:val="20"/>
          <w:szCs w:val="20"/>
          <w:color w:val="auto"/>
        </w:rPr>
      </w:pPr>
      <w:r>
        <w:rPr>
          <w:rFonts w:ascii="Arial" w:cs="Arial" w:eastAsia="Arial" w:hAnsi="Arial"/>
          <w:sz w:val="16"/>
          <w:szCs w:val="16"/>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and related interest. Immediately after the completion of the formation transactions and the completion of this offering, BellRing Brands, LLC expects to enter into the debt facilities and use the proceeds of such borrowing under the term loan facility and the revolving credit facility (i) to repay the remaining balance of the Post bridge loan and all interest thereunder, (ii) to pay directly, or reimburse Post for, as applicable, all fees and expenses incurred by us or Post in connection with this offering and the formation transactions (including the debt facilities but excluding the Post bridge loan), (iii) to reimburse Post for the amount of cash on our balance sheet immediately prior to the completion of this offering, and (iv) to the extent there are any remaining proceeds, for general corporate purposes. See</w:t>
      </w:r>
    </w:p>
    <w:p>
      <w:pPr>
        <w:spacing w:after="0" w:line="5" w:lineRule="exact"/>
        <w:rPr>
          <w:sz w:val="20"/>
          <w:szCs w:val="20"/>
          <w:color w:val="auto"/>
        </w:rPr>
      </w:pPr>
    </w:p>
    <w:p>
      <w:pPr>
        <w:ind w:left="220" w:right="180"/>
        <w:spacing w:after="0" w:line="255" w:lineRule="auto"/>
        <w:rPr>
          <w:sz w:val="20"/>
          <w:szCs w:val="20"/>
          <w:color w:val="auto"/>
        </w:rPr>
      </w:pPr>
      <w:r>
        <w:rPr>
          <w:rFonts w:ascii="Arial" w:cs="Arial" w:eastAsia="Arial" w:hAnsi="Arial"/>
          <w:sz w:val="18"/>
          <w:szCs w:val="18"/>
          <w:color w:val="auto"/>
        </w:rPr>
        <w:t>“Description of Certain Indebtedness—Debt Facilities.” The Post bridge loan bears an interest rate of % and matures on .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89" w:lineRule="exact"/>
        <w:rPr>
          <w:sz w:val="20"/>
          <w:szCs w:val="20"/>
          <w:color w:val="auto"/>
        </w:rPr>
      </w:pPr>
    </w:p>
    <w:p>
      <w:pPr>
        <w:ind w:left="660"/>
        <w:spacing w:after="0"/>
        <w:tabs>
          <w:tab w:leader="none" w:pos="672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5"/>
          <w:szCs w:val="15"/>
          <w:color w:val="auto"/>
        </w:rPr>
        <w:t>per share would increase or decrease the net proceeds to us</w:t>
      </w:r>
    </w:p>
    <w:p>
      <w:pPr>
        <w:spacing w:after="0" w:line="23" w:lineRule="exact"/>
        <w:rPr>
          <w:sz w:val="20"/>
          <w:szCs w:val="20"/>
          <w:color w:val="auto"/>
        </w:rPr>
      </w:pPr>
    </w:p>
    <w:p>
      <w:pPr>
        <w:ind w:left="220"/>
        <w:spacing w:after="0"/>
        <w:tabs>
          <w:tab w:leader="none" w:pos="2180" w:val="left"/>
        </w:tabs>
        <w:rPr>
          <w:sz w:val="20"/>
          <w:szCs w:val="20"/>
          <w:color w:val="auto"/>
        </w:rPr>
      </w:pPr>
      <w:r>
        <w:rPr>
          <w:rFonts w:ascii="Arial" w:cs="Arial" w:eastAsia="Arial" w:hAnsi="Arial"/>
          <w:sz w:val="18"/>
          <w:szCs w:val="18"/>
          <w:color w:val="auto"/>
        </w:rPr>
        <w:t>from this offering by $</w:t>
      </w:r>
      <w:r>
        <w:rPr>
          <w:sz w:val="20"/>
          <w:szCs w:val="20"/>
          <w:color w:val="auto"/>
        </w:rPr>
        <w:tab/>
      </w:r>
      <w:r>
        <w:rPr>
          <w:rFonts w:ascii="Arial" w:cs="Arial" w:eastAsia="Arial" w:hAnsi="Arial"/>
          <w:sz w:val="16"/>
          <w:szCs w:val="16"/>
          <w:color w:val="auto"/>
        </w:rPr>
        <w:t>million, assuming that the number of shares offered by us, as set forth on the cover page of this prospectus, remains the same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and after deducting the estimated underwriting discounts and commissions and expenses of this offering. Similarly, each increase or decrease of</w:t>
      </w:r>
    </w:p>
    <w:p>
      <w:pPr>
        <w:spacing w:after="0" w:line="20" w:lineRule="exact"/>
        <w:rPr>
          <w:sz w:val="20"/>
          <w:szCs w:val="20"/>
          <w:color w:val="auto"/>
        </w:rPr>
      </w:pPr>
    </w:p>
    <w:p>
      <w:pPr>
        <w:ind w:left="220"/>
        <w:spacing w:after="0"/>
        <w:tabs>
          <w:tab w:leader="none" w:pos="9480" w:val="left"/>
        </w:tabs>
        <w:rPr>
          <w:sz w:val="20"/>
          <w:szCs w:val="20"/>
          <w:color w:val="auto"/>
        </w:rPr>
      </w:pPr>
      <w:r>
        <w:rPr>
          <w:rFonts w:ascii="Arial" w:cs="Arial" w:eastAsia="Arial" w:hAnsi="Arial"/>
          <w:sz w:val="18"/>
          <w:szCs w:val="18"/>
          <w:color w:val="auto"/>
        </w:rPr>
        <w:t>1.0 million in the number of shares we are offering would increase or decrease the net proceeds to us from this offering by $</w:t>
      </w:r>
      <w:r>
        <w:rPr>
          <w:sz w:val="20"/>
          <w:szCs w:val="20"/>
          <w:color w:val="auto"/>
        </w:rPr>
        <w:tab/>
      </w:r>
      <w:r>
        <w:rPr>
          <w:rFonts w:ascii="Arial" w:cs="Arial" w:eastAsia="Arial" w:hAnsi="Arial"/>
          <w:sz w:val="16"/>
          <w:szCs w:val="16"/>
          <w:color w:val="auto"/>
        </w:rPr>
        <w:t>million, assuming no</w:t>
      </w:r>
    </w:p>
    <w:p>
      <w:pPr>
        <w:spacing w:after="0" w:line="9"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change in the assumed initial public offering price of $</w:t>
      </w:r>
      <w:r>
        <w:rPr>
          <w:sz w:val="20"/>
          <w:szCs w:val="20"/>
          <w:color w:val="auto"/>
        </w:rPr>
        <w:tab/>
      </w:r>
      <w:r>
        <w:rPr>
          <w:rFonts w:ascii="Arial" w:cs="Arial" w:eastAsia="Arial" w:hAnsi="Arial"/>
          <w:sz w:val="16"/>
          <w:szCs w:val="16"/>
          <w:color w:val="auto"/>
        </w:rPr>
        <w:t>per share and after deducting the estimated underwriting discounts and commissions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expenses of this offering.</w:t>
      </w:r>
    </w:p>
    <w:p>
      <w:pPr>
        <w:spacing w:after="0" w:line="210" w:lineRule="exact"/>
        <w:rPr>
          <w:sz w:val="20"/>
          <w:szCs w:val="20"/>
          <w:color w:val="auto"/>
        </w:rPr>
      </w:pPr>
    </w:p>
    <w:p>
      <w:pPr>
        <w:ind w:left="220" w:firstLine="440"/>
        <w:spacing w:after="0" w:line="284" w:lineRule="auto"/>
        <w:rPr>
          <w:sz w:val="20"/>
          <w:szCs w:val="20"/>
          <w:color w:val="auto"/>
        </w:rPr>
      </w:pPr>
      <w:r>
        <w:rPr>
          <w:rFonts w:ascii="Arial" w:cs="Arial" w:eastAsia="Arial" w:hAnsi="Arial"/>
          <w:sz w:val="16"/>
          <w:szCs w:val="16"/>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w:t>
      </w:r>
    </w:p>
    <w:p>
      <w:pPr>
        <w:spacing w:after="0" w:line="3" w:lineRule="exact"/>
        <w:rPr>
          <w:sz w:val="20"/>
          <w:szCs w:val="20"/>
          <w:color w:val="auto"/>
        </w:rPr>
      </w:pPr>
    </w:p>
    <w:p>
      <w:pPr>
        <w:ind w:left="220" w:right="200"/>
        <w:spacing w:after="0" w:line="264" w:lineRule="auto"/>
        <w:rPr>
          <w:sz w:val="20"/>
          <w:szCs w:val="20"/>
          <w:color w:val="auto"/>
        </w:rPr>
      </w:pPr>
      <w:r>
        <w:rPr>
          <w:rFonts w:ascii="Arial" w:cs="Arial" w:eastAsia="Arial" w:hAnsi="Arial"/>
          <w:sz w:val="17"/>
          <w:szCs w:val="17"/>
          <w:color w:val="auto"/>
        </w:rPr>
        <w:t>prospectus forms a part. has agreed to act as qualified independent underwriter for the offering and to undertake the legal responsibilities and liabilities of an underwriter under the Securities Act, specifically including those inherent in Section 11 of the Securities Act. We will agree to</w:t>
      </w:r>
    </w:p>
    <w:p>
      <w:pPr>
        <w:spacing w:after="0" w:line="2" w:lineRule="exact"/>
        <w:rPr>
          <w:sz w:val="20"/>
          <w:szCs w:val="20"/>
          <w:color w:val="auto"/>
        </w:rPr>
      </w:pPr>
    </w:p>
    <w:p>
      <w:pPr>
        <w:ind w:left="220" w:right="60"/>
        <w:spacing w:after="0" w:line="273" w:lineRule="auto"/>
        <w:rPr>
          <w:sz w:val="20"/>
          <w:szCs w:val="20"/>
          <w:color w:val="auto"/>
        </w:rPr>
      </w:pPr>
      <w:r>
        <w:rPr>
          <w:rFonts w:ascii="Arial" w:cs="Arial" w:eastAsia="Arial" w:hAnsi="Arial"/>
          <w:sz w:val="17"/>
          <w:szCs w:val="17"/>
          <w:color w:val="auto"/>
        </w:rPr>
        <w:t>indemnify against liabilities incurred in connection with acting as qualified independent underwriter, including liabilities under the Securities Act. Moreover, none of Morgan Stanley &amp; Co. LLC, Citigroup Global Markets 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 See “Underwriting (Conflicts of Interest).”</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20" w:right="180" w:firstLine="440"/>
        <w:spacing w:after="0" w:line="301"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6"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may be distributed from time to time at the discretion of the Board of Managers pro rata to its members, currently us and Post, according to the number of BellRing Brands, LLC Units held by each of us, except that the Board of Managers may cause BellRing Brands, LLC to make non-proportionate distributions to BellRing Brands, Inc. in connection with any cash redemption of BellRing Brands, Inc.’s Class A common stock. The amended and restated limited liability company agreement provides, to the extent cash is available, for distributions pro rata to the holders of BellRing Brands, LLC Units such that members receive an amount of cash sufficient to cover the estimated taxes payable by them and to cover obligations of BellRing Brands, Inc. under the tax receivable agreement as described under “Certain Relationships and Related Party Transactions— Post-Offering Relationship with Post—Amended and Restated Limited Liability Company Agreement—Distributions and Allocations.” Future agreements governing our indebtedness may also limit our ability to pay dividends. We expect that the debt facilities that BellRing Brands, LLC expects to enter into after completion of this offering will include restrictions on its ability to make distributions and will thus restrict our ability to pay dividends. See “Description of Certain Indebtedness.”</w:t>
      </w:r>
    </w:p>
    <w:p>
      <w:pPr>
        <w:spacing w:after="0" w:line="184"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cash and cash equivalents and capitalization as of June 30, 2019:</w:t>
      </w:r>
    </w:p>
    <w:p>
      <w:pPr>
        <w:spacing w:after="0" w:line="130" w:lineRule="exact"/>
        <w:rPr>
          <w:sz w:val="20"/>
          <w:szCs w:val="20"/>
          <w:color w:val="auto"/>
        </w:rPr>
      </w:pPr>
    </w:p>
    <w:p>
      <w:pPr>
        <w:ind w:left="1180" w:hanging="538"/>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sz w:val="20"/>
          <w:szCs w:val="20"/>
          <w:color w:val="auto"/>
        </w:rPr>
      </w:pPr>
    </w:p>
    <w:p>
      <w:pPr>
        <w:ind w:left="1180" w:right="60" w:hanging="539"/>
        <w:spacing w:after="0" w:line="255" w:lineRule="auto"/>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an as adjusted basis after giving effect to: (i) this offering, at an assumed initial public offering price of $ per share (which is the midpoint of the estimated offering price range set forth on the cover page of this prospectus), (ii) the entry of BellRing Brands, LLC into the debt facilities, the borrowing by BellRing Brands, LLC under the term loan facility and the revolving credit facility and the application of the net proceeds of this offering and the debt facilities to repay in full the Post bridge loan and all interest thereunder and for the other purposes described under “Use of Proceeds” and (iii) the formation transactions, and assuming no exercise of the underwriters’ over-allotment option.</w:t>
      </w:r>
    </w:p>
    <w:p>
      <w:pPr>
        <w:spacing w:after="0" w:line="191" w:lineRule="exact"/>
        <w:rPr>
          <w:sz w:val="20"/>
          <w:szCs w:val="20"/>
          <w:color w:val="auto"/>
        </w:rPr>
      </w:pPr>
    </w:p>
    <w:p>
      <w:pPr>
        <w:ind w:left="220" w:right="120" w:firstLine="440"/>
        <w:spacing w:after="0" w:line="275"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business’s audited combined financial statements and the notes thereto as of September 30, 2018 and 2017 and for the three fiscal years ended September 30, 2018 and Post’s Active Nutrition business’s unaudited condensed combined financial statements and the notes thereto for the nine months ended June 30, 2019 and 2018, each appearing elsewhere in this prospectus.</w:t>
      </w:r>
    </w:p>
    <w:p>
      <w:pPr>
        <w:spacing w:after="0" w:line="19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As of June 30, 2019</w:t>
      </w:r>
    </w:p>
    <w:p>
      <w:pPr>
        <w:jc w:val="center"/>
        <w:ind w:left="8820"/>
        <w:spacing w:after="0" w:line="236" w:lineRule="auto"/>
        <w:rPr>
          <w:sz w:val="20"/>
          <w:szCs w:val="20"/>
          <w:color w:val="auto"/>
        </w:rPr>
      </w:pPr>
      <w:r>
        <w:rPr>
          <w:rFonts w:ascii="Arial" w:cs="Arial" w:eastAsia="Arial" w:hAnsi="Arial"/>
          <w:sz w:val="14"/>
          <w:szCs w:val="14"/>
          <w:b w:val="1"/>
          <w:bCs w:val="1"/>
          <w:color w:val="auto"/>
        </w:rPr>
        <w:t>(unaudited)</w:t>
      </w:r>
    </w:p>
    <w:tbl>
      <w:tblPr>
        <w:tblLayout w:type="fixed"/>
        <w:tblInd w:w="2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7"/>
              </w:rPr>
              <w:t>Active</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w w:val="98"/>
              </w:rPr>
              <w:t>BellRing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Nutrition</w:t>
            </w:r>
          </w:p>
        </w:tc>
        <w:tc>
          <w:tcPr>
            <w:tcW w:w="2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Brands, Inc.</w:t>
            </w:r>
          </w:p>
        </w:tc>
        <w:tc>
          <w:tcPr>
            <w:tcW w:w="0" w:type="dxa"/>
            <w:vAlign w:val="bottom"/>
          </w:tcPr>
          <w:p>
            <w:pPr>
              <w:spacing w:after="0"/>
              <w:rPr>
                <w:sz w:val="1"/>
                <w:szCs w:val="1"/>
                <w:color w:val="auto"/>
              </w:rPr>
            </w:pPr>
          </w:p>
        </w:tc>
      </w:tr>
      <w:tr>
        <w:trPr>
          <w:trHeight w:val="171"/>
        </w:trPr>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42"/>
        </w:trPr>
        <w:tc>
          <w:tcPr>
            <w:tcW w:w="190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(a)(b)(c)</w:t>
            </w:r>
          </w:p>
        </w:tc>
        <w:tc>
          <w:tcPr>
            <w:tcW w:w="4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4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3"/>
            <w:vMerge w:val="continue"/>
          </w:tcPr>
          <w:p>
            <w:pPr>
              <w:spacing w:after="0"/>
              <w:rPr>
                <w:sz w:val="18"/>
                <w:szCs w:val="18"/>
                <w:color w:val="auto"/>
              </w:rPr>
            </w:pP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Term loan facility</w:t>
            </w:r>
            <w:r>
              <w:rPr>
                <w:rFonts w:ascii="Arial" w:cs="Arial" w:eastAsia="Arial" w:hAnsi="Arial"/>
                <w:sz w:val="15"/>
                <w:szCs w:val="15"/>
                <w:color w:val="auto"/>
                <w:w w:val="98"/>
              </w:rPr>
              <w:t>(a)</w:t>
            </w:r>
          </w:p>
        </w:tc>
        <w:tc>
          <w:tcPr>
            <w:tcW w:w="18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(a)</w:t>
            </w: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debt</w:t>
            </w:r>
            <w:r>
              <w:rPr>
                <w:rFonts w:ascii="Arial" w:cs="Arial" w:eastAsia="Arial" w:hAnsi="Arial"/>
                <w:sz w:val="15"/>
                <w:szCs w:val="15"/>
                <w:color w:val="auto"/>
              </w:rPr>
              <w:t>(a)</w:t>
            </w:r>
          </w:p>
        </w:tc>
        <w:tc>
          <w:tcPr>
            <w:tcW w:w="18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Less: Debt issuance costs</w:t>
            </w:r>
            <w:r>
              <w:rPr>
                <w:rFonts w:ascii="Arial" w:cs="Arial" w:eastAsia="Arial" w:hAnsi="Arial"/>
                <w:sz w:val="15"/>
                <w:szCs w:val="15"/>
                <w:color w:val="auto"/>
              </w:rPr>
              <w:t>(a)</w:t>
            </w: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Unamortized discount</w:t>
            </w:r>
            <w:r>
              <w:rPr>
                <w:rFonts w:ascii="Arial" w:cs="Arial" w:eastAsia="Arial" w:hAnsi="Arial"/>
                <w:sz w:val="15"/>
                <w:szCs w:val="15"/>
                <w:color w:val="auto"/>
              </w:rPr>
              <w:t>(a)</w:t>
            </w: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190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18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18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Class A, par value $0.01 per share; actual: No shares authorized, issued and outstanding as of June 30, 2019; as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adjusted:</w:t>
            </w:r>
          </w:p>
        </w:tc>
        <w:tc>
          <w:tcPr>
            <w:tcW w:w="1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 authorized,</w:t>
            </w:r>
          </w:p>
        </w:tc>
        <w:tc>
          <w:tcPr>
            <w:tcW w:w="4900" w:type="dxa"/>
            <w:vAlign w:val="bottom"/>
            <w:shd w:val="clear" w:color="auto" w:fill="CCEEFF"/>
          </w:tcPr>
          <w:p>
            <w:pPr>
              <w:jc w:val="right"/>
              <w:ind w:right="215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15"/>
                <w:szCs w:val="15"/>
                <w:color w:val="auto"/>
              </w:rPr>
              <w:t>(b)</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1"/>
              </w:rPr>
              <w:t>Class B, par value $0.01 per share; actual: No shares authorized, issued and outstanding as of June 30, 2019; as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gridSpan w:val="3"/>
          </w:tcPr>
          <w:p>
            <w:pPr>
              <w:ind w:left="500"/>
              <w:spacing w:after="0"/>
              <w:rPr>
                <w:sz w:val="20"/>
                <w:szCs w:val="20"/>
                <w:color w:val="auto"/>
              </w:rPr>
            </w:pPr>
            <w:r>
              <w:rPr>
                <w:rFonts w:ascii="Arial" w:cs="Arial" w:eastAsia="Arial" w:hAnsi="Arial"/>
                <w:sz w:val="18"/>
                <w:szCs w:val="18"/>
                <w:color w:val="auto"/>
              </w:rPr>
              <w:t>adjusted: one share authorized, issued and outstanding</w:t>
            </w:r>
            <w:r>
              <w:rPr>
                <w:rFonts w:ascii="Arial" w:cs="Arial" w:eastAsia="Arial" w:hAnsi="Arial"/>
                <w:sz w:val="15"/>
                <w:szCs w:val="15"/>
                <w:color w:val="auto"/>
              </w:rPr>
              <w:t>(b)</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Preferred stock, par value $0.01 per share;</w:t>
            </w:r>
          </w:p>
        </w:tc>
        <w:tc>
          <w:tcPr>
            <w:tcW w:w="490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w w:val="97"/>
              </w:rPr>
              <w:t>shares authorized, no shares issued and outstanding actual</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and as adjusted</w:t>
            </w:r>
          </w:p>
        </w:tc>
        <w:tc>
          <w:tcPr>
            <w:tcW w:w="184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(b)</w:t>
            </w:r>
          </w:p>
        </w:tc>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ind w:left="68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Total Capitalization</w:t>
            </w:r>
          </w:p>
        </w:tc>
        <w:tc>
          <w:tcPr>
            <w:tcW w:w="4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900" w:type="dxa"/>
            <w:vAlign w:val="bottom"/>
            <w:vMerge w:val="restart"/>
          </w:tcPr>
          <w:p>
            <w:pPr>
              <w:jc w:val="right"/>
              <w:ind w:right="297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70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right="20" w:hanging="430"/>
        <w:spacing w:after="0" w:line="273"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of their obligations under the Post bridge loan. We will not receive any of the proceeds of the Post bridge loan.</w:t>
      </w:r>
    </w:p>
    <w:p>
      <w:pPr>
        <w:spacing w:after="0" w:line="82" w:lineRule="exact"/>
        <w:rPr>
          <w:rFonts w:ascii="Arial" w:cs="Arial" w:eastAsia="Arial" w:hAnsi="Arial"/>
          <w:sz w:val="17"/>
          <w:szCs w:val="17"/>
          <w:color w:val="auto"/>
        </w:rPr>
      </w:pPr>
    </w:p>
    <w:p>
      <w:pPr>
        <w:ind w:left="640" w:right="40"/>
        <w:spacing w:after="0" w:line="269" w:lineRule="auto"/>
        <w:rPr>
          <w:rFonts w:ascii="Arial" w:cs="Arial" w:eastAsia="Arial" w:hAnsi="Arial"/>
          <w:sz w:val="17"/>
          <w:szCs w:val="17"/>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revolving credit facility with approximately $200 million borrowing capacity and an approximately $820.0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7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For purposes of the table above, we have assumed:</w:t>
      </w:r>
    </w:p>
    <w:p>
      <w:pPr>
        <w:spacing w:after="0" w:line="130" w:lineRule="exact"/>
        <w:rPr>
          <w:rFonts w:ascii="Arial" w:cs="Arial" w:eastAsia="Arial" w:hAnsi="Arial"/>
          <w:sz w:val="17"/>
          <w:szCs w:val="17"/>
          <w:color w:val="auto"/>
        </w:rPr>
      </w:pPr>
    </w:p>
    <w:p>
      <w:pPr>
        <w:ind w:left="1180" w:right="340" w:hanging="538"/>
        <w:spacing w:after="0" w:line="277"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approximately $15.0 million of borrowings under the revolving credit facility will be incurred concurrently with the completion of this offering;</w:t>
      </w:r>
    </w:p>
    <w:p>
      <w:pPr>
        <w:spacing w:after="0" w:line="75" w:lineRule="exact"/>
        <w:rPr>
          <w:rFonts w:ascii="Arial" w:cs="Arial" w:eastAsia="Arial" w:hAnsi="Arial"/>
          <w:sz w:val="18"/>
          <w:szCs w:val="18"/>
          <w:color w:val="auto"/>
        </w:rPr>
      </w:pPr>
    </w:p>
    <w:p>
      <w:pPr>
        <w:ind w:left="1180" w:right="40" w:hanging="538"/>
        <w:spacing w:after="0" w:line="277"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approximately $820.0 million of borrowings under the term loan facility will be incurred concurrently with the completion of this offering; and</w:t>
      </w:r>
    </w:p>
    <w:p>
      <w:pPr>
        <w:spacing w:after="0" w:line="75" w:lineRule="exact"/>
        <w:rPr>
          <w:rFonts w:ascii="Arial" w:cs="Arial" w:eastAsia="Arial" w:hAnsi="Arial"/>
          <w:sz w:val="18"/>
          <w:szCs w:val="18"/>
          <w:color w:val="auto"/>
        </w:rPr>
      </w:pPr>
    </w:p>
    <w:p>
      <w:pPr>
        <w:ind w:left="1180" w:right="280" w:hanging="538"/>
        <w:spacing w:after="0" w:line="277"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$6.6 million, after deducting fees, expenses and repayment of the remaining portion of the Post bridge loan and related interest.</w:t>
      </w:r>
    </w:p>
    <w:p>
      <w:pPr>
        <w:spacing w:after="0" w:line="75" w:lineRule="exact"/>
        <w:rPr>
          <w:rFonts w:ascii="Arial" w:cs="Arial" w:eastAsia="Arial" w:hAnsi="Arial"/>
          <w:sz w:val="18"/>
          <w:szCs w:val="18"/>
          <w:color w:val="auto"/>
        </w:rPr>
      </w:pPr>
    </w:p>
    <w:p>
      <w:pPr>
        <w:ind w:left="640" w:hanging="430"/>
        <w:spacing w:after="0" w:line="34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 Post in connection with its incorporation, which shares will be cancelled as part of the exchange) one share of its Class B common stock.</w:t>
      </w:r>
    </w:p>
    <w:p>
      <w:pPr>
        <w:sectPr>
          <w:pgSz w:w="11900" w:h="16838" w:orient="portrait"/>
          <w:cols w:equalWidth="0" w:num="1">
            <w:col w:w="11220"/>
          </w:cols>
          <w:pgMar w:left="240" w:top="459" w:right="439" w:bottom="1440" w:gutter="0" w:footer="0" w:header="0"/>
        </w:sectPr>
      </w:pPr>
    </w:p>
    <w:p>
      <w:pPr>
        <w:spacing w:after="0" w:line="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this offering, BellRing Brands, Inc. expects to issue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shares of its Class A common stock (or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shares if the underwriters</w:t>
      </w:r>
    </w:p>
    <w:p>
      <w:pPr>
        <w:spacing w:after="0" w:line="46" w:lineRule="exact"/>
        <w:rPr>
          <w:sz w:val="20"/>
          <w:szCs w:val="20"/>
          <w:color w:val="auto"/>
        </w:rPr>
      </w:pPr>
    </w:p>
    <w:p>
      <w:pPr>
        <w:sectPr>
          <w:pgSz w:w="11900" w:h="16838" w:orient="portrait"/>
          <w:cols w:equalWidth="0" w:num="3">
            <w:col w:w="4640" w:space="720"/>
            <w:col w:w="2900" w:space="720"/>
            <w:col w:w="2240"/>
          </w:cols>
          <w:pgMar w:left="240" w:top="459" w:right="43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exercise their over-allotment option in full).</w:t>
      </w:r>
    </w:p>
    <w:p>
      <w:pPr>
        <w:spacing w:after="0" w:line="116" w:lineRule="exact"/>
        <w:rPr>
          <w:sz w:val="20"/>
          <w:szCs w:val="20"/>
          <w:color w:val="auto"/>
        </w:rPr>
      </w:pPr>
    </w:p>
    <w:p>
      <w:pPr>
        <w:ind w:left="640" w:right="80" w:hanging="419"/>
        <w:spacing w:after="0" w:line="290" w:lineRule="auto"/>
        <w:tabs>
          <w:tab w:leader="none" w:pos="620" w:val="left"/>
        </w:tabs>
        <w:rPr>
          <w:sz w:val="20"/>
          <w:szCs w:val="20"/>
          <w:color w:val="auto"/>
        </w:rPr>
      </w:pPr>
      <w:r>
        <w:rPr>
          <w:rFonts w:ascii="Arial" w:cs="Arial" w:eastAsia="Arial" w:hAnsi="Arial"/>
          <w:sz w:val="16"/>
          <w:szCs w:val="16"/>
          <w:color w:val="auto"/>
        </w:rPr>
        <w:t>(c)</w:t>
        <w:tab/>
        <w:t>BellRing Brands, Inc. expects to receive net proceeds from this offering of approximately $ million (or approximately $ million if the underwriters exercise their over-allotment option in full), assuming the shares are offered at $ per share (the midpoint of the price range listed</w:t>
      </w:r>
    </w:p>
    <w:p>
      <w:pPr>
        <w:sectPr>
          <w:pgSz w:w="11900" w:h="16838" w:orient="portrait"/>
          <w:cols w:equalWidth="0" w:num="1">
            <w:col w:w="11220"/>
          </w:cols>
          <w:pgMar w:left="240" w:top="459" w:right="439" w:bottom="1440" w:gutter="0" w:footer="0" w:header="0"/>
          <w:type w:val="continuous"/>
        </w:sectPr>
      </w:pPr>
    </w:p>
    <w:p>
      <w:pPr>
        <w:spacing w:after="0" w:line="1" w:lineRule="exact"/>
        <w:rPr>
          <w:sz w:val="20"/>
          <w:szCs w:val="20"/>
          <w:color w:val="auto"/>
        </w:rPr>
      </w:pPr>
    </w:p>
    <w:p>
      <w:pPr>
        <w:jc w:val="both"/>
        <w:ind w:left="640" w:right="300"/>
        <w:spacing w:after="0" w:line="295" w:lineRule="auto"/>
        <w:rPr>
          <w:sz w:val="20"/>
          <w:szCs w:val="20"/>
          <w:color w:val="auto"/>
        </w:rPr>
      </w:pPr>
      <w:r>
        <w:rPr>
          <w:rFonts w:ascii="Arial" w:cs="Arial" w:eastAsia="Arial" w:hAnsi="Arial"/>
          <w:sz w:val="16"/>
          <w:szCs w:val="16"/>
          <w:color w:val="auto"/>
        </w:rPr>
        <w:t>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 and related interest.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20" w:right="160" w:firstLine="440"/>
        <w:spacing w:after="0" w:line="273" w:lineRule="auto"/>
        <w:rPr>
          <w:sz w:val="20"/>
          <w:szCs w:val="20"/>
          <w:color w:val="auto"/>
        </w:rPr>
      </w:pPr>
      <w:r>
        <w:rPr>
          <w:rFonts w:ascii="Arial" w:cs="Arial" w:eastAsia="Arial" w:hAnsi="Arial"/>
          <w:sz w:val="17"/>
          <w:szCs w:val="17"/>
          <w:color w:val="auto"/>
        </w:rPr>
        <w:t>Because Post will not own any Class A common stock after this offering, we have presented dilution in pro forma net tangible book value per share both before and after this offering assuming that Post has all of its BellRing Brands, LLC Units redeemed for newly issued shares of Class A common stock on a one-to-one basis (rather than for cash) and the cancellation for no consideration of all of its share of Class B common stock (which is not entitled to receive distributions or dividends, whether cash or stock, from BellRing Brands, Inc.) in order to more meaningfully present the potential dilutive impact on the investors in this offering. We refer to the assumed redemption of all BellRing Brands, LLC Units for shares of Class A common stock as described in the previous sentence as the “assumed redemption.”</w:t>
      </w:r>
    </w:p>
    <w:p>
      <w:pPr>
        <w:spacing w:after="0" w:line="177" w:lineRule="exact"/>
        <w:rPr>
          <w:sz w:val="20"/>
          <w:szCs w:val="20"/>
          <w:color w:val="auto"/>
        </w:rPr>
      </w:pPr>
    </w:p>
    <w:p>
      <w:pPr>
        <w:jc w:val="both"/>
        <w:ind w:left="220" w:right="400" w:firstLine="440"/>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spacing w:after="0" w:line="183"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6"/>
          <w:szCs w:val="16"/>
          <w:color w:val="auto"/>
        </w:rPr>
        <w:t>Pro forma net tangible book value per share of Class A common stock of BellRing Brands, Inc. is determined by dividing our total tangible assets less our total liabilities by the number of shares of our Class A common stock outstanding. As of June 30, 2019, after giving effect to the formation transactions (including the assumption by BellRing Brands, LLC of the Post bridge loan) and the assumed redemption, but not this offering or the use of the proceeds of this offering and the expected borrowing under the debt facilities for the purposes described under “Use of Proceeds,” we had a pro</w:t>
      </w:r>
    </w:p>
    <w:p>
      <w:pPr>
        <w:spacing w:after="0" w:line="1" w:lineRule="exact"/>
        <w:rPr>
          <w:sz w:val="20"/>
          <w:szCs w:val="20"/>
          <w:color w:val="auto"/>
        </w:rPr>
      </w:pPr>
    </w:p>
    <w:p>
      <w:pPr>
        <w:ind w:left="220"/>
        <w:spacing w:after="0"/>
        <w:tabs>
          <w:tab w:leader="none" w:pos="3440" w:val="left"/>
          <w:tab w:leader="none" w:pos="4740" w:val="left"/>
        </w:tabs>
        <w:rPr>
          <w:sz w:val="20"/>
          <w:szCs w:val="20"/>
          <w:color w:val="auto"/>
        </w:rPr>
      </w:pPr>
      <w:r>
        <w:rPr>
          <w:rFonts w:ascii="Arial" w:cs="Arial" w:eastAsia="Arial" w:hAnsi="Arial"/>
          <w:sz w:val="18"/>
          <w:szCs w:val="18"/>
          <w:color w:val="auto"/>
        </w:rPr>
        <w:t>forma net tangible book value of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of Class A common stock.</w:t>
      </w:r>
    </w:p>
    <w:p>
      <w:pPr>
        <w:spacing w:after="0" w:line="210" w:lineRule="exact"/>
        <w:rPr>
          <w:sz w:val="20"/>
          <w:szCs w:val="20"/>
          <w:color w:val="auto"/>
        </w:rPr>
      </w:pPr>
    </w:p>
    <w:p>
      <w:pPr>
        <w:ind w:left="220" w:right="340" w:firstLine="440"/>
        <w:spacing w:after="0" w:line="273" w:lineRule="auto"/>
        <w:rPr>
          <w:sz w:val="20"/>
          <w:szCs w:val="20"/>
          <w:color w:val="auto"/>
        </w:rPr>
      </w:pPr>
      <w:r>
        <w:rPr>
          <w:rFonts w:ascii="Arial" w:cs="Arial" w:eastAsia="Arial" w:hAnsi="Arial"/>
          <w:sz w:val="17"/>
          <w:szCs w:val="17"/>
          <w:color w:val="auto"/>
        </w:rPr>
        <w:t>After giving further effect to receipt of the net proceeds from our issuance and the sale of shares of Class A common stock in this offering at an assumed initial public offering price of $ per share of Class A common stock, which is the midpoint of the estimated offering</w:t>
      </w:r>
    </w:p>
    <w:p>
      <w:pPr>
        <w:spacing w:after="0" w:line="1" w:lineRule="exact"/>
        <w:rPr>
          <w:sz w:val="20"/>
          <w:szCs w:val="20"/>
          <w:color w:val="auto"/>
        </w:rPr>
      </w:pPr>
    </w:p>
    <w:p>
      <w:pPr>
        <w:ind w:left="220" w:right="40"/>
        <w:spacing w:after="0" w:line="280" w:lineRule="auto"/>
        <w:rPr>
          <w:sz w:val="20"/>
          <w:szCs w:val="20"/>
          <w:color w:val="auto"/>
        </w:rPr>
      </w:pPr>
      <w:r>
        <w:rPr>
          <w:rFonts w:ascii="Arial" w:cs="Arial" w:eastAsia="Arial" w:hAnsi="Arial"/>
          <w:sz w:val="16"/>
          <w:szCs w:val="16"/>
          <w:color w:val="auto"/>
        </w:rPr>
        <w:t>price range set forth on the cover page of this prospectus, and after deducting the estimated underwriting discounts and commissions and offering expenses payable by us and the use of the proceeds of this offering and the expected borrowing under the debt facilities for the purposes described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right="220"/>
        <w:spacing w:after="0" w:line="270" w:lineRule="auto"/>
        <w:rPr>
          <w:sz w:val="20"/>
          <w:szCs w:val="20"/>
          <w:color w:val="auto"/>
        </w:rPr>
      </w:pPr>
      <w:r>
        <w:rPr>
          <w:rFonts w:ascii="Arial" w:cs="Arial" w:eastAsia="Arial" w:hAnsi="Arial"/>
          <w:sz w:val="17"/>
          <w:szCs w:val="17"/>
          <w:color w:val="auto"/>
        </w:rPr>
        <w:t>“Use of Proceeds,” our pro forma as adjusted net tangible book value as of June 30, 2019 would have been approximately $ million, or approximately $ per share. This amount represents an immediate increase in pro forma net tangible book value of $ per share to our existing stockholder and an immediate dilution of approximately $ per share to new investors participating in this offering. We determine dilution by</w:t>
      </w:r>
    </w:p>
    <w:p>
      <w:pPr>
        <w:spacing w:after="0" w:line="2" w:lineRule="exact"/>
        <w:rPr>
          <w:sz w:val="20"/>
          <w:szCs w:val="20"/>
          <w:color w:val="auto"/>
        </w:rPr>
      </w:pPr>
    </w:p>
    <w:p>
      <w:pPr>
        <w:ind w:left="220" w:right="60"/>
        <w:spacing w:after="0" w:line="260" w:lineRule="auto"/>
        <w:rPr>
          <w:sz w:val="20"/>
          <w:szCs w:val="20"/>
          <w:color w:val="auto"/>
        </w:rPr>
      </w:pPr>
      <w:r>
        <w:rPr>
          <w:rFonts w:ascii="Arial" w:cs="Arial" w:eastAsia="Arial" w:hAnsi="Arial"/>
          <w:sz w:val="18"/>
          <w:szCs w:val="18"/>
          <w:color w:val="auto"/>
        </w:rPr>
        <w:t>subtracting the pro forma as adjusted net tangible book value per share after this offering from the amount of cash that a new investor paid for a share of Class A common stock.</w:t>
      </w:r>
    </w:p>
    <w:p>
      <w:pPr>
        <w:spacing w:after="0" w:line="185" w:lineRule="exact"/>
        <w:rPr>
          <w:sz w:val="20"/>
          <w:szCs w:val="20"/>
          <w:color w:val="auto"/>
        </w:rPr>
      </w:pPr>
    </w:p>
    <w:p>
      <w:pPr>
        <w:ind w:left="220" w:right="220" w:firstLine="440"/>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80" w:type="dxa"/>
            <w:vAlign w:val="bottom"/>
          </w:tcPr>
          <w:p>
            <w:pPr>
              <w:ind w:left="340"/>
              <w:spacing w:after="0" w:line="201" w:lineRule="exact"/>
              <w:rPr>
                <w:sz w:val="20"/>
                <w:szCs w:val="20"/>
                <w:color w:val="auto"/>
              </w:rPr>
            </w:pPr>
            <w:r>
              <w:rPr>
                <w:rFonts w:ascii="Arial" w:cs="Arial" w:eastAsia="Arial" w:hAnsi="Arial"/>
                <w:sz w:val="18"/>
                <w:szCs w:val="18"/>
                <w:color w:val="auto"/>
                <w:w w:val="94"/>
              </w:rPr>
              <w:t>Pro forma net tangible book value per share as of June 30, 2019, giving effect to the formation transactions (including</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w w:val="94"/>
              </w:rPr>
              <w:t>the assumption by BellRing Brands, LLC of the Post bridge loan) and the assumed redemption, but not this offering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w w:val="98"/>
              </w:rPr>
              <w:t>or the use of the proceeds of this offering and the expected borrowing under the debt facilities for the purposes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rPr>
              <w:t>described under “Use of Proceeds”</w:t>
            </w:r>
          </w:p>
        </w:tc>
        <w:tc>
          <w:tcPr>
            <w:tcW w:w="680" w:type="dxa"/>
            <w:vAlign w:val="bottom"/>
          </w:tcPr>
          <w:p>
            <w:pPr>
              <w:jc w:val="right"/>
              <w:ind w:right="516"/>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0" w:type="dxa"/>
            <w:vAlign w:val="bottom"/>
            <w:gridSpan w:val="2"/>
          </w:tcPr>
          <w:p>
            <w:pPr>
              <w:spacing w:after="0"/>
              <w:rPr>
                <w:sz w:val="20"/>
                <w:szCs w:val="20"/>
                <w:color w:val="auto"/>
              </w:rPr>
            </w:pPr>
            <w:r>
              <w:rPr>
                <w:rFonts w:ascii="Arial" w:cs="Arial" w:eastAsia="Arial" w:hAnsi="Arial"/>
                <w:sz w:val="18"/>
                <w:szCs w:val="18"/>
                <w:color w:val="auto"/>
                <w:w w:val="94"/>
              </w:rPr>
              <w:t>Pro forma as adjusted net tangible book value per share of Class A common stock upon completion of this offering and the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3"/>
              </w:rPr>
              <w:t>use of the proceeds of this offering and the expected borrowing under the debt facilities for the purposes described under</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from this offering</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530"/>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3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519"/>
        </w:trPr>
        <w:tc>
          <w:tcPr>
            <w:tcW w:w="5060" w:type="dxa"/>
            <w:vAlign w:val="bottom"/>
            <w:gridSpan w:val="2"/>
          </w:tcPr>
          <w:p>
            <w:pPr>
              <w:ind w:left="660"/>
              <w:spacing w:after="0"/>
              <w:rPr>
                <w:sz w:val="20"/>
                <w:szCs w:val="20"/>
                <w:color w:val="auto"/>
              </w:rPr>
            </w:pPr>
            <w:r>
              <w:rPr>
                <w:rFonts w:ascii="Arial" w:cs="Arial" w:eastAsia="Arial" w:hAnsi="Arial"/>
                <w:sz w:val="18"/>
                <w:szCs w:val="18"/>
                <w:color w:val="auto"/>
                <w:w w:val="97"/>
              </w:rPr>
              <w:t>The above discussion and table exclude an aggregate of</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4"/>
              </w:rPr>
              <w:t>additional shares of our Class A common stock reserved for future awards</w:t>
            </w:r>
          </w:p>
        </w:tc>
      </w:tr>
      <w:tr>
        <w:trPr>
          <w:trHeight w:val="230"/>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pursuant to the 2019 LTIP.</w:t>
            </w:r>
          </w:p>
        </w:tc>
        <w:tc>
          <w:tcPr>
            <w:tcW w:w="11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7"/>
        </w:trPr>
        <w:tc>
          <w:tcPr>
            <w:tcW w:w="6220" w:type="dxa"/>
            <w:vAlign w:val="bottom"/>
            <w:gridSpan w:val="3"/>
          </w:tcPr>
          <w:p>
            <w:pPr>
              <w:ind w:left="660"/>
              <w:spacing w:after="0"/>
              <w:rPr>
                <w:sz w:val="20"/>
                <w:szCs w:val="20"/>
                <w:color w:val="auto"/>
              </w:rPr>
            </w:pPr>
            <w:r>
              <w:rPr>
                <w:rFonts w:ascii="Arial" w:cs="Arial" w:eastAsia="Arial" w:hAnsi="Arial"/>
                <w:sz w:val="18"/>
                <w:szCs w:val="18"/>
                <w:color w:val="auto"/>
                <w:w w:val="91"/>
              </w:rPr>
              <w:t>A $1.00 increase or decrease in the assumed initial public offering price of $</w:t>
            </w:r>
          </w:p>
        </w:tc>
        <w:tc>
          <w:tcPr>
            <w:tcW w:w="4860" w:type="dxa"/>
            <w:vAlign w:val="bottom"/>
            <w:gridSpan w:val="2"/>
          </w:tcPr>
          <w:p>
            <w:pPr>
              <w:ind w:left="280"/>
              <w:spacing w:after="0"/>
              <w:rPr>
                <w:sz w:val="20"/>
                <w:szCs w:val="20"/>
                <w:color w:val="auto"/>
              </w:rPr>
            </w:pPr>
            <w:r>
              <w:rPr>
                <w:rFonts w:ascii="Arial" w:cs="Arial" w:eastAsia="Arial" w:hAnsi="Arial"/>
                <w:sz w:val="18"/>
                <w:szCs w:val="18"/>
                <w:color w:val="auto"/>
                <w:w w:val="89"/>
              </w:rPr>
              <w:t>per share (the midpoint of the estimated offering price range set</w:t>
            </w:r>
          </w:p>
        </w:tc>
      </w:tr>
      <w:tr>
        <w:trPr>
          <w:trHeight w:val="216"/>
        </w:trPr>
        <w:tc>
          <w:tcPr>
            <w:tcW w:w="10600" w:type="dxa"/>
            <w:vAlign w:val="bottom"/>
            <w:gridSpan w:val="4"/>
          </w:tcPr>
          <w:p>
            <w:pPr>
              <w:ind w:left="220"/>
              <w:spacing w:after="0"/>
              <w:rPr>
                <w:sz w:val="20"/>
                <w:szCs w:val="20"/>
                <w:color w:val="auto"/>
              </w:rPr>
            </w:pPr>
            <w:r>
              <w:rPr>
                <w:rFonts w:ascii="Arial" w:cs="Arial" w:eastAsia="Arial" w:hAnsi="Arial"/>
                <w:sz w:val="18"/>
                <w:szCs w:val="18"/>
                <w:color w:val="auto"/>
                <w:w w:val="90"/>
              </w:rPr>
              <w:t>forth on the cover page of this prospectus) would increase or decrease the as adjusted net tangible book value per share after this offering by $</w:t>
            </w:r>
          </w:p>
        </w:tc>
        <w:tc>
          <w:tcPr>
            <w:tcW w:w="480" w:type="dxa"/>
            <w:vAlign w:val="bottom"/>
          </w:tcPr>
          <w:p>
            <w:pPr>
              <w:ind w:left="180"/>
              <w:spacing w:after="0"/>
              <w:rPr>
                <w:sz w:val="20"/>
                <w:szCs w:val="20"/>
                <w:color w:val="auto"/>
              </w:rPr>
            </w:pPr>
            <w:r>
              <w:rPr>
                <w:rFonts w:ascii="Arial" w:cs="Arial" w:eastAsia="Arial" w:hAnsi="Arial"/>
                <w:sz w:val="18"/>
                <w:szCs w:val="18"/>
                <w:color w:val="auto"/>
              </w:rPr>
              <w:t>per</w:t>
            </w:r>
          </w:p>
        </w:tc>
      </w:tr>
      <w:tr>
        <w:trPr>
          <w:trHeight w:val="230"/>
        </w:trPr>
        <w:tc>
          <w:tcPr>
            <w:tcW w:w="6220" w:type="dxa"/>
            <w:vAlign w:val="bottom"/>
            <w:gridSpan w:val="3"/>
          </w:tcPr>
          <w:p>
            <w:pPr>
              <w:ind w:left="220"/>
              <w:spacing w:after="0"/>
              <w:rPr>
                <w:sz w:val="20"/>
                <w:szCs w:val="20"/>
                <w:color w:val="auto"/>
              </w:rPr>
            </w:pPr>
            <w:r>
              <w:rPr>
                <w:rFonts w:ascii="Arial" w:cs="Arial" w:eastAsia="Arial" w:hAnsi="Arial"/>
                <w:sz w:val="18"/>
                <w:szCs w:val="18"/>
                <w:color w:val="auto"/>
                <w:w w:val="93"/>
              </w:rPr>
              <w:t>share and increase or decrease the dilution to new investors in this offering by $</w:t>
            </w:r>
          </w:p>
        </w:tc>
        <w:tc>
          <w:tcPr>
            <w:tcW w:w="4860" w:type="dxa"/>
            <w:vAlign w:val="bottom"/>
            <w:gridSpan w:val="2"/>
          </w:tcPr>
          <w:p>
            <w:pPr>
              <w:ind w:left="80"/>
              <w:spacing w:after="0"/>
              <w:rPr>
                <w:sz w:val="20"/>
                <w:szCs w:val="20"/>
                <w:color w:val="auto"/>
              </w:rPr>
            </w:pPr>
            <w:r>
              <w:rPr>
                <w:rFonts w:ascii="Arial" w:cs="Arial" w:eastAsia="Arial" w:hAnsi="Arial"/>
                <w:sz w:val="18"/>
                <w:szCs w:val="18"/>
                <w:color w:val="auto"/>
                <w:w w:val="89"/>
              </w:rPr>
              <w:t>per share, in each case assuming the number of shares of Class A</w:t>
            </w:r>
          </w:p>
        </w:tc>
      </w:tr>
    </w:tbl>
    <w:p>
      <w:pPr>
        <w:ind w:left="220"/>
        <w:spacing w:after="0" w:line="421" w:lineRule="auto"/>
        <w:rPr>
          <w:sz w:val="20"/>
          <w:szCs w:val="20"/>
          <w:color w:val="auto"/>
        </w:rPr>
      </w:pPr>
      <w:r>
        <w:rPr>
          <w:rFonts w:ascii="Arial" w:cs="Arial" w:eastAsia="Arial" w:hAnsi="Arial"/>
          <w:sz w:val="16"/>
          <w:szCs w:val="16"/>
          <w:color w:val="auto"/>
        </w:rPr>
        <w:t>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in full, the as adjusted net tangible book value per share of our common stock would be $ per share, and the dilution in net tangible book value per share to investors in this offering would be $ per share of Class A common stock.</w:t>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445" w:right="5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220" w:right="20" w:firstLine="440"/>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September 30, 2018 and 2017 and for each of the fiscal years in the three-year period ended September 30, 2018 and as of June 30, 2019 and for the nine months ended June 30, 2019 and 2018.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64"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The selected historical condensed combined financial data as of September 30, 2018 and 2017 and as of each of the fiscal years in the three-year period ended September 30, 2018 have been derived from the audited combined financial statements of Post’s Active Nutrition business. The selected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77" w:lineRule="exact"/>
        <w:rPr>
          <w:sz w:val="20"/>
          <w:szCs w:val="20"/>
          <w:color w:val="auto"/>
        </w:rPr>
      </w:pPr>
    </w:p>
    <w:p>
      <w:pPr>
        <w:ind w:left="220" w:right="200" w:firstLine="440"/>
        <w:spacing w:after="0" w:line="341"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Active Nutrition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6"/>
          </w:tcPr>
          <w:p>
            <w:pPr>
              <w:ind w:left="80"/>
              <w:spacing w:after="0" w:line="119" w:lineRule="exact"/>
              <w:rPr>
                <w:sz w:val="20"/>
                <w:szCs w:val="20"/>
                <w:color w:val="auto"/>
              </w:rPr>
            </w:pPr>
            <w:r>
              <w:rPr>
                <w:rFonts w:ascii="Arial" w:cs="Arial" w:eastAsia="Arial" w:hAnsi="Arial"/>
                <w:sz w:val="13"/>
                <w:szCs w:val="13"/>
                <w:b w:val="1"/>
                <w:bCs w:val="1"/>
                <w:color w:val="auto"/>
              </w:rPr>
              <w:t>Nine Months Ended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639.9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607.6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827.5</w:t>
            </w: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713.2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404.8</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467.4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126.5</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20" w:type="dxa"/>
            <w:vAlign w:val="bottom"/>
            <w:gridSpan w:val="4"/>
          </w:tcPr>
          <w:p>
            <w:pPr>
              <w:jc w:val="right"/>
              <w:ind w:right="1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20"/>
                <w:szCs w:val="2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rPr>
              <w:t>Active Nutrition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4"/>
            <w:vMerge w:val="restart"/>
          </w:tcPr>
          <w:p>
            <w:pPr>
              <w:jc w:val="center"/>
              <w:ind w:left="252"/>
              <w:spacing w:after="0" w:line="14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5"/>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10.9</w:t>
            </w:r>
          </w:p>
        </w:tc>
        <w:tc>
          <w:tcPr>
            <w:tcW w:w="2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491.0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70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55" w:lineRule="exact"/>
        <w:rPr>
          <w:sz w:val="20"/>
          <w:szCs w:val="20"/>
          <w:color w:val="auto"/>
        </w:rPr>
      </w:pPr>
    </w:p>
    <w:p>
      <w:pPr>
        <w:ind w:left="640" w:right="240" w:hanging="430"/>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QUARTERLY FINANCIAL INFORMATION</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Active Nutrition</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Fiscal 2019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Fiscal 2018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Third</w:t>
            </w:r>
          </w:p>
        </w:tc>
        <w:tc>
          <w:tcPr>
            <w:tcW w:w="180" w:type="dxa"/>
            <w:vAlign w:val="bottom"/>
          </w:tcPr>
          <w:p>
            <w:pPr>
              <w:spacing w:after="0"/>
              <w:rPr>
                <w:sz w:val="10"/>
                <w:szCs w:val="10"/>
                <w:color w:val="auto"/>
              </w:rPr>
            </w:pPr>
          </w:p>
        </w:tc>
        <w:tc>
          <w:tcPr>
            <w:tcW w:w="7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Second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First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10"/>
                <w:szCs w:val="10"/>
                <w:color w:val="auto"/>
              </w:rPr>
            </w:pPr>
          </w:p>
        </w:tc>
        <w:tc>
          <w:tcPr>
            <w:tcW w:w="6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0"/>
                <w:szCs w:val="10"/>
                <w:color w:val="auto"/>
              </w:rPr>
            </w:pPr>
          </w:p>
        </w:tc>
        <w:tc>
          <w:tcPr>
            <w:tcW w:w="64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7"/>
              </w:rPr>
              <w:t>Second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12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219.9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Provision for legal settlement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940" w:hanging="5410"/>
        <w:spacing w:after="0" w:line="449" w:lineRule="auto"/>
        <w:tabs>
          <w:tab w:leader="none" w:pos="6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the definition and explanation of usefulness of Adjusted EBITDA. 67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0" w:lineRule="exact"/>
        <w:rPr>
          <w:sz w:val="20"/>
          <w:szCs w:val="20"/>
          <w:color w:val="auto"/>
        </w:rPr>
      </w:pPr>
    </w:p>
    <w:p>
      <w:pPr>
        <w:ind w:left="1080" w:right="80" w:hanging="347"/>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3" w:lineRule="exact"/>
        <w:rPr>
          <w:rFonts w:ascii="Arial" w:cs="Arial" w:eastAsia="Arial" w:hAnsi="Arial"/>
          <w:sz w:val="16"/>
          <w:szCs w:val="16"/>
          <w:color w:val="auto"/>
        </w:rPr>
      </w:pPr>
    </w:p>
    <w:p>
      <w:pPr>
        <w:ind w:left="1080" w:right="80" w:hanging="357"/>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Restructuring and plant closure costs</w:t>
      </w:r>
      <w:r>
        <w:rPr>
          <w:rFonts w:ascii="Arial" w:cs="Arial" w:eastAsia="Arial" w:hAnsi="Arial"/>
          <w:sz w:val="18"/>
          <w:szCs w:val="18"/>
          <w:color w:val="auto"/>
        </w:rPr>
        <w:t>: We have excluded certain costs associated with facility closures as the amount and frequency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1" w:lineRule="exact"/>
        <w:rPr>
          <w:rFonts w:ascii="Arial" w:cs="Arial" w:eastAsia="Arial" w:hAnsi="Arial"/>
          <w:sz w:val="18"/>
          <w:szCs w:val="18"/>
          <w:color w:val="auto"/>
        </w:rPr>
      </w:pPr>
    </w:p>
    <w:p>
      <w:pPr>
        <w:ind w:left="1080" w:hanging="347"/>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1" w:lineRule="exact"/>
        <w:rPr>
          <w:rFonts w:ascii="Arial" w:cs="Arial" w:eastAsia="Arial" w:hAnsi="Arial"/>
          <w:sz w:val="18"/>
          <w:szCs w:val="18"/>
          <w:color w:val="auto"/>
        </w:rPr>
      </w:pPr>
    </w:p>
    <w:p>
      <w:pPr>
        <w:ind w:left="1080" w:right="40" w:hanging="357"/>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8" w:lineRule="exact"/>
        <w:rPr>
          <w:rFonts w:ascii="Arial" w:cs="Arial" w:eastAsia="Arial" w:hAnsi="Arial"/>
          <w:sz w:val="18"/>
          <w:szCs w:val="18"/>
          <w:color w:val="auto"/>
        </w:rPr>
      </w:pPr>
    </w:p>
    <w:p>
      <w:pPr>
        <w:ind w:left="1080" w:right="180" w:hanging="347"/>
        <w:spacing w:after="0" w:line="30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61" w:lineRule="exact"/>
        <w:rPr>
          <w:rFonts w:ascii="Arial" w:cs="Arial" w:eastAsia="Arial" w:hAnsi="Arial"/>
          <w:sz w:val="16"/>
          <w:szCs w:val="16"/>
          <w:color w:val="auto"/>
        </w:rPr>
      </w:pPr>
    </w:p>
    <w:p>
      <w:pPr>
        <w:ind w:left="1080" w:right="560" w:hanging="327"/>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tables below, as we believe that our GAAP effective income tax rate as reported is not representative of the income tax expense impact of the adjustments.</w:t>
      </w:r>
    </w:p>
    <w:p>
      <w:pPr>
        <w:spacing w:after="0" w:line="88" w:lineRule="exact"/>
        <w:rPr>
          <w:rFonts w:ascii="Arial" w:cs="Arial" w:eastAsia="Arial" w:hAnsi="Arial"/>
          <w:sz w:val="18"/>
          <w:szCs w:val="18"/>
          <w:color w:val="auto"/>
        </w:rPr>
      </w:pPr>
    </w:p>
    <w:p>
      <w:pPr>
        <w:ind w:left="1080" w:right="80" w:hanging="357"/>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firstLine="7"/>
        <w:spacing w:after="0" w:line="263" w:lineRule="auto"/>
        <w:tabs>
          <w:tab w:leader="none" w:pos="13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our operating performance to other periods.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1"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8" w:lineRule="exact"/>
        <w:rPr>
          <w:sz w:val="20"/>
          <w:szCs w:val="20"/>
          <w:color w:val="auto"/>
        </w:rPr>
      </w:pPr>
    </w:p>
    <w:p>
      <w:pPr>
        <w:ind w:left="1080" w:right="40" w:hanging="357"/>
        <w:spacing w:after="0" w:line="275"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Non-cash stock-based compensation</w:t>
      </w:r>
      <w:r>
        <w:rPr>
          <w:rFonts w:ascii="Arial" w:cs="Arial" w:eastAsia="Arial" w:hAnsi="Arial"/>
          <w:sz w:val="17"/>
          <w:szCs w:val="17"/>
          <w:color w:val="auto"/>
        </w:rPr>
        <w:t>: Our compensation strategy has included the use of Post stock-based compensation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our operating performance to other periods.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Active Nutrition</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5"/>
          </w:tcPr>
          <w:p>
            <w:pPr>
              <w:jc w:val="right"/>
              <w:ind w:right="320"/>
              <w:spacing w:after="0" w:line="119" w:lineRule="exact"/>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Separation costs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Provision for legal settlement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Net Adjustments</w:t>
            </w:r>
          </w:p>
        </w:tc>
        <w:tc>
          <w:tcPr>
            <w:tcW w:w="2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0" w:type="dxa"/>
            <w:vAlign w:val="bottom"/>
            <w:gridSpan w:val="2"/>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Separation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Assets held for sale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70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hanging="430"/>
        <w:spacing w:after="0" w:line="291" w:lineRule="auto"/>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nine months ended June 30, 2019, income tax effect on adjustments was calculated using a rate of 23.8%, the sum of the Company’s fiscal 2019 U.S. federal corporate income tax rate plus its blended state income tax rate net of federal deductions. For the nine months ended June 30, 2018 and the year ended September 30, 2018, income tax effect on adjustments was calculated using a rate of 27.2%, the sum of the Company’s fiscal 2018 blended U.S. federal corporate income tax rate plus its blended state income tax rate. For the year ended September 30, 2017, income tax effect on adjustments was calculated using a rate of 37.7%, the sum of the Company’s fiscal 2017 U.S. federal corporate income tax rate plus its blended state income tax rate. For the year ended September 30, 2016, income tax effect on adjustments was calculated using a rate of 37.3%, the sum of the Company’s fiscal 2016 U.S. federal corporate income tax rate plus its blended state income tax rate.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following unaudited pro forma condensed consolidated balance sheet and statements of operations have been prepared to reflect (i) the</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formation transactions described in “Prospectus Summary—Formation Transactions,” including the issuance of one share of our Class B common stock</w:t>
      </w:r>
    </w:p>
    <w:p>
      <w:pPr>
        <w:spacing w:after="0" w:line="32" w:lineRule="exact"/>
        <w:rPr>
          <w:sz w:val="20"/>
          <w:szCs w:val="20"/>
          <w:color w:val="auto"/>
        </w:rPr>
      </w:pPr>
    </w:p>
    <w:p>
      <w:pPr>
        <w:ind w:left="220"/>
        <w:spacing w:after="0" w:line="268" w:lineRule="auto"/>
        <w:rPr>
          <w:sz w:val="20"/>
          <w:szCs w:val="20"/>
          <w:color w:val="auto"/>
        </w:rPr>
      </w:pPr>
      <w:r>
        <w:rPr>
          <w:rFonts w:ascii="Arial" w:cs="Arial" w:eastAsia="Arial" w:hAnsi="Arial"/>
          <w:sz w:val="17"/>
          <w:szCs w:val="17"/>
          <w:color w:val="auto"/>
        </w:rPr>
        <w:t>and BellRing Brands, LLC Units to Post; (ii) the sale of shares of our Class A common stock in this offering, at an assumed initial public offering price of $ per share (which is the midpoint of the estimated offering price range set forth on the cover page of this prospectus) and assuming no exercise by the underwriters of their over-allotment option to purchase additional shares of our Class A common stock; and (iii) the entry of BellRing Brands, LLC into the debt facilities, its borrowing under the term loan facility and the revolving credit facility and the application of the net proceeds of this offering and the debt facilities to repay in full the Post bridge loan and all interest thereunder and for the other purposes described under “Use of Proceeds.” The unaudited pro forma condensed consolidated balance sheet at June 30, 2019 is presented as if each of these events had occurred at June 30, 2019. The unaudited pro forma condensed consolidated statements of operations for the year ended September 30, 2018 and the nine months ended June 30, 2019 are presented as if each of these events had occurred on October 1, 2017.</w:t>
      </w:r>
    </w:p>
    <w:p>
      <w:pPr>
        <w:spacing w:after="0" w:line="182" w:lineRule="exact"/>
        <w:rPr>
          <w:sz w:val="20"/>
          <w:szCs w:val="20"/>
          <w:color w:val="auto"/>
        </w:rPr>
      </w:pPr>
    </w:p>
    <w:p>
      <w:pPr>
        <w:ind w:left="220" w:right="40" w:firstLine="440"/>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June 30,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4"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85" w:lineRule="auto"/>
        <w:rPr>
          <w:sz w:val="20"/>
          <w:szCs w:val="20"/>
          <w:color w:val="auto"/>
        </w:rPr>
      </w:pPr>
      <w:r>
        <w:rPr>
          <w:rFonts w:ascii="Arial" w:cs="Arial" w:eastAsia="Arial" w:hAnsi="Arial"/>
          <w:sz w:val="16"/>
          <w:szCs w:val="16"/>
          <w:color w:val="auto"/>
        </w:rPr>
        <w:t>consequences that it could incur as a result, particularly in light of the availability of more tax-efficient exit alternatives—including tax-free “spin-off” or “split-off” transactions (which are not expected to result in adjustments to the tax basis of the assets of BellRing 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w:t>
      </w:r>
    </w:p>
    <w:p>
      <w:pPr>
        <w:spacing w:after="0" w:line="1" w:lineRule="exact"/>
        <w:rPr>
          <w:sz w:val="20"/>
          <w:szCs w:val="20"/>
          <w:color w:val="auto"/>
        </w:rPr>
      </w:pPr>
    </w:p>
    <w:p>
      <w:pPr>
        <w:ind w:left="220" w:right="80"/>
        <w:spacing w:after="0" w:line="33" w:lineRule="auto"/>
        <w:rPr>
          <w:sz w:val="20"/>
          <w:szCs w:val="20"/>
          <w:color w:val="auto"/>
        </w:rPr>
      </w:pPr>
      <w:r>
        <w:rPr>
          <w:rFonts w:ascii="Arial" w:cs="Arial" w:eastAsia="Arial" w:hAnsi="Arial"/>
          <w:sz w:val="1"/>
          <w:szCs w:val="1"/>
          <w:color w:val="auto"/>
        </w:rPr>
        <w:t>recognize a deferred tax asset of approximately $ million and a liability of approximately $ million, assuming (i) all redemptions occurred immediately after this offering; (ii) a price of $ per share (the midpoint of the estimated offering price range set forth on the cover page of this prospectus); (iii) a constant corporate tax rate of %; (iv) we will have sufficient taxable income to fully utilize the tax benefits; and (v) no material changes in tax law. For each 5% increase (decrease) in the amount of BellRing Brands, LLC Units redeemed by Post (and its transferees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line="269" w:lineRule="auto"/>
        <w:rPr>
          <w:sz w:val="20"/>
          <w:szCs w:val="20"/>
          <w:color w:val="auto"/>
        </w:rPr>
      </w:pPr>
      <w:r>
        <w:rPr>
          <w:rFonts w:ascii="Arial" w:cs="Arial" w:eastAsia="Arial" w:hAnsi="Arial"/>
          <w:sz w:val="17"/>
          <w:szCs w:val="17"/>
          <w:color w:val="auto"/>
        </w:rPr>
        <w:t>assignees), our deferred tax asset would increase (decrease) by approximately $ million and the related liability would increase (decrease) by approximately $ million, assuming that the price per share and corporate tax rate remain the same. For each $1.00 increase (decrease) in the assumed share price of $ per share (the midpoint of the estimated offering price range set forth on the cover page of this prospectus), our deferred tax asset would increase (decrease) by approximately $ million and the related liability would increase (decrease) by approximately $</w:t>
      </w:r>
    </w:p>
    <w:p>
      <w:pPr>
        <w:spacing w:after="0" w:line="1"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color w:val="auto"/>
        </w:rPr>
        <w:t>million, assuming that the number of BellRing Brands, LLC Units redeemed by Post (and its transferees and assignees) and the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92" w:lineRule="exact"/>
        <w:rPr>
          <w:sz w:val="20"/>
          <w:szCs w:val="20"/>
          <w:color w:val="auto"/>
        </w:rPr>
      </w:pPr>
    </w:p>
    <w:p>
      <w:pPr>
        <w:ind w:left="220" w:right="20" w:firstLine="440"/>
        <w:spacing w:after="0" w:line="283"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spin-off to its shareholders),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The present value of such tax benefit payments are discounted at a rate equal to the lesser of (i)</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6.50% per annum, compounded annually and (ii) LIBOR plus 300 basis points. If we were to elect to terminate the tax receivable agreement</w:t>
      </w:r>
    </w:p>
    <w:p>
      <w:pPr>
        <w:spacing w:after="0" w:line="20" w:lineRule="exact"/>
        <w:rPr>
          <w:sz w:val="20"/>
          <w:szCs w:val="20"/>
          <w:color w:val="auto"/>
        </w:rPr>
      </w:pPr>
    </w:p>
    <w:p>
      <w:pPr>
        <w:ind w:left="220" w:right="100"/>
        <w:spacing w:after="0" w:line="252" w:lineRule="auto"/>
        <w:rPr>
          <w:sz w:val="20"/>
          <w:szCs w:val="20"/>
          <w:color w:val="auto"/>
        </w:rPr>
      </w:pPr>
      <w:r>
        <w:rPr>
          <w:rFonts w:ascii="Arial" w:cs="Arial" w:eastAsia="Arial" w:hAnsi="Arial"/>
          <w:sz w:val="18"/>
          <w:szCs w:val="18"/>
          <w:color w:val="auto"/>
        </w:rPr>
        <w:t>immediately after this offering, based on the assumed initial public offering price of $ per share of our Class A common stock (the midpoint of the estimated offering price range set forth on the cover page of this prospectus), we estimate that we would be required to pay approximately $ million in the aggregate 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94" w:lineRule="exact"/>
        <w:rPr>
          <w:sz w:val="20"/>
          <w:szCs w:val="20"/>
          <w:color w:val="auto"/>
        </w:rPr>
      </w:pPr>
    </w:p>
    <w:p>
      <w:pPr>
        <w:ind w:left="220" w:right="80" w:firstLine="440"/>
        <w:spacing w:after="0" w:line="279" w:lineRule="auto"/>
        <w:rPr>
          <w:sz w:val="20"/>
          <w:szCs w:val="20"/>
          <w:color w:val="auto"/>
        </w:rPr>
      </w:pPr>
      <w:r>
        <w:rPr>
          <w:rFonts w:ascii="Arial" w:cs="Arial" w:eastAsia="Arial" w:hAnsi="Arial"/>
          <w:sz w:val="17"/>
          <w:szCs w:val="17"/>
          <w:color w:val="auto"/>
        </w:rPr>
        <w:t>Following this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1180" w:right="140" w:hanging="414"/>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audited combined financial statements and the notes thereto of Post’s Active Nutrition business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1180" w:hanging="424"/>
        <w:spacing w:after="0" w:line="307"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unaudited condensed combined financial statements and the notes thereto of Post’s Active Nutrition business as of June 30, 2019 and September 30, 2018 and for the nine months ended June 30, 2019 and 2018 included in this prospectus; and</w:t>
      </w:r>
    </w:p>
    <w:p>
      <w:pPr>
        <w:spacing w:after="0" w:line="52" w:lineRule="exact"/>
        <w:rPr>
          <w:rFonts w:ascii="Arial" w:cs="Arial" w:eastAsia="Arial" w:hAnsi="Arial"/>
          <w:sz w:val="17"/>
          <w:szCs w:val="17"/>
          <w:color w:val="auto"/>
        </w:rPr>
      </w:pPr>
    </w:p>
    <w:p>
      <w:pPr>
        <w:ind w:left="1180" w:hanging="41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240" w:top="459" w:right="5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2019</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100" w:type="dxa"/>
            <w:vAlign w:val="bottom"/>
          </w:tcPr>
          <w:p>
            <w:pPr>
              <w:spacing w:after="0"/>
              <w:rPr>
                <w:sz w:val="14"/>
                <w:szCs w:val="14"/>
                <w:color w:val="auto"/>
              </w:rPr>
            </w:pPr>
          </w:p>
        </w:tc>
        <w:tc>
          <w:tcPr>
            <w:tcW w:w="1940" w:type="dxa"/>
            <w:vAlign w:val="bottom"/>
            <w:gridSpan w:val="2"/>
            <w:vMerge w:val="restart"/>
          </w:tcPr>
          <w:p>
            <w:pPr>
              <w:jc w:val="right"/>
              <w:ind w:right="1164"/>
              <w:spacing w:after="0"/>
              <w:rPr>
                <w:sz w:val="20"/>
                <w:szCs w:val="20"/>
                <w:color w:val="auto"/>
              </w:rPr>
            </w:pPr>
            <w:r>
              <w:rPr>
                <w:rFonts w:ascii="Arial" w:cs="Arial" w:eastAsia="Arial" w:hAnsi="Arial"/>
                <w:sz w:val="14"/>
                <w:szCs w:val="14"/>
                <w:b w:val="1"/>
                <w:bCs w:val="1"/>
                <w:color w:val="auto"/>
                <w:w w:val="97"/>
              </w:rPr>
              <w:t>Pro Forma</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Historical</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0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70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spacing w:after="0"/>
              <w:rPr>
                <w:sz w:val="18"/>
                <w:szCs w:val="18"/>
                <w:color w:val="auto"/>
              </w:rPr>
            </w:pPr>
          </w:p>
        </w:tc>
        <w:tc>
          <w:tcPr>
            <w:tcW w:w="202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504"/>
              <w:spacing w:after="0"/>
              <w:rPr>
                <w:sz w:val="20"/>
                <w:szCs w:val="20"/>
                <w:color w:val="auto"/>
              </w:rPr>
            </w:pPr>
            <w:r>
              <w:rPr>
                <w:rFonts w:ascii="Arial" w:cs="Arial" w:eastAsia="Arial" w:hAnsi="Arial"/>
                <w:sz w:val="18"/>
                <w:szCs w:val="18"/>
                <w:color w:val="auto"/>
              </w:rPr>
              <w:t>6.6</w:t>
            </w:r>
            <w:r>
              <w:rPr>
                <w:rFonts w:ascii="Arial" w:cs="Arial" w:eastAsia="Arial" w:hAnsi="Arial"/>
                <w:sz w:val="15"/>
                <w:szCs w:val="15"/>
                <w:color w:val="auto"/>
              </w:rPr>
              <w:t>(b)(c)(d)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194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ind w:left="1060"/>
              <w:spacing w:after="0"/>
              <w:rPr>
                <w:sz w:val="20"/>
                <w:szCs w:val="20"/>
                <w:color w:val="auto"/>
              </w:rPr>
            </w:pPr>
            <w:r>
              <w:rPr>
                <w:rFonts w:ascii="Arial" w:cs="Arial" w:eastAsia="Arial" w:hAnsi="Arial"/>
                <w:sz w:val="18"/>
                <w:szCs w:val="18"/>
                <w:color w:val="auto"/>
              </w:rPr>
              <w:t>Total Current Assets</w:t>
            </w:r>
          </w:p>
        </w:tc>
        <w:tc>
          <w:tcPr>
            <w:tcW w:w="1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94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940" w:type="dxa"/>
            <w:vAlign w:val="bottom"/>
            <w:gridSpan w:val="2"/>
          </w:tcPr>
          <w:p>
            <w:pPr>
              <w:jc w:val="right"/>
              <w:ind w:right="864"/>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(b)</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8.2</w:t>
            </w:r>
            <w:r>
              <w:rPr>
                <w:rFonts w:ascii="Arial" w:cs="Arial" w:eastAsia="Arial" w:hAnsi="Arial"/>
                <w:sz w:val="15"/>
                <w:szCs w:val="15"/>
                <w:color w:val="auto"/>
              </w:rPr>
              <w:t>(b)</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194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Other current liabilities</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3440" w:type="dxa"/>
            <w:vAlign w:val="bottom"/>
            <w:gridSpan w:val="2"/>
          </w:tcPr>
          <w:p>
            <w:pPr>
              <w:ind w:left="1060"/>
              <w:spacing w:after="0"/>
              <w:rPr>
                <w:sz w:val="20"/>
                <w:szCs w:val="20"/>
                <w:color w:val="auto"/>
              </w:rPr>
            </w:pPr>
            <w:r>
              <w:rPr>
                <w:rFonts w:ascii="Arial" w:cs="Arial" w:eastAsia="Arial" w:hAnsi="Arial"/>
                <w:sz w:val="18"/>
                <w:szCs w:val="18"/>
                <w:color w:val="auto"/>
              </w:rPr>
              <w:t>Total Current Liabilities</w:t>
            </w:r>
          </w:p>
        </w:tc>
        <w:tc>
          <w:tcPr>
            <w:tcW w:w="1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812.5</w:t>
            </w:r>
            <w:r>
              <w:rPr>
                <w:rFonts w:ascii="Arial" w:cs="Arial" w:eastAsia="Arial" w:hAnsi="Arial"/>
                <w:sz w:val="15"/>
                <w:szCs w:val="15"/>
                <w:color w:val="auto"/>
              </w:rPr>
              <w:t>(b)</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ind w:right="864"/>
              <w:spacing w:after="0"/>
              <w:rPr>
                <w:sz w:val="20"/>
                <w:szCs w:val="20"/>
                <w:color w:val="auto"/>
              </w:rPr>
            </w:pPr>
            <w:r>
              <w:rPr>
                <w:rFonts w:ascii="Arial" w:cs="Arial" w:eastAsia="Arial" w:hAnsi="Arial"/>
                <w:sz w:val="15"/>
                <w:szCs w:val="15"/>
                <w:color w:val="auto"/>
                <w:w w:val="87"/>
              </w:rPr>
              <w:t>(e)</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r>
              <w:rPr>
                <w:rFonts w:ascii="Arial" w:cs="Arial" w:eastAsia="Arial" w:hAnsi="Arial"/>
                <w:sz w:val="15"/>
                <w:szCs w:val="15"/>
                <w:color w:val="auto"/>
              </w:rPr>
              <w:t>(f)</w:t>
            </w: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ind w:right="864"/>
              <w:spacing w:after="0"/>
              <w:rPr>
                <w:sz w:val="20"/>
                <w:szCs w:val="20"/>
                <w:color w:val="auto"/>
              </w:rPr>
            </w:pPr>
            <w:r>
              <w:rPr>
                <w:rFonts w:ascii="Arial" w:cs="Arial" w:eastAsia="Arial" w:hAnsi="Arial"/>
                <w:sz w:val="15"/>
                <w:szCs w:val="15"/>
                <w:color w:val="auto"/>
                <w:w w:val="87"/>
              </w:rPr>
              <w:t>(a)</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70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5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Class A, par value $0.01 per share; actual:</w:t>
            </w:r>
          </w:p>
        </w:tc>
        <w:tc>
          <w:tcPr>
            <w:tcW w:w="2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authorized,</w:t>
            </w:r>
          </w:p>
        </w:tc>
        <w:tc>
          <w:tcPr>
            <w:tcW w:w="2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 issued and</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outstanding; as adjusted:</w:t>
            </w: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authorized,</w:t>
            </w:r>
          </w:p>
        </w:tc>
        <w:tc>
          <w:tcPr>
            <w:tcW w:w="2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 issued and</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w:t>
            </w:r>
          </w:p>
        </w:tc>
        <w:tc>
          <w:tcPr>
            <w:tcW w:w="10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w w:val="91"/>
              </w:rPr>
              <w:t>(c)</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50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Class B, par value $0.01 per share; actual:</w:t>
            </w:r>
          </w:p>
        </w:tc>
        <w:tc>
          <w:tcPr>
            <w:tcW w:w="20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shares</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880"/>
              <w:spacing w:after="0"/>
              <w:rPr>
                <w:sz w:val="20"/>
                <w:szCs w:val="20"/>
                <w:color w:val="auto"/>
              </w:rPr>
            </w:pPr>
            <w:r>
              <w:rPr>
                <w:rFonts w:ascii="Arial" w:cs="Arial" w:eastAsia="Arial" w:hAnsi="Arial"/>
                <w:sz w:val="18"/>
                <w:szCs w:val="18"/>
                <w:color w:val="auto"/>
              </w:rPr>
              <w:t>authorized,</w:t>
            </w: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shares issued and</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shares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880"/>
              <w:spacing w:after="0"/>
              <w:rPr>
                <w:sz w:val="20"/>
                <w:szCs w:val="20"/>
                <w:color w:val="auto"/>
              </w:rPr>
            </w:pPr>
            <w:r>
              <w:rPr>
                <w:rFonts w:ascii="Arial" w:cs="Arial" w:eastAsia="Arial" w:hAnsi="Arial"/>
                <w:sz w:val="18"/>
                <w:szCs w:val="18"/>
                <w:color w:val="auto"/>
              </w:rPr>
              <w:t>outstanding; as adjusted:</w:t>
            </w:r>
          </w:p>
        </w:tc>
        <w:tc>
          <w:tcPr>
            <w:tcW w:w="1060" w:type="dxa"/>
            <w:vAlign w:val="bottom"/>
          </w:tcPr>
          <w:p>
            <w:pPr>
              <w:ind w:left="40"/>
              <w:spacing w:after="0"/>
              <w:rPr>
                <w:sz w:val="20"/>
                <w:szCs w:val="20"/>
                <w:color w:val="auto"/>
              </w:rPr>
            </w:pPr>
            <w:r>
              <w:rPr>
                <w:rFonts w:ascii="Arial" w:cs="Arial" w:eastAsia="Arial" w:hAnsi="Arial"/>
                <w:sz w:val="18"/>
                <w:szCs w:val="18"/>
                <w:color w:val="auto"/>
              </w:rPr>
              <w:t>shares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880"/>
              <w:spacing w:after="0"/>
              <w:rPr>
                <w:sz w:val="20"/>
                <w:szCs w:val="20"/>
                <w:color w:val="auto"/>
              </w:rPr>
            </w:pPr>
            <w:r>
              <w:rPr>
                <w:rFonts w:ascii="Arial" w:cs="Arial" w:eastAsia="Arial" w:hAnsi="Arial"/>
                <w:sz w:val="18"/>
                <w:szCs w:val="18"/>
                <w:color w:val="auto"/>
              </w:rPr>
              <w:t>authorized,</w:t>
            </w: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shares issued and</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shares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880"/>
              <w:spacing w:after="0"/>
              <w:rPr>
                <w:sz w:val="20"/>
                <w:szCs w:val="20"/>
                <w:color w:val="auto"/>
              </w:rPr>
            </w:pPr>
            <w:r>
              <w:rPr>
                <w:rFonts w:ascii="Arial" w:cs="Arial" w:eastAsia="Arial" w:hAnsi="Arial"/>
                <w:sz w:val="18"/>
                <w:szCs w:val="18"/>
                <w:color w:val="auto"/>
              </w:rPr>
              <w:t>outstanding</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ind w:right="864"/>
              <w:spacing w:after="0"/>
              <w:rPr>
                <w:sz w:val="20"/>
                <w:szCs w:val="20"/>
                <w:color w:val="auto"/>
              </w:rPr>
            </w:pPr>
            <w:r>
              <w:rPr>
                <w:rFonts w:ascii="Arial" w:cs="Arial" w:eastAsia="Arial" w:hAnsi="Arial"/>
                <w:sz w:val="15"/>
                <w:szCs w:val="15"/>
                <w:color w:val="auto"/>
                <w:w w:val="87"/>
              </w:rPr>
              <w:t>(a)</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4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Preferred stock, par value $0.01 per share;</w:t>
            </w:r>
          </w:p>
        </w:tc>
        <w:tc>
          <w:tcPr>
            <w:tcW w:w="3080" w:type="dxa"/>
            <w:vAlign w:val="bottom"/>
            <w:gridSpan w:val="3"/>
            <w:shd w:val="clear" w:color="auto" w:fill="CCEEFF"/>
          </w:tcPr>
          <w:p>
            <w:pPr>
              <w:ind w:left="760"/>
              <w:spacing w:after="0" w:line="201" w:lineRule="exact"/>
              <w:rPr>
                <w:sz w:val="20"/>
                <w:szCs w:val="20"/>
                <w:color w:val="auto"/>
              </w:rPr>
            </w:pPr>
            <w:r>
              <w:rPr>
                <w:rFonts w:ascii="Arial" w:cs="Arial" w:eastAsia="Arial" w:hAnsi="Arial"/>
                <w:sz w:val="18"/>
                <w:szCs w:val="18"/>
                <w:color w:val="auto"/>
              </w:rPr>
              <w:t>shares authorized, no</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5"/>
              </w:rPr>
              <w:t>shares issued and outstanding actual and pro forma</w:t>
            </w:r>
          </w:p>
        </w:tc>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jc w:val="right"/>
              <w:ind w:right="864"/>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(492.8)</w:t>
            </w:r>
            <w:r>
              <w:rPr>
                <w:rFonts w:ascii="Arial" w:cs="Arial" w:eastAsia="Arial" w:hAnsi="Arial"/>
                <w:sz w:val="15"/>
                <w:szCs w:val="15"/>
                <w:color w:val="auto"/>
              </w:rPr>
              <w:t>(c)</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ind w:left="360"/>
              <w:spacing w:after="0"/>
              <w:rPr>
                <w:sz w:val="20"/>
                <w:szCs w:val="20"/>
                <w:color w:val="auto"/>
              </w:rPr>
            </w:pPr>
            <w:r>
              <w:rPr>
                <w:rFonts w:ascii="Arial" w:cs="Arial" w:eastAsia="Arial" w:hAnsi="Arial"/>
                <w:sz w:val="18"/>
                <w:szCs w:val="18"/>
                <w:color w:val="auto"/>
                <w:w w:val="97"/>
              </w:rPr>
              <w:t>Accumulated other comprehensive loss</w:t>
            </w: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94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(320.2)</w:t>
            </w:r>
            <w:r>
              <w:rPr>
                <w:rFonts w:ascii="Arial" w:cs="Arial" w:eastAsia="Arial" w:hAnsi="Arial"/>
                <w:sz w:val="15"/>
                <w:szCs w:val="15"/>
                <w:color w:val="auto"/>
              </w:rPr>
              <w:t>(b)(c)</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060"/>
              <w:spacing w:after="0"/>
              <w:rPr>
                <w:sz w:val="20"/>
                <w:szCs w:val="20"/>
                <w:color w:val="auto"/>
              </w:rPr>
            </w:pPr>
            <w:r>
              <w:rPr>
                <w:rFonts w:ascii="Arial" w:cs="Arial" w:eastAsia="Arial" w:hAnsi="Arial"/>
                <w:sz w:val="18"/>
                <w:szCs w:val="18"/>
                <w:color w:val="auto"/>
              </w:rPr>
              <w:t>Total Stockholders’ Equity</w:t>
            </w:r>
          </w:p>
        </w:tc>
        <w:tc>
          <w:tcPr>
            <w:tcW w:w="1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(813.0)</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w w:val="94"/>
              </w:rPr>
              <w:t>Total Liabilities and Stockholders’ Equity</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44"/>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JUNE 30, 2019</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7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Active Nutrition</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33.7</w:t>
            </w: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00" w:type="dxa"/>
            <w:vAlign w:val="bottom"/>
          </w:tcPr>
          <w:p>
            <w:pPr>
              <w:spacing w:after="0"/>
              <w:rPr>
                <w:sz w:val="24"/>
                <w:szCs w:val="24"/>
                <w:color w:val="auto"/>
              </w:rPr>
            </w:pPr>
          </w:p>
        </w:tc>
      </w:tr>
      <w:tr>
        <w:trPr>
          <w:trHeight w:val="364"/>
        </w:trPr>
        <w:tc>
          <w:tcPr>
            <w:tcW w:w="1680" w:type="dxa"/>
            <w:vAlign w:val="bottom"/>
          </w:tcPr>
          <w:p>
            <w:pPr>
              <w:spacing w:after="0"/>
              <w:rPr>
                <w:sz w:val="24"/>
                <w:szCs w:val="24"/>
                <w:color w:val="auto"/>
              </w:rPr>
            </w:pPr>
          </w:p>
        </w:tc>
        <w:tc>
          <w:tcPr>
            <w:tcW w:w="8620" w:type="dxa"/>
            <w:vAlign w:val="bottom"/>
          </w:tcPr>
          <w:p>
            <w:pPr>
              <w:jc w:val="right"/>
              <w:ind w:right="4630"/>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Active Nutrition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5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45.1</w:t>
            </w:r>
            <w:r>
              <w:rPr>
                <w:rFonts w:ascii="Arial" w:cs="Arial" w:eastAsia="Arial" w:hAnsi="Arial"/>
                <w:sz w:val="15"/>
                <w:szCs w:val="15"/>
                <w:color w:val="auto"/>
              </w:rPr>
              <w:t>(b)</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(a)</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00" w:type="dxa"/>
            <w:vAlign w:val="bottom"/>
          </w:tcPr>
          <w:p>
            <w:pPr>
              <w:spacing w:after="0"/>
              <w:rPr>
                <w:sz w:val="24"/>
                <w:szCs w:val="24"/>
                <w:color w:val="auto"/>
              </w:rPr>
            </w:pPr>
          </w:p>
        </w:tc>
      </w:tr>
      <w:tr>
        <w:trPr>
          <w:trHeight w:val="364"/>
        </w:trPr>
        <w:tc>
          <w:tcPr>
            <w:tcW w:w="1680" w:type="dxa"/>
            <w:vAlign w:val="bottom"/>
          </w:tcPr>
          <w:p>
            <w:pPr>
              <w:spacing w:after="0"/>
              <w:rPr>
                <w:sz w:val="24"/>
                <w:szCs w:val="24"/>
                <w:color w:val="auto"/>
              </w:rPr>
            </w:pPr>
          </w:p>
        </w:tc>
        <w:tc>
          <w:tcPr>
            <w:tcW w:w="8620" w:type="dxa"/>
            <w:vAlign w:val="bottom"/>
          </w:tcPr>
          <w:p>
            <w:pPr>
              <w:jc w:val="right"/>
              <w:ind w:right="4630"/>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93" w:lineRule="exact"/>
        <w:rPr>
          <w:sz w:val="20"/>
          <w:szCs w:val="20"/>
          <w:color w:val="auto"/>
        </w:rPr>
      </w:pPr>
    </w:p>
    <w:p>
      <w:pPr>
        <w:ind w:left="220" w:right="560" w:firstLine="440"/>
        <w:spacing w:after="0" w:line="307"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3" w:lineRule="exact"/>
        <w:rPr>
          <w:sz w:val="20"/>
          <w:szCs w:val="20"/>
          <w:color w:val="auto"/>
        </w:rPr>
      </w:pPr>
    </w:p>
    <w:p>
      <w:pPr>
        <w:ind w:left="1180" w:hanging="538"/>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1" w:lineRule="exact"/>
        <w:rPr>
          <w:rFonts w:ascii="Arial" w:cs="Arial" w:eastAsia="Arial" w:hAnsi="Arial"/>
          <w:sz w:val="17"/>
          <w:szCs w:val="17"/>
          <w:color w:val="auto"/>
        </w:rPr>
      </w:pPr>
    </w:p>
    <w:p>
      <w:pPr>
        <w:ind w:left="1180" w:right="320" w:hanging="538"/>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240"/>
              <w:spacing w:after="0"/>
              <w:rPr>
                <w:sz w:val="20"/>
                <w:szCs w:val="20"/>
                <w:color w:val="auto"/>
              </w:rPr>
            </w:pPr>
            <w:r>
              <w:rPr>
                <w:rFonts w:ascii="Arial" w:cs="Arial" w:eastAsia="Arial" w:hAnsi="Arial"/>
                <w:sz w:val="18"/>
                <w:szCs w:val="18"/>
                <w:color w:val="auto"/>
              </w:rPr>
              <w:t>Post will hold</w:t>
            </w:r>
          </w:p>
        </w:tc>
        <w:tc>
          <w:tcPr>
            <w:tcW w:w="8620" w:type="dxa"/>
            <w:vAlign w:val="bottom"/>
            <w:gridSpan w:val="3"/>
          </w:tcPr>
          <w:p>
            <w:pPr>
              <w:ind w:left="360"/>
              <w:spacing w:after="0"/>
              <w:rPr>
                <w:sz w:val="20"/>
                <w:szCs w:val="20"/>
                <w:color w:val="auto"/>
              </w:rPr>
            </w:pPr>
            <w:r>
              <w:rPr>
                <w:rFonts w:ascii="Arial" w:cs="Arial" w:eastAsia="Arial" w:hAnsi="Arial"/>
                <w:sz w:val="18"/>
                <w:szCs w:val="18"/>
                <w:color w:val="auto"/>
                <w:w w:val="95"/>
              </w:rPr>
              <w:t>BellRing Brands, LLC Units, which will represent   % of the economic interest in BellRing Brands, LLC (or   %</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2"/>
              </w:rPr>
              <w:t>if the underwriters exercise their over-allotment option in full), and one share of Class B common stock, which, for so long as Post or its</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rPr>
              <w:t>affiliates (other than us) directly own more than 50% of the BellRing Brands, LLC Units as described in this prospectus, will</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5"/>
              </w:rPr>
              <w:t>represent 67% of the combined voting power of the common stock of BellRing Brands, Inc. Due to Post’s rights to redeem BellRing</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3"/>
              </w:rPr>
              <w:t>Brands, LLC Units for (i) shares of BellRing Brands, Inc. Class A common stock on a one-for-one basis or (ii) cash at BellRing Brands,</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5"/>
              </w:rPr>
              <w:t>LLC’s option (as determined by the BellRing Brands, LLC Board of Managers), the non-controlling interest in BellRing Brands, LLC</w:t>
            </w:r>
          </w:p>
        </w:tc>
      </w:tr>
      <w:tr>
        <w:trPr>
          <w:trHeight w:val="230"/>
        </w:trPr>
        <w:tc>
          <w:tcPr>
            <w:tcW w:w="300" w:type="dxa"/>
            <w:vAlign w:val="bottom"/>
          </w:tcPr>
          <w:p>
            <w:pPr>
              <w:spacing w:after="0"/>
              <w:rPr>
                <w:sz w:val="20"/>
                <w:szCs w:val="20"/>
                <w:color w:val="auto"/>
              </w:rPr>
            </w:pPr>
          </w:p>
        </w:tc>
        <w:tc>
          <w:tcPr>
            <w:tcW w:w="7460" w:type="dxa"/>
            <w:vAlign w:val="bottom"/>
            <w:gridSpan w:val="3"/>
          </w:tcPr>
          <w:p>
            <w:pPr>
              <w:ind w:left="240"/>
              <w:spacing w:after="0"/>
              <w:rPr>
                <w:sz w:val="20"/>
                <w:szCs w:val="20"/>
                <w:color w:val="auto"/>
              </w:rPr>
            </w:pPr>
            <w:r>
              <w:rPr>
                <w:rFonts w:ascii="Arial" w:cs="Arial" w:eastAsia="Arial" w:hAnsi="Arial"/>
                <w:sz w:val="18"/>
                <w:szCs w:val="18"/>
                <w:color w:val="auto"/>
              </w:rPr>
              <w:t>represented by these Units will be classified as temporary equity.</w:t>
            </w:r>
          </w:p>
        </w:tc>
        <w:tc>
          <w:tcPr>
            <w:tcW w:w="276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The purchasers in this offering (i) will own</w:t>
            </w:r>
          </w:p>
        </w:tc>
        <w:tc>
          <w:tcPr>
            <w:tcW w:w="3720" w:type="dxa"/>
            <w:vAlign w:val="bottom"/>
          </w:tcPr>
          <w:p>
            <w:pPr>
              <w:ind w:left="400"/>
              <w:spacing w:after="0"/>
              <w:rPr>
                <w:sz w:val="20"/>
                <w:szCs w:val="20"/>
                <w:color w:val="auto"/>
              </w:rPr>
            </w:pPr>
            <w:r>
              <w:rPr>
                <w:rFonts w:ascii="Arial" w:cs="Arial" w:eastAsia="Arial" w:hAnsi="Arial"/>
                <w:sz w:val="18"/>
                <w:szCs w:val="18"/>
                <w:color w:val="auto"/>
              </w:rPr>
              <w:t>shares of Class A common stock (or</w:t>
            </w:r>
          </w:p>
        </w:tc>
        <w:tc>
          <w:tcPr>
            <w:tcW w:w="2760" w:type="dxa"/>
            <w:vAlign w:val="bottom"/>
          </w:tcPr>
          <w:p>
            <w:pPr>
              <w:ind w:left="100"/>
              <w:spacing w:after="0"/>
              <w:rPr>
                <w:sz w:val="20"/>
                <w:szCs w:val="20"/>
                <w:color w:val="auto"/>
              </w:rPr>
            </w:pPr>
            <w:r>
              <w:rPr>
                <w:rFonts w:ascii="Arial" w:cs="Arial" w:eastAsia="Arial" w:hAnsi="Arial"/>
                <w:sz w:val="18"/>
                <w:szCs w:val="18"/>
                <w:color w:val="auto"/>
                <w:w w:val="96"/>
              </w:rPr>
              <w:t>shares if the underwriters exercise</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4"/>
              </w:rPr>
              <w:t>their non-allotment option in full), which, for so long as Post or its affiliates (other than us) directly own more than 50% of the BellRing</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4"/>
              </w:rPr>
              <w:t>Brands, LLC Units as described in this prospectus, will represent 33% of the combined voting power of the common stock of BellRing</w:t>
            </w:r>
          </w:p>
        </w:tc>
      </w:tr>
      <w:tr>
        <w:trPr>
          <w:trHeight w:val="216"/>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Arial" w:cs="Arial" w:eastAsia="Arial" w:hAnsi="Arial"/>
                <w:sz w:val="18"/>
                <w:szCs w:val="18"/>
                <w:color w:val="auto"/>
                <w:w w:val="93"/>
              </w:rPr>
              <w:t>Brands, Inc. and 100% of the economic interest in BellRing Brands, Inc., and (ii) through BellRing Brands, Inc.’s ownership of BellRing</w:t>
            </w:r>
          </w:p>
        </w:tc>
      </w:tr>
      <w:tr>
        <w:trPr>
          <w:trHeight w:val="216"/>
        </w:trPr>
        <w:tc>
          <w:tcPr>
            <w:tcW w:w="300" w:type="dxa"/>
            <w:vAlign w:val="bottom"/>
          </w:tcPr>
          <w:p>
            <w:pPr>
              <w:spacing w:after="0"/>
              <w:rPr>
                <w:sz w:val="18"/>
                <w:szCs w:val="18"/>
                <w:color w:val="auto"/>
              </w:rPr>
            </w:pPr>
          </w:p>
        </w:tc>
        <w:tc>
          <w:tcPr>
            <w:tcW w:w="7460" w:type="dxa"/>
            <w:vAlign w:val="bottom"/>
            <w:gridSpan w:val="3"/>
          </w:tcPr>
          <w:p>
            <w:pPr>
              <w:ind w:left="240"/>
              <w:spacing w:after="0"/>
              <w:rPr>
                <w:sz w:val="20"/>
                <w:szCs w:val="20"/>
                <w:color w:val="auto"/>
              </w:rPr>
            </w:pPr>
            <w:r>
              <w:rPr>
                <w:rFonts w:ascii="Arial" w:cs="Arial" w:eastAsia="Arial" w:hAnsi="Arial"/>
                <w:sz w:val="18"/>
                <w:szCs w:val="18"/>
                <w:color w:val="auto"/>
                <w:w w:val="96"/>
              </w:rPr>
              <w:t>Brands, LLC Units, indirectly will hold   % of the economic interest in BellRing Brands, LLC (or</w:t>
            </w:r>
          </w:p>
        </w:tc>
        <w:tc>
          <w:tcPr>
            <w:tcW w:w="2760" w:type="dxa"/>
            <w:vAlign w:val="bottom"/>
          </w:tcPr>
          <w:p>
            <w:pPr>
              <w:ind w:left="120"/>
              <w:spacing w:after="0"/>
              <w:rPr>
                <w:sz w:val="20"/>
                <w:szCs w:val="20"/>
                <w:color w:val="auto"/>
              </w:rPr>
            </w:pPr>
            <w:r>
              <w:rPr>
                <w:rFonts w:ascii="Arial" w:cs="Arial" w:eastAsia="Arial" w:hAnsi="Arial"/>
                <w:sz w:val="18"/>
                <w:szCs w:val="18"/>
                <w:color w:val="auto"/>
                <w:w w:val="94"/>
              </w:rPr>
              <w:t>% if the underwriters exercise their</w:t>
            </w:r>
          </w:p>
        </w:tc>
      </w:tr>
      <w:tr>
        <w:trPr>
          <w:trHeight w:val="230"/>
        </w:trPr>
        <w:tc>
          <w:tcPr>
            <w:tcW w:w="300" w:type="dxa"/>
            <w:vAlign w:val="bottom"/>
          </w:tcPr>
          <w:p>
            <w:pPr>
              <w:spacing w:after="0"/>
              <w:rPr>
                <w:sz w:val="20"/>
                <w:szCs w:val="20"/>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over-allotment option in full).</w:t>
            </w:r>
          </w:p>
        </w:tc>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107" w:lineRule="exact"/>
        <w:rPr>
          <w:sz w:val="20"/>
          <w:szCs w:val="20"/>
          <w:color w:val="auto"/>
        </w:rPr>
      </w:pPr>
    </w:p>
    <w:p>
      <w:pPr>
        <w:ind w:left="1180" w:right="200" w:hanging="538"/>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0" w:right="300"/>
        <w:spacing w:after="0" w:line="341" w:lineRule="auto"/>
        <w:rPr>
          <w:sz w:val="20"/>
          <w:szCs w:val="20"/>
          <w:color w:val="auto"/>
        </w:rPr>
      </w:pPr>
      <w:r>
        <w:rPr>
          <w:rFonts w:ascii="Arial" w:cs="Arial" w:eastAsia="Arial" w:hAnsi="Arial"/>
          <w:sz w:val="16"/>
          <w:szCs w:val="16"/>
          <w:color w:val="auto"/>
        </w:rPr>
        <w:t>BellRing Brands, Inc. and the number of BellRing Brands, LLC Units owned by BellRing Brands, Inc. See “Certain Relationships and Related Party Transactions—Post-Offering Relationship with Post—Amended and Restated Limited Liability Company Agreement.”</w:t>
      </w:r>
    </w:p>
    <w:p>
      <w:pPr>
        <w:spacing w:after="0" w:line="30" w:lineRule="exact"/>
        <w:rPr>
          <w:sz w:val="20"/>
          <w:szCs w:val="20"/>
          <w:color w:val="auto"/>
        </w:rPr>
      </w:pPr>
    </w:p>
    <w:p>
      <w:pPr>
        <w:ind w:left="1180" w:right="60" w:hanging="538"/>
        <w:spacing w:after="0" w:line="253"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97" w:lineRule="exact"/>
        <w:rPr>
          <w:rFonts w:ascii="Arial" w:cs="Arial" w:eastAsia="Arial" w:hAnsi="Arial"/>
          <w:sz w:val="18"/>
          <w:szCs w:val="18"/>
          <w:color w:val="auto"/>
        </w:rPr>
      </w:pPr>
    </w:p>
    <w:p>
      <w:pPr>
        <w:ind w:left="1180" w:right="280" w:hanging="538"/>
        <w:spacing w:after="0" w:line="263"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a portion of the consolidated net earnings (loss) will be allocated to the non-controlling interest to reflect the entitlement of Post to a portion of the consolidated net earnings (loss).</w:t>
      </w:r>
    </w:p>
    <w:p>
      <w:pPr>
        <w:spacing w:after="0" w:line="290" w:lineRule="exact"/>
        <w:rPr>
          <w:rFonts w:ascii="Arial" w:cs="Arial" w:eastAsia="Arial" w:hAnsi="Arial"/>
          <w:sz w:val="18"/>
          <w:szCs w:val="18"/>
          <w:color w:val="auto"/>
        </w:rPr>
      </w:pPr>
    </w:p>
    <w:p>
      <w:pPr>
        <w:ind w:left="900" w:hanging="250"/>
        <w:spacing w:after="0"/>
        <w:tabs>
          <w:tab w:leader="none" w:pos="900" w:val="left"/>
        </w:tabs>
        <w:numPr>
          <w:ilvl w:val="1"/>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220" w:right="100" w:firstLine="440"/>
        <w:spacing w:after="0" w:line="253" w:lineRule="auto"/>
        <w:rPr>
          <w:sz w:val="20"/>
          <w:szCs w:val="20"/>
          <w:color w:val="auto"/>
        </w:rPr>
      </w:pPr>
      <w:r>
        <w:rPr>
          <w:rFonts w:ascii="Arial" w:cs="Arial" w:eastAsia="Arial" w:hAnsi="Arial"/>
          <w:sz w:val="18"/>
          <w:szCs w:val="18"/>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(i) BellRing Brands, LLC will become the borrower under the Post bridge loan, and Post and its subsidiary guarantors (which will not include BellRing Brands, LLC or its domestic subsidiaries) will be released from all obligations under the Post bridge loan,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We will not receive any of the proceeds of the Post bridge loan. See “Description of Certain Indebtedness.”</w:t>
      </w:r>
    </w:p>
    <w:p>
      <w:pPr>
        <w:spacing w:after="0" w:line="195"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debt facilities consisting of an approximately $200.0 million revolving credit facility and an approximately $820.0 million term loan facility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See “Description of Certain Indebtedness.”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0" w:lineRule="exact"/>
        <w:rPr>
          <w:sz w:val="20"/>
          <w:szCs w:val="20"/>
          <w:color w:val="auto"/>
        </w:rPr>
      </w:pPr>
    </w:p>
    <w:p>
      <w:pPr>
        <w:ind w:left="1180" w:right="320" w:hanging="538"/>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$15.0 million of borrowings under the revolving credit facility will be incurred concurrently with the completion of this offering at an assumed interest rate of 5%;</w:t>
      </w:r>
    </w:p>
    <w:p>
      <w:pPr>
        <w:spacing w:after="0" w:line="75" w:lineRule="exact"/>
        <w:rPr>
          <w:rFonts w:ascii="Arial" w:cs="Arial" w:eastAsia="Arial" w:hAnsi="Arial"/>
          <w:sz w:val="18"/>
          <w:szCs w:val="18"/>
          <w:color w:val="auto"/>
        </w:rPr>
      </w:pPr>
    </w:p>
    <w:p>
      <w:pPr>
        <w:ind w:left="1180" w:right="80" w:hanging="538"/>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$820.0 million of borrowings under the term loan facility will be incurred concurrently with the completion of this offering at an assumed interest rate of 5%; and</w:t>
      </w:r>
    </w:p>
    <w:p>
      <w:pPr>
        <w:spacing w:after="0" w:line="75" w:lineRule="exact"/>
        <w:rPr>
          <w:rFonts w:ascii="Arial" w:cs="Arial" w:eastAsia="Arial" w:hAnsi="Arial"/>
          <w:sz w:val="18"/>
          <w:szCs w:val="18"/>
          <w:color w:val="auto"/>
        </w:rPr>
      </w:pPr>
    </w:p>
    <w:p>
      <w:pPr>
        <w:ind w:left="1180" w:right="260" w:hanging="538"/>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$6.6 million, after deducting fees, expenses and repayment of the remaining portion of the Post bridge loan and related interest.</w:t>
      </w:r>
    </w:p>
    <w:p>
      <w:pPr>
        <w:spacing w:after="0" w:line="170"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The final principal balance of the term loan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rates assumed above for the debt facilities would increase or decrease pro forma interest expense by approximately $1.4 million for the fiscal year ended September 30, 2018 and approximately $1.0 million for the nine months ended June 30, 2019 (assuming the principal balance of the debt facilities does not change from that assumed above).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660"/>
        <w:spacing w:after="0"/>
        <w:tabs>
          <w:tab w:leader="none" w:pos="4180" w:val="left"/>
          <w:tab w:leader="none" w:pos="8700" w:val="left"/>
        </w:tabs>
        <w:rPr>
          <w:sz w:val="20"/>
          <w:szCs w:val="20"/>
          <w:color w:val="auto"/>
        </w:rPr>
      </w:pPr>
      <w:r>
        <w:rPr>
          <w:rFonts w:ascii="Arial" w:cs="Arial" w:eastAsia="Arial" w:hAnsi="Arial"/>
          <w:sz w:val="18"/>
          <w:szCs w:val="18"/>
          <w:color w:val="auto"/>
        </w:rPr>
        <w:t>BellRing Brands, Inc. expects to issue</w:t>
      </w:r>
      <w:r>
        <w:rPr>
          <w:sz w:val="20"/>
          <w:szCs w:val="20"/>
          <w:color w:val="auto"/>
        </w:rPr>
        <w:tab/>
      </w:r>
      <w:r>
        <w:rPr>
          <w:rFonts w:ascii="Arial" w:cs="Arial" w:eastAsia="Arial" w:hAnsi="Arial"/>
          <w:sz w:val="18"/>
          <w:szCs w:val="18"/>
          <w:color w:val="auto"/>
        </w:rPr>
        <w:t>shares of Class A common stock in this offering (or</w:t>
      </w:r>
      <w:r>
        <w:rPr>
          <w:sz w:val="20"/>
          <w:szCs w:val="20"/>
          <w:color w:val="auto"/>
        </w:rPr>
        <w:tab/>
      </w:r>
      <w:r>
        <w:rPr>
          <w:rFonts w:ascii="Arial" w:cs="Arial" w:eastAsia="Arial" w:hAnsi="Arial"/>
          <w:sz w:val="16"/>
          <w:szCs w:val="16"/>
          <w:color w:val="auto"/>
        </w:rPr>
        <w:t>shares if the underwriters exercise</w:t>
      </w:r>
    </w:p>
    <w:p>
      <w:pPr>
        <w:spacing w:after="0" w:line="23" w:lineRule="exact"/>
        <w:rPr>
          <w:sz w:val="20"/>
          <w:szCs w:val="20"/>
          <w:color w:val="auto"/>
        </w:rPr>
      </w:pPr>
    </w:p>
    <w:p>
      <w:pPr>
        <w:ind w:left="220" w:right="540"/>
        <w:spacing w:after="0" w:line="281" w:lineRule="auto"/>
        <w:rPr>
          <w:sz w:val="20"/>
          <w:szCs w:val="20"/>
          <w:color w:val="auto"/>
        </w:rPr>
      </w:pPr>
      <w:r>
        <w:rPr>
          <w:rFonts w:ascii="Arial" w:cs="Arial" w:eastAsia="Arial" w:hAnsi="Arial"/>
          <w:sz w:val="16"/>
          <w:szCs w:val="16"/>
          <w:color w:val="auto"/>
        </w:rPr>
        <w:t>their over-allotment in full). The unaudited pro forma consolidated basic and diluted earnings per share for the periods presented are based on the combined basic and diluted weighted-average shares outstanding to be issued by BellRing Brands, Inc. in this offering. The calculation</w:t>
      </w:r>
    </w:p>
    <w:p>
      <w:pPr>
        <w:spacing w:after="0" w:line="1" w:lineRule="exact"/>
        <w:rPr>
          <w:sz w:val="20"/>
          <w:szCs w:val="20"/>
          <w:color w:val="auto"/>
        </w:rPr>
      </w:pPr>
    </w:p>
    <w:p>
      <w:pPr>
        <w:ind w:left="220" w:right="160"/>
        <w:spacing w:after="0" w:line="291" w:lineRule="auto"/>
        <w:rPr>
          <w:sz w:val="20"/>
          <w:szCs w:val="20"/>
          <w:color w:val="auto"/>
        </w:rPr>
      </w:pPr>
      <w:r>
        <w:rPr>
          <w:rFonts w:ascii="Arial" w:cs="Arial" w:eastAsia="Arial" w:hAnsi="Arial"/>
          <w:sz w:val="16"/>
          <w:szCs w:val="16"/>
          <w:color w:val="auto"/>
        </w:rPr>
        <w:t>includes shares of Class A common stock assumed to be sold in this offering. On the same day this offering is completed, but prior to the completion of this offering, BellRing Brands, Inc. will issue to Post (in exchange for the 1,000 shares of common stock initially issued to Post in connection with its incorporation, which shares will be cancelled as part of the exchange) one share of Class B common stock, which share of Class B common stock cannot be transferred by Post except to its affiliates (other than us). The share of BellRing Brands, Inc. Class B common stock does not share in its earnings and is therefore not included in the weighted average shares outstanding or net earnings available per common share.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220" w:right="20" w:firstLine="440"/>
        <w:spacing w:after="0" w:line="290" w:lineRule="auto"/>
        <w:rPr>
          <w:sz w:val="20"/>
          <w:szCs w:val="20"/>
          <w:color w:val="auto"/>
        </w:rPr>
      </w:pPr>
      <w:r>
        <w:rPr>
          <w:rFonts w:ascii="Arial" w:cs="Arial" w:eastAsia="Arial" w:hAnsi="Arial"/>
          <w:sz w:val="16"/>
          <w:szCs w:val="16"/>
          <w:color w:val="auto"/>
        </w:rPr>
        <w:t>BellRing Brands, Inc. expects to receive net proceeds from this offering of approximately $ million (or approximately $ million if the underwriters exercise their over-allotment option in full), assuming the shares are offered at $ per share (the midpoint of the estimated offering price</w:t>
      </w:r>
    </w:p>
    <w:p>
      <w:pPr>
        <w:spacing w:after="0" w:line="1" w:lineRule="exact"/>
        <w:rPr>
          <w:sz w:val="20"/>
          <w:szCs w:val="20"/>
          <w:color w:val="auto"/>
        </w:rPr>
      </w:pPr>
    </w:p>
    <w:p>
      <w:pPr>
        <w:ind w:left="220" w:right="140"/>
        <w:spacing w:after="0" w:line="260" w:lineRule="auto"/>
        <w:rPr>
          <w:sz w:val="20"/>
          <w:szCs w:val="20"/>
          <w:color w:val="auto"/>
        </w:rPr>
      </w:pPr>
      <w:r>
        <w:rPr>
          <w:rFonts w:ascii="Arial" w:cs="Arial" w:eastAsia="Arial" w:hAnsi="Arial"/>
          <w:sz w:val="18"/>
          <w:szCs w:val="18"/>
          <w:color w:val="auto"/>
        </w:rPr>
        <w:t>range set forth on the cover page of this prospectus), after deducting underwriting discounts and commissions and estimated offering expenses payable by us.</w:t>
      </w:r>
    </w:p>
    <w:p>
      <w:pPr>
        <w:spacing w:after="0" w:line="185" w:lineRule="exact"/>
        <w:rPr>
          <w:sz w:val="20"/>
          <w:szCs w:val="20"/>
          <w:color w:val="auto"/>
        </w:rPr>
      </w:pPr>
    </w:p>
    <w:p>
      <w:pPr>
        <w:ind w:left="220" w:right="100" w:firstLine="440"/>
        <w:spacing w:after="0" w:line="286" w:lineRule="auto"/>
        <w:rPr>
          <w:sz w:val="20"/>
          <w:szCs w:val="20"/>
          <w:color w:val="auto"/>
        </w:rPr>
      </w:pPr>
      <w:r>
        <w:rPr>
          <w:rFonts w:ascii="Arial" w:cs="Arial" w:eastAsia="Arial" w:hAnsi="Arial"/>
          <w:sz w:val="17"/>
          <w:szCs w:val="17"/>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 and related interest.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220" w:right="220" w:firstLine="440"/>
        <w:spacing w:after="0" w:line="301" w:lineRule="auto"/>
        <w:rPr>
          <w:sz w:val="20"/>
          <w:szCs w:val="20"/>
          <w:color w:val="auto"/>
        </w:rPr>
      </w:pPr>
      <w:r>
        <w:rPr>
          <w:rFonts w:ascii="Arial" w:cs="Arial" w:eastAsia="Arial" w:hAnsi="Arial"/>
          <w:sz w:val="16"/>
          <w:szCs w:val="16"/>
          <w:color w:val="auto"/>
        </w:rPr>
        <w:t>Following the formation transactions, BellRing Brands, Inc. will be subject to U.S. federal income taxes, in addition to state, local and foreign taxes, with respect to its allocable share of any net taxable income of BellRing Brands, LLC and its domestic subsidiaries. As a result, this reflects the tax effects of the proforma adjustments at an assumed statutory tax rate of % for the fiscal year ended September 30, 2018 and % for the nine months ended June 30, 2019 along with adjustments to reflect BellRing Brands, Inc.’s allocable share of net taxable income.</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 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240" w:top="459" w:right="5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RESULTS OF OPERATIONS</w:t>
      </w:r>
    </w:p>
    <w:p>
      <w:pPr>
        <w:spacing w:after="0" w:line="210" w:lineRule="exact"/>
        <w:rPr>
          <w:sz w:val="20"/>
          <w:szCs w:val="20"/>
          <w:color w:val="auto"/>
        </w:rPr>
      </w:pPr>
    </w:p>
    <w:p>
      <w:pPr>
        <w:ind w:left="220" w:right="40" w:firstLine="440"/>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the historical combined financial statements and the accompanying notes and other financial information for Post’s Active Nutrition business (“Active Nutrition”),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BellRing Brands, Inc. was formed as a Delaware corporation in 2019 for the purpose of completing this offering. Upon completion of the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formation transactions, BellRing Brands, LLC will become the holder of Posts’s Active Nutrition business, which, effective as of the fiscal quarter</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ended June 30, 2015, has been comprised of Premier Nutrition, Dymatize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GmbH, which manufactures and sells Active Nutrition products in certain international markets. We are a provider of highly nutritious, great-tasting</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products including RTD protein shakes, other RTD beverages, powders, nutrition bars and nutritional supplements in the convenient nutrition</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category. The following discussion contains references to the nine months ended June 30, 2019 and 2018 and the years ended September 30, 2018, 2017</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2016, which represent the financial results of our predecessor, Active Nutrition, for the same periods.</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220" w:right="280" w:firstLine="440"/>
        <w:spacing w:after="0" w:line="341" w:lineRule="auto"/>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30" w:lineRule="exact"/>
        <w:rPr>
          <w:sz w:val="20"/>
          <w:szCs w:val="20"/>
          <w:color w:val="auto"/>
        </w:rPr>
      </w:pPr>
    </w:p>
    <w:p>
      <w:pPr>
        <w:ind w:left="1180" w:hanging="538"/>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0" w:lineRule="exact"/>
        <w:rPr>
          <w:sz w:val="20"/>
          <w:szCs w:val="20"/>
          <w:color w:val="auto"/>
        </w:rPr>
      </w:pPr>
    </w:p>
    <w:p>
      <w:pPr>
        <w:ind w:left="1180" w:right="620" w:hanging="538"/>
        <w:spacing w:after="0" w:line="341" w:lineRule="auto"/>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spacing w:after="0" w:line="30" w:lineRule="exact"/>
        <w:rPr>
          <w:rFonts w:ascii="Arial" w:cs="Arial" w:eastAsia="Arial" w:hAnsi="Arial"/>
          <w:sz w:val="16"/>
          <w:szCs w:val="16"/>
          <w:color w:val="auto"/>
        </w:rPr>
      </w:pPr>
    </w:p>
    <w:p>
      <w:pPr>
        <w:ind w:left="1180" w:right="300" w:hanging="538"/>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24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 xml:space="preserve">In addition to the company trends described above, we also experienced short-term supply constraints for our RTD protein shakes during the nine months ended June 30, 2019. With the rapid consumption growth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have added significant capacity at our contract manufacturing partners in order to keep up with consumer demand. However, due to a combination of better than expected volume growth for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shakes in the second half of fiscal 2018 and delays in planned incremental production capacity by our third party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network, our customer demand exceeded our available capacity and resulted in inventory below acceptable levels at September 30, 2018. To increase inventory and to minimize the overall impact to customers and consumers, we temporarily reduced our available RTD protein shake flavors in the first quarter of fiscal 2019 from seven to its two best-selling flavors, chocolate and vanilla. This decision adversely impacted the year-over-year growth rate for the nine months ended June 30, 2019 compared to growth trends experienced in fiscal 2018 and 2017. During the second quarter of fiscal 2019, all flavors were re-introduced. With these actions as well as planned incremental capacity in the second half of fiscal 2019, we believe we will be able to meet expected customer demand and our inventory levels will be enough to accelerate our growth beyond that experienced since the beginning of fiscal 2019. At June 30, 2019, inventory had returned to normal levels and modest additional increases in inventory levels are expected through the end of fiscal 2019.</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sales consist of the following:</w:t>
      </w:r>
    </w:p>
    <w:p>
      <w:pPr>
        <w:spacing w:after="0" w:line="130" w:lineRule="exact"/>
        <w:rPr>
          <w:sz w:val="20"/>
          <w:szCs w:val="20"/>
          <w:color w:val="auto"/>
        </w:rPr>
      </w:pPr>
    </w:p>
    <w:p>
      <w:pPr>
        <w:ind w:left="1180" w:hanging="538"/>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included in cost of goods sold in the statements of operations include:</w:t>
      </w:r>
    </w:p>
    <w:p>
      <w:pPr>
        <w:spacing w:after="0" w:line="130" w:lineRule="exact"/>
        <w:rPr>
          <w:sz w:val="20"/>
          <w:szCs w:val="20"/>
          <w:color w:val="auto"/>
        </w:rPr>
      </w:pPr>
    </w:p>
    <w:p>
      <w:pPr>
        <w:ind w:left="1180" w:hanging="538"/>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1180" w:right="240" w:hanging="538"/>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1180" w:right="20" w:hanging="538"/>
        <w:spacing w:after="0" w:line="275" w:lineRule="auto"/>
        <w:tabs>
          <w:tab w:leader="none" w:pos="11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 all packaging and ingredients used, for an agreed-upon tolling charge for each item produced as well as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80" w:lineRule="exact"/>
        <w:rPr>
          <w:rFonts w:ascii="Arial" w:cs="Arial" w:eastAsia="Arial" w:hAnsi="Arial"/>
          <w:sz w:val="17"/>
          <w:szCs w:val="17"/>
          <w:color w:val="auto"/>
        </w:rPr>
      </w:pPr>
    </w:p>
    <w:p>
      <w:pPr>
        <w:ind w:left="1180" w:right="240" w:hanging="538"/>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freight costs are impacted by fuel costs, as well as carrier availability.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included in selling, general and administrative expenses in the statements of operations include:</w:t>
      </w:r>
    </w:p>
    <w:p>
      <w:pPr>
        <w:spacing w:after="0" w:line="130" w:lineRule="exact"/>
        <w:rPr>
          <w:sz w:val="20"/>
          <w:szCs w:val="20"/>
          <w:color w:val="auto"/>
        </w:rPr>
      </w:pPr>
    </w:p>
    <w:p>
      <w:pPr>
        <w:ind w:left="1180" w:hanging="538"/>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180" w:hanging="538"/>
        <w:spacing w:after="0" w:line="341" w:lineRule="auto"/>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corporate allocations</w:t>
      </w:r>
      <w:r>
        <w:rPr>
          <w:rFonts w:ascii="Arial" w:cs="Arial" w:eastAsia="Arial" w:hAnsi="Arial"/>
          <w:sz w:val="16"/>
          <w:szCs w:val="16"/>
          <w:color w:val="auto"/>
        </w:rPr>
        <w:t>, which include allocations from Post of general and administrative costs, including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costs related to the finance, information technology, legal, human resources, quality, supply chain and purchasing functions.</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earnings before income taxes (“EBIT”) margins because of customer spending patterns and timing of promotional activity. Historically, our first fiscal quarter is seasonally low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During the nine months ended June 30, 2019 and 2018, “Earnings before Income Taxes” in the Condensed Combined Statements of Operations and Comprehensive Income were impacted by the following items:</w:t>
      </w:r>
    </w:p>
    <w:p>
      <w:pPr>
        <w:spacing w:after="0" w:line="75" w:lineRule="exact"/>
        <w:rPr>
          <w:sz w:val="20"/>
          <w:szCs w:val="20"/>
          <w:color w:val="auto"/>
        </w:rPr>
      </w:pPr>
    </w:p>
    <w:p>
      <w:pPr>
        <w:ind w:left="1180" w:right="300" w:hanging="538"/>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separation costs of $4.0 million related to our separation from Post for the nine months ended June 30, 2019;</w:t>
      </w:r>
    </w:p>
    <w:p>
      <w:pPr>
        <w:spacing w:after="0" w:line="130" w:lineRule="exact"/>
        <w:rPr>
          <w:rFonts w:ascii="Arial" w:cs="Arial" w:eastAsia="Arial" w:hAnsi="Arial"/>
          <w:sz w:val="18"/>
          <w:szCs w:val="18"/>
          <w:color w:val="auto"/>
        </w:rPr>
      </w:pPr>
    </w:p>
    <w:p>
      <w:pPr>
        <w:ind w:left="1180" w:right="200" w:hanging="538"/>
        <w:spacing w:after="0" w:line="263"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of $5.3 million from selling expenses to net sales in the nine months ended June 30, 2019, in connection with the adoption of Accounting Standards Update (“ASU”) 2014-09, “Revenue from Contracts with Customers (Topic 606);” and</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nine months ended June 30,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0" w:lineRule="exact"/>
        <w:rPr>
          <w:sz w:val="20"/>
          <w:szCs w:val="20"/>
          <w:color w:val="auto"/>
        </w:rPr>
      </w:pPr>
    </w:p>
    <w:p>
      <w:pPr>
        <w:ind w:left="1180" w:hanging="538"/>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1180" w:right="440" w:hanging="538"/>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restructuring and plant closure costs of $5.0 million and losses on assets held for sale of $4.5 million in the year ended September 30, 2016.</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June 30, 2019 and 2018</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Active Nutrition</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7"/>
          </w:tcPr>
          <w:p>
            <w:pPr>
              <w:ind w:left="520"/>
              <w:spacing w:after="0" w:line="142" w:lineRule="exact"/>
              <w:rPr>
                <w:sz w:val="20"/>
                <w:szCs w:val="20"/>
                <w:color w:val="auto"/>
              </w:rPr>
            </w:pPr>
            <w:r>
              <w:rPr>
                <w:rFonts w:ascii="Arial" w:cs="Arial" w:eastAsia="Arial" w:hAnsi="Arial"/>
                <w:sz w:val="14"/>
                <w:szCs w:val="14"/>
                <w:b w:val="1"/>
                <w:bCs w:val="1"/>
                <w:color w:val="auto"/>
              </w:rPr>
              <w:t>Nine Months Ended June 30,</w:t>
            </w: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404.8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104.1</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126.5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314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34%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EBIT Margin</w:t>
            </w:r>
          </w:p>
        </w:tc>
        <w:tc>
          <w:tcPr>
            <w:tcW w:w="44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3140" w:type="dxa"/>
            <w:vAlign w:val="bottom"/>
          </w:tcPr>
          <w:p>
            <w:pPr>
              <w:jc w:val="right"/>
              <w:ind w:right="2330"/>
              <w:spacing w:after="0"/>
              <w:rPr>
                <w:sz w:val="20"/>
                <w:szCs w:val="20"/>
                <w:color w:val="auto"/>
              </w:rPr>
            </w:pPr>
            <w:r>
              <w:rPr>
                <w:rFonts w:ascii="Arial" w:cs="Arial" w:eastAsia="Arial" w:hAnsi="Arial"/>
                <w:sz w:val="18"/>
                <w:szCs w:val="18"/>
                <w:color w:val="auto"/>
              </w:rPr>
              <w:t>14%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314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16%</w:t>
            </w:r>
          </w:p>
        </w:tc>
      </w:tr>
      <w:tr>
        <w:trPr>
          <w:trHeight w:val="364"/>
        </w:trPr>
        <w:tc>
          <w:tcPr>
            <w:tcW w:w="3420" w:type="dxa"/>
            <w:vAlign w:val="bottom"/>
          </w:tcPr>
          <w:p>
            <w:pPr>
              <w:spacing w:after="0"/>
              <w:rPr>
                <w:sz w:val="24"/>
                <w:szCs w:val="24"/>
                <w:color w:val="auto"/>
              </w:rPr>
            </w:pPr>
          </w:p>
        </w:tc>
        <w:tc>
          <w:tcPr>
            <w:tcW w:w="4440" w:type="dxa"/>
            <w:vAlign w:val="bottom"/>
          </w:tcPr>
          <w:p>
            <w:pPr>
              <w:jc w:val="right"/>
              <w:ind w:right="2190"/>
              <w:spacing w:after="0"/>
              <w:rPr>
                <w:sz w:val="20"/>
                <w:szCs w:val="20"/>
                <w:color w:val="auto"/>
              </w:rPr>
            </w:pPr>
            <w:r>
              <w:rPr>
                <w:rFonts w:ascii="Arial" w:cs="Arial" w:eastAsia="Arial" w:hAnsi="Arial"/>
                <w:sz w:val="18"/>
                <w:szCs w:val="18"/>
                <w:color w:val="auto"/>
              </w:rPr>
              <w:t>83</w:t>
            </w:r>
          </w:p>
        </w:tc>
        <w:tc>
          <w:tcPr>
            <w:tcW w:w="31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 xml:space="preserve">Net sales increased $32.3 million, or 5%, during the nine months ended June 30, 2019, as compared to the corresponding period in the prior year, primarily due to higher volume and higher average net selling prices.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$47.2 million, or 10%, with volume up 7%, primarily driven by increases in sales of RTD protein shake products, partially offset by lower sales of nutrition bars. Sales of RTD protein shakes in the nine months ended June 30, 2019 were positively impacted by approximately $15 million of sales associated with the request for early delivery of product made by a large customer to support promotional activity in the third quarter of fiscal 2019, as compared to comparable delivery in the fourth quarter of fiscal 2018. However, increases in RTD protein shake product volumes for the nine months ended June 30, 2019 were below recent growth trends primarily due to short-term supply constraints (for further discussion, see “Industry &amp; Company Trends” above).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$2.8 million, or 3%, with volume up 2%, primarily due to distribution gains in the club and mass channels and organic growth in the eCommerce channel, partially offset by declines in the specialty channel.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$13.5 million, or 28%, with volume down 31%, driven by distribution losses and strategic sales reductions of low performing products within our North American portfolio. Sales of all other products were down $4.2 million. Current year net sales were impacted by the reclassification of certain payments to customers of $5.3 million from selling expenses to net sales in connection with the adoption of ASU 2014-09 (see below for further discussion).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20" w:right="80" w:firstLine="440"/>
        <w:spacing w:after="0" w:line="290" w:lineRule="auto"/>
        <w:rPr>
          <w:sz w:val="20"/>
          <w:szCs w:val="20"/>
          <w:color w:val="auto"/>
        </w:rPr>
      </w:pPr>
      <w:r>
        <w:rPr>
          <w:rFonts w:ascii="Arial" w:cs="Arial" w:eastAsia="Arial" w:hAnsi="Arial"/>
          <w:sz w:val="16"/>
          <w:szCs w:val="16"/>
          <w:color w:val="auto"/>
        </w:rPr>
        <w:t>EBIT increased $43.7 million, or 53%, for the nine months ended June 30, 2019, as compared to the corresponding period in the prior year. EBIT in the nine months ended June 30, 2018 was impacted by a litigation settlement accrual of $9.0 million. Excluding this impact, EBIT increased</w:t>
      </w:r>
    </w:p>
    <w:p>
      <w:pPr>
        <w:spacing w:after="0" w:line="1" w:lineRule="exact"/>
        <w:rPr>
          <w:sz w:val="20"/>
          <w:szCs w:val="20"/>
          <w:color w:val="auto"/>
        </w:rPr>
      </w:pPr>
    </w:p>
    <w:p>
      <w:pPr>
        <w:ind w:left="220" w:right="60"/>
        <w:spacing w:after="0" w:line="252" w:lineRule="auto"/>
        <w:rPr>
          <w:sz w:val="20"/>
          <w:szCs w:val="20"/>
          <w:color w:val="auto"/>
        </w:rPr>
      </w:pPr>
      <w:r>
        <w:rPr>
          <w:rFonts w:ascii="Arial" w:cs="Arial" w:eastAsia="Arial" w:hAnsi="Arial"/>
          <w:sz w:val="18"/>
          <w:szCs w:val="18"/>
          <w:color w:val="auto"/>
        </w:rPr>
        <w:t>$34.7 million, or 38%. Gross profit margins improved to 37% in the nine months ended June 30, 2019, from 34% in the prior year period. These increases were driven by higher average net selling prices, as previously discussed, lower net product costs of $16.0 million, as favorable raw materials and freight costs were partially offset by increased manufacturing costs, and reduced advertising and consumer spending of $7.4 million. These positive impacts were partially offset by higher employee-related expenses and increased corporate cost allocations of $5.0 million driven primarily by costs incurred related to our separation from Post.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220" w:right="60" w:firstLine="440"/>
        <w:spacing w:after="0" w:line="286" w:lineRule="auto"/>
        <w:rPr>
          <w:sz w:val="20"/>
          <w:szCs w:val="20"/>
          <w:color w:val="auto"/>
        </w:rPr>
      </w:pPr>
      <w:r>
        <w:rPr>
          <w:rFonts w:ascii="Arial" w:cs="Arial" w:eastAsia="Arial" w:hAnsi="Arial"/>
          <w:sz w:val="17"/>
          <w:szCs w:val="17"/>
          <w:color w:val="auto"/>
        </w:rPr>
        <w:t>The effective income tax rate was 23.8% and 15.8% for the nine months ended June 30, 2019 and 2018, respectively. In accordance with Accounting Standards Codification (“ASC”) Topic 740, “Income Taxes,” income tax expense is recorded for interim periods using the estimated annual effective income tax rate for the full fiscal year adjusted for the impact of discrete items occurring during the interim periods.</w:t>
      </w:r>
    </w:p>
    <w:p>
      <w:pPr>
        <w:spacing w:after="0" w:line="165" w:lineRule="exact"/>
        <w:rPr>
          <w:sz w:val="20"/>
          <w:szCs w:val="20"/>
          <w:color w:val="auto"/>
        </w:rPr>
      </w:pPr>
    </w:p>
    <w:p>
      <w:pPr>
        <w:ind w:left="220" w:right="40" w:firstLine="440"/>
        <w:spacing w:after="0" w:line="269" w:lineRule="auto"/>
        <w:rPr>
          <w:sz w:val="20"/>
          <w:szCs w:val="20"/>
          <w:color w:val="auto"/>
        </w:rPr>
      </w:pPr>
      <w:r>
        <w:rPr>
          <w:rFonts w:ascii="Arial" w:cs="Arial" w:eastAsia="Arial" w:hAnsi="Arial"/>
          <w:sz w:val="17"/>
          <w:szCs w:val="17"/>
          <w:color w:val="auto"/>
        </w:rPr>
        <w:t>The effective income tax rate in the nine months ended June 30, 2018,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nine months ended June, 2018, Active Nutrition (i) remeasured its existing deferred tax assets and liabilities considering both the 2018 fiscal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 the Condensed Combined Statement of Operations and Comprehensive Income for the nine months ended June 30, 2019. For additional information regarding ASU 2014-09, refer to Note 3 of “Notes to Condensed Combined Financial Statements” for the nine months ended June 30, 2019 and 2018.</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Active Nutrition</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 in millions; favorable/(unfavorable)</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8"/>
          </w:tcPr>
          <w:p>
            <w:pPr>
              <w:jc w:val="right"/>
              <w:ind w:right="24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7"/>
          </w:tcPr>
          <w:p>
            <w:pPr>
              <w:jc w:val="right"/>
              <w:ind w:right="24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lef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42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34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467.4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395.5</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(71.9)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4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245.8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1"/>
        </w:trPr>
        <w:tc>
          <w:tcPr>
            <w:tcW w:w="338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119.8</w:t>
            </w: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380" w:type="dxa"/>
            <w:vAlign w:val="bottom"/>
          </w:tcPr>
          <w:p>
            <w:pPr>
              <w:ind w:left="360"/>
              <w:spacing w:after="0"/>
              <w:rPr>
                <w:sz w:val="20"/>
                <w:szCs w:val="20"/>
                <w:color w:val="auto"/>
              </w:rPr>
            </w:pPr>
            <w:r>
              <w:rPr>
                <w:rFonts w:ascii="Arial" w:cs="Arial" w:eastAsia="Arial" w:hAnsi="Arial"/>
                <w:sz w:val="18"/>
                <w:szCs w:val="18"/>
                <w:b w:val="1"/>
                <w:bCs w:val="1"/>
                <w:color w:val="auto"/>
              </w:rPr>
              <w:t>Earnings before Income Taxes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3380" w:type="dxa"/>
            <w:vAlign w:val="bottom"/>
          </w:tcPr>
          <w:p>
            <w:pPr>
              <w:ind w:left="360"/>
              <w:spacing w:after="0"/>
              <w:rPr>
                <w:sz w:val="20"/>
                <w:szCs w:val="20"/>
                <w:color w:val="auto"/>
              </w:rPr>
            </w:pPr>
            <w:r>
              <w:rPr>
                <w:rFonts w:ascii="Arial" w:cs="Arial" w:eastAsia="Arial" w:hAnsi="Arial"/>
                <w:sz w:val="18"/>
                <w:szCs w:val="18"/>
                <w:b w:val="1"/>
                <w:bCs w:val="1"/>
                <w:color w:val="auto"/>
              </w:rPr>
              <w:t>Net Earnings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274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rPr>
              <w:t>31%</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EBIT Margin</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740" w:type="dxa"/>
            <w:vAlign w:val="bottom"/>
          </w:tcPr>
          <w:p>
            <w:pPr>
              <w:jc w:val="right"/>
              <w:ind w:right="2030"/>
              <w:spacing w:after="0"/>
              <w:rPr>
                <w:sz w:val="20"/>
                <w:szCs w:val="20"/>
                <w:color w:val="auto"/>
              </w:rPr>
            </w:pPr>
            <w:r>
              <w:rPr>
                <w:rFonts w:ascii="Arial" w:cs="Arial" w:eastAsia="Arial" w:hAnsi="Arial"/>
                <w:sz w:val="18"/>
                <w:szCs w:val="18"/>
                <w:color w:val="auto"/>
              </w:rPr>
              <w:t>6%</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46%</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274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rPr>
              <w:t>37%</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impacts were partially offset by new product introductions and favorable foreign exchange rates. Sales of all other products were up $0.3 million.</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EBIT increased $54.2 million, or 83%, for the year ended September 30, 2018. EBIT in the year ended September 30, 2018 was impacted by a litigation settlement accrual of $9.0 million and in the year ended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60"/>
        <w:spacing w:after="0" w:line="279" w:lineRule="auto"/>
        <w:rPr>
          <w:sz w:val="20"/>
          <w:szCs w:val="20"/>
          <w:color w:val="auto"/>
        </w:rPr>
      </w:pPr>
      <w:r>
        <w:rPr>
          <w:rFonts w:ascii="Arial" w:cs="Arial" w:eastAsia="Arial" w:hAnsi="Arial"/>
          <w:sz w:val="17"/>
          <w:szCs w:val="17"/>
          <w:color w:val="auto"/>
        </w:rPr>
        <w:t xml:space="preserve">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20" w:firstLine="440"/>
        <w:spacing w:after="0" w:line="253" w:lineRule="auto"/>
        <w:rPr>
          <w:sz w:val="20"/>
          <w:szCs w:val="20"/>
          <w:color w:val="auto"/>
        </w:rPr>
      </w:pPr>
      <w:r>
        <w:rPr>
          <w:rFonts w:ascii="Arial" w:cs="Arial" w:eastAsia="Arial" w:hAnsi="Arial"/>
          <w:sz w:val="18"/>
          <w:szCs w:val="18"/>
          <w:color w:val="auto"/>
        </w:rPr>
        <w:t xml:space="preserve">Net sales increased $138.5 million, or 24%, during the year ended September 30, 2017,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down $4.8 million, or 4%, primarily due to weakness in the domestic specialty channel and higher promotional activity, partially offset by an increase in volume of 10%. The increase in volume is primarily the result of distribution gains in the eCommerce channel and international growth.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Joint Juice </w:t>
      </w:r>
      <w:r>
        <w:rPr>
          <w:rFonts w:ascii="Arial" w:cs="Arial" w:eastAsia="Arial" w:hAnsi="Arial"/>
          <w:sz w:val="18"/>
          <w:szCs w:val="18"/>
          <w:color w:val="auto"/>
        </w:rPr>
        <w:t>products.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220" w:right="100" w:firstLine="440"/>
        <w:spacing w:after="0" w:line="287"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spacing w:after="0" w:line="2" w:lineRule="exact"/>
        <w:rPr>
          <w:sz w:val="20"/>
          <w:szCs w:val="20"/>
          <w:color w:val="auto"/>
        </w:rPr>
      </w:pPr>
    </w:p>
    <w:p>
      <w:pPr>
        <w:ind w:left="220" w:right="120"/>
        <w:spacing w:after="0" w:line="252"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Active Nutrition</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9"/>
          </w:tcPr>
          <w:p>
            <w:pPr>
              <w:jc w:val="center"/>
              <w:ind w:right="13"/>
              <w:spacing w:after="0" w:line="142" w:lineRule="exact"/>
              <w:rPr>
                <w:sz w:val="20"/>
                <w:szCs w:val="20"/>
                <w:color w:val="auto"/>
              </w:rPr>
            </w:pPr>
            <w:r>
              <w:rPr>
                <w:rFonts w:ascii="Arial" w:cs="Arial" w:eastAsia="Arial" w:hAnsi="Arial"/>
                <w:sz w:val="14"/>
                <w:szCs w:val="14"/>
                <w:b w:val="1"/>
                <w:bCs w:val="1"/>
                <w:color w:val="auto"/>
                <w:w w:val="92"/>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6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1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1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40" w:hanging="430"/>
        <w:spacing w:after="0" w:line="263"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3" w:lineRule="exact"/>
        <w:rPr>
          <w:sz w:val="20"/>
          <w:szCs w:val="20"/>
          <w:color w:val="auto"/>
        </w:rPr>
      </w:pPr>
    </w:p>
    <w:p>
      <w:pPr>
        <w:ind w:left="220" w:right="80" w:firstLine="440"/>
        <w:spacing w:after="0" w:line="283"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is prorated with the pre-December 22, 2017 U.S. federal corporate income tax rate of 35% for the 2018 tax year. This proration resulted in a blended U.S. federal corporate income tax rate of 24.5% for fiscal 2018. Adjustments were made in the following instances: (i) Active Nutrition remeasured its existing deferred tax assets and liabilities considering both the 2018 fiscal blended rate and the 21% rate for future periods and recorded a tax benefit of</w:t>
      </w:r>
    </w:p>
    <w:p>
      <w:pPr>
        <w:spacing w:after="0" w:line="5" w:lineRule="exact"/>
        <w:rPr>
          <w:sz w:val="20"/>
          <w:szCs w:val="20"/>
          <w:color w:val="auto"/>
        </w:rPr>
      </w:pPr>
    </w:p>
    <w:p>
      <w:pPr>
        <w:ind w:left="220" w:right="760"/>
        <w:spacing w:after="0" w:line="260" w:lineRule="auto"/>
        <w:rPr>
          <w:sz w:val="20"/>
          <w:szCs w:val="20"/>
          <w:color w:val="auto"/>
        </w:rPr>
      </w:pPr>
      <w:r>
        <w:rPr>
          <w:rFonts w:ascii="Arial" w:cs="Arial" w:eastAsia="Arial" w:hAnsi="Arial"/>
          <w:sz w:val="18"/>
          <w:szCs w:val="18"/>
          <w:color w:val="auto"/>
        </w:rPr>
        <w:t>$9.9 million and (ii) Active Nutrition calculated the one-time transition tax and recorded tax expense of $0.5 million. Full expensing of certain depreciable assets will result in a temporary difference as assets are placed in service.</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7"/>
              </w:rPr>
              <w:t>Active Nutrition</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6"/>
          </w:tcPr>
          <w:p>
            <w:pPr>
              <w:jc w:val="center"/>
              <w:ind w:right="101"/>
              <w:spacing w:after="0" w:line="119" w:lineRule="exact"/>
              <w:rPr>
                <w:sz w:val="20"/>
                <w:szCs w:val="20"/>
                <w:color w:val="auto"/>
              </w:rPr>
            </w:pPr>
            <w:r>
              <w:rPr>
                <w:rFonts w:ascii="Arial" w:cs="Arial" w:eastAsia="Arial" w:hAnsi="Arial"/>
                <w:sz w:val="13"/>
                <w:szCs w:val="13"/>
                <w:b w:val="1"/>
                <w:bCs w:val="1"/>
                <w:color w:val="auto"/>
              </w:rPr>
              <w:t>Nine Months Ended</w:t>
            </w:r>
          </w:p>
        </w:tc>
        <w:tc>
          <w:tcPr>
            <w:tcW w:w="340" w:type="dxa"/>
            <w:vAlign w:val="bottom"/>
          </w:tcPr>
          <w:p>
            <w:pPr>
              <w:spacing w:after="0"/>
              <w:rPr>
                <w:sz w:val="10"/>
                <w:szCs w:val="10"/>
                <w:color w:val="auto"/>
              </w:rPr>
            </w:pPr>
          </w:p>
        </w:tc>
        <w:tc>
          <w:tcPr>
            <w:tcW w:w="21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ind w:right="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2"/>
                <w:szCs w:val="12"/>
                <w:color w:val="auto"/>
              </w:rPr>
            </w:pPr>
          </w:p>
        </w:tc>
        <w:tc>
          <w:tcPr>
            <w:tcW w:w="6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4"/>
          </w:tcPr>
          <w:p>
            <w:pPr>
              <w:jc w:val="right"/>
              <w:ind w:right="428"/>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560" w:type="dxa"/>
            <w:vAlign w:val="bottom"/>
            <w:gridSpan w:val="2"/>
          </w:tcPr>
          <w:p>
            <w:pPr>
              <w:jc w:val="right"/>
              <w:ind w:right="81"/>
              <w:spacing w:after="0"/>
              <w:rPr>
                <w:sz w:val="20"/>
                <w:szCs w:val="20"/>
                <w:color w:val="auto"/>
              </w:rPr>
            </w:pPr>
            <w:r>
              <w:rPr>
                <w:rFonts w:ascii="Arial" w:cs="Arial" w:eastAsia="Arial" w:hAnsi="Arial"/>
                <w:sz w:val="18"/>
                <w:szCs w:val="18"/>
                <w:color w:val="auto"/>
                <w:w w:val="84"/>
              </w:rPr>
              <w:t>100.5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141.2</w:t>
            </w:r>
          </w:p>
        </w:tc>
        <w:tc>
          <w:tcPr>
            <w:tcW w:w="1120" w:type="dxa"/>
            <w:vAlign w:val="bottom"/>
            <w:gridSpan w:val="3"/>
          </w:tcPr>
          <w:p>
            <w:pPr>
              <w:jc w:val="right"/>
              <w:ind w:right="421"/>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1120" w:type="dxa"/>
            <w:vAlign w:val="bottom"/>
            <w:gridSpan w:val="3"/>
            <w:shd w:val="clear" w:color="auto" w:fill="CCEEFF"/>
          </w:tcPr>
          <w:p>
            <w:pPr>
              <w:jc w:val="right"/>
              <w:ind w:right="421"/>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gridSpan w:val="4"/>
          </w:tcPr>
          <w:p>
            <w:pPr>
              <w:jc w:val="right"/>
              <w:ind w:right="368"/>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56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(99.5)</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(133.0)</w:t>
            </w:r>
          </w:p>
        </w:tc>
        <w:tc>
          <w:tcPr>
            <w:tcW w:w="1120" w:type="dxa"/>
            <w:vAlign w:val="bottom"/>
            <w:gridSpan w:val="3"/>
          </w:tcPr>
          <w:p>
            <w:pPr>
              <w:jc w:val="right"/>
              <w:ind w:right="361"/>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421"/>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(7.5</w:t>
            </w:r>
          </w:p>
        </w:tc>
        <w:tc>
          <w:tcPr>
            <w:tcW w:w="500" w:type="dxa"/>
            <w:vAlign w:val="bottom"/>
            <w:gridSpan w:val="2"/>
          </w:tcPr>
          <w:p>
            <w:pPr>
              <w:jc w:val="right"/>
              <w:ind w:right="36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3.1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(1.1</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firstLine="440"/>
        <w:spacing w:after="0" w:line="277"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color w:val="auto"/>
        </w:rPr>
        <w:t>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6" w:lineRule="exact"/>
        <w:rPr>
          <w:sz w:val="20"/>
          <w:szCs w:val="20"/>
          <w:color w:val="auto"/>
        </w:rPr>
      </w:pPr>
    </w:p>
    <w:p>
      <w:pPr>
        <w:ind w:left="220" w:right="40" w:firstLine="440"/>
        <w:spacing w:after="0" w:line="290" w:lineRule="auto"/>
        <w:rPr>
          <w:sz w:val="20"/>
          <w:szCs w:val="20"/>
          <w:color w:val="auto"/>
        </w:rPr>
      </w:pPr>
      <w:r>
        <w:rPr>
          <w:rFonts w:ascii="Arial" w:cs="Arial" w:eastAsia="Arial" w:hAnsi="Arial"/>
          <w:sz w:val="16"/>
          <w:szCs w:val="16"/>
          <w:color w:val="auto"/>
        </w:rPr>
        <w:t>BellRing Brands, Inc. expects to receive net proceeds from this offering of approximately $ million (or approximately $ million if the underwriters exercise their over-allotment option in full), assuming the shares are offered at $ per share (the midpoint of the estimated offering price</w:t>
      </w:r>
    </w:p>
    <w:p>
      <w:pPr>
        <w:spacing w:after="0" w:line="1" w:lineRule="exact"/>
        <w:rPr>
          <w:sz w:val="20"/>
          <w:szCs w:val="20"/>
          <w:color w:val="auto"/>
        </w:rPr>
      </w:pPr>
    </w:p>
    <w:p>
      <w:pPr>
        <w:ind w:left="220" w:right="160"/>
        <w:spacing w:after="0" w:line="260" w:lineRule="auto"/>
        <w:rPr>
          <w:sz w:val="20"/>
          <w:szCs w:val="20"/>
          <w:color w:val="auto"/>
        </w:rPr>
      </w:pPr>
      <w:r>
        <w:rPr>
          <w:rFonts w:ascii="Arial" w:cs="Arial" w:eastAsia="Arial" w:hAnsi="Arial"/>
          <w:sz w:val="18"/>
          <w:szCs w:val="18"/>
          <w:color w:val="auto"/>
        </w:rPr>
        <w:t>range set forth on the cover page of this prospectus), after deducting underwriting discounts and commissions and estimated offering expenses payable by us.</w:t>
      </w:r>
    </w:p>
    <w:p>
      <w:pPr>
        <w:spacing w:after="0" w:line="185"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Prior to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183"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revolving credit facility with approximately $200 million borrowing capacity and an approximately $820.0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term loan facility and the revolving credit facility, we can provide no assurance that the Board of Managers will make such a determination. We anticipate that BellRing Brands, LLC, if its Board of Managers determines to borrow under the debt facilities, will borrow approximately $820.0 million under the term loan facility and approximately $15.0 million under the revolving credit facility and receive net proceeds of approximately $6.6 million, after deducting fees, expenses and repayment of the remaining portion of the Post bridge loan and related interest.</w:t>
      </w:r>
    </w:p>
    <w:p>
      <w:pPr>
        <w:spacing w:after="0" w:line="183" w:lineRule="exact"/>
        <w:rPr>
          <w:sz w:val="20"/>
          <w:szCs w:val="20"/>
          <w:color w:val="auto"/>
        </w:rPr>
      </w:pPr>
    </w:p>
    <w:p>
      <w:pPr>
        <w:ind w:left="220" w:right="220" w:firstLine="440"/>
        <w:spacing w:after="0" w:line="286" w:lineRule="auto"/>
        <w:rPr>
          <w:sz w:val="20"/>
          <w:szCs w:val="20"/>
          <w:color w:val="auto"/>
        </w:rPr>
      </w:pPr>
      <w:r>
        <w:rPr>
          <w:rFonts w:ascii="Arial" w:cs="Arial" w:eastAsia="Arial" w:hAnsi="Arial"/>
          <w:sz w:val="17"/>
          <w:szCs w:val="17"/>
          <w:color w:val="auto"/>
        </w:rPr>
        <w:t>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165" w:lineRule="exact"/>
        <w:rPr>
          <w:sz w:val="20"/>
          <w:szCs w:val="20"/>
          <w:color w:val="auto"/>
        </w:rPr>
      </w:pPr>
    </w:p>
    <w:p>
      <w:pPr>
        <w:ind w:left="220" w:right="100" w:firstLine="440"/>
        <w:spacing w:after="0" w:line="301"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56"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As part of the formation transactions and this offering, BellRing Brands, LLC and its subsidiaries and BellRing Brands, Inc. will be designated “unrestricted subsidiaries” under Post’s senior note indentures and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spacing w:after="0" w:line="256" w:lineRule="auto"/>
        <w:rPr>
          <w:sz w:val="20"/>
          <w:szCs w:val="20"/>
          <w:color w:val="auto"/>
        </w:rPr>
      </w:pPr>
      <w:r>
        <w:rPr>
          <w:rFonts w:ascii="Arial" w:cs="Arial" w:eastAsia="Arial" w:hAnsi="Arial"/>
          <w:sz w:val="18"/>
          <w:szCs w:val="18"/>
          <w:color w:val="auto"/>
        </w:rPr>
        <w:t>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91" w:lineRule="exact"/>
        <w:rPr>
          <w:sz w:val="20"/>
          <w:szCs w:val="20"/>
          <w:color w:val="auto"/>
        </w:rPr>
      </w:pPr>
    </w:p>
    <w:p>
      <w:pPr>
        <w:ind w:left="220" w:right="100" w:firstLine="440"/>
        <w:spacing w:after="0" w:line="269" w:lineRule="auto"/>
        <w:rPr>
          <w:sz w:val="20"/>
          <w:szCs w:val="20"/>
          <w:color w:val="auto"/>
        </w:rPr>
      </w:pPr>
      <w:r>
        <w:rPr>
          <w:rFonts w:ascii="Arial" w:cs="Arial" w:eastAsia="Arial" w:hAnsi="Arial"/>
          <w:sz w:val="17"/>
          <w:szCs w:val="17"/>
          <w:color w:val="auto"/>
        </w:rPr>
        <w:t>Additionally, BellRing Brands, Inc. intends to enter into a tax receivable agreement with Post and BellRing Brands, LLC that will provide for the payment by BellRing Brands, Inc. or one of its subsidiaries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BellRing Brands, Inc. realizes (or, in some circumstances, BellRing Brands, Inc. is deemed to realize) as a result of (a) the increase in the tax basis of assets of BellRing Brands, LLC attributable to (i) the redemption of Post’s (or certain transferees’ or assignees’) BellRing Brands, LLC Units for shares of BellRing Brands, Inc.’s Class A common stock or cash, (ii) deemed sales by Post (or certain of its transferees or assignees) of BellRing Brands, LLC Units or assets to BellRing Brands, Inc., (iii) certain actual or deemed distributions from BellRing Brands, LLC to Post (or certain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w:t>
      </w:r>
    </w:p>
    <w:p>
      <w:pPr>
        <w:spacing w:after="0" w:line="183" w:lineRule="exact"/>
        <w:rPr>
          <w:sz w:val="20"/>
          <w:szCs w:val="20"/>
          <w:color w:val="auto"/>
        </w:rPr>
      </w:pPr>
    </w:p>
    <w:p>
      <w:pPr>
        <w:ind w:left="220" w:right="120" w:firstLine="440"/>
        <w:spacing w:after="0" w:line="254" w:lineRule="auto"/>
        <w:rPr>
          <w:sz w:val="20"/>
          <w:szCs w:val="20"/>
          <w:color w:val="auto"/>
        </w:rPr>
      </w:pPr>
      <w:r>
        <w:rPr>
          <w:rFonts w:ascii="Arial" w:cs="Arial" w:eastAsia="Arial" w:hAnsi="Arial"/>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2019 or fiscal 2020.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93"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See “Certain Relationships and Related Party Transactions—Post-Offering Relationship with Post—Amended and Restated Limited Liability Company Agreement— Distributions and Allocations.” The amended and restated limited liability company agreement provides, to the extent cash is available, for distributions pro rata to the holders of BellRing Brands, LLC Units such that members receive an amount of cash sufficient to cover the estimated taxes payable by them including, in the case of BellRing Brands, Inc., an amount sufficient to allow BellRing Brands, Inc. to make any payments required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Cash provided by operating activities for the nine months ended June 30, 2019 decreased by $41.1 million compared to the prior year period. The decrease was driven by unfavorable working capital changes of</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spacing w:after="0" w:line="256" w:lineRule="auto"/>
        <w:rPr>
          <w:sz w:val="20"/>
          <w:szCs w:val="20"/>
          <w:color w:val="auto"/>
        </w:rPr>
      </w:pPr>
      <w:r>
        <w:rPr>
          <w:rFonts w:ascii="Arial" w:cs="Arial" w:eastAsia="Arial" w:hAnsi="Arial"/>
          <w:sz w:val="18"/>
          <w:szCs w:val="18"/>
          <w:color w:val="auto"/>
        </w:rPr>
        <w:t xml:space="preserve">$85.9 million, partially offset by higher earnings before income taxes. Changes in working capital were primarily driven by the impacts of fluctuations in the timing of sales largely connected with the reintroduction of all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 flavors in the second quarter of fiscal 2019 (for further discussion, see “Industry &amp; Company Trends” above) and fluctuations in the 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20" w:right="280" w:firstLine="440"/>
        <w:spacing w:after="0" w:line="256"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provided by operating activities for the year ended September 30, 2017 increased by $39.6 million compared to the year ended</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Cash used in investing activities for the nine months ended June 30, 2019 decreased by $0.4 million compared to the prior year period, resulting from a decrease in capital expenditures.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20" w:right="20" w:firstLine="440"/>
        <w:spacing w:after="0" w:line="279" w:lineRule="auto"/>
        <w:rPr>
          <w:sz w:val="20"/>
          <w:szCs w:val="20"/>
          <w:color w:val="auto"/>
        </w:rPr>
      </w:pPr>
      <w:r>
        <w:rPr>
          <w:rFonts w:ascii="Arial" w:cs="Arial" w:eastAsia="Arial" w:hAnsi="Arial"/>
          <w:sz w:val="17"/>
          <w:szCs w:val="17"/>
          <w:color w:val="auto"/>
        </w:rPr>
        <w:t>Cash used in financing activities for the nine months ended June 30, 2019 decreased $34.5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8 of “Notes to Condensed Combined Financial Statements” for the nine months ended June 30, 2019 and 2018).</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Cash used in financing activities for the year ended September 30, 2018 increased $49.0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0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02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$ 114.3</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2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386.7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$ 119.5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0" w:hanging="430"/>
        <w:spacing w:after="0" w:line="255"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spacing w:after="0" w:line="2" w:lineRule="exact"/>
        <w:rPr>
          <w:rFonts w:ascii="Arial" w:cs="Arial" w:eastAsia="Arial" w:hAnsi="Arial"/>
          <w:sz w:val="18"/>
          <w:szCs w:val="18"/>
          <w:color w:val="auto"/>
        </w:rPr>
      </w:pPr>
    </w:p>
    <w:p>
      <w:pPr>
        <w:ind w:left="640" w:right="740" w:hanging="430"/>
        <w:spacing w:after="0" w:line="250"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640" w:right="160" w:hanging="430"/>
        <w:spacing w:after="0" w:line="255"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COMMODITY TRENDS</w:t>
      </w:r>
    </w:p>
    <w:p>
      <w:pPr>
        <w:spacing w:after="0" w:line="229"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2018, 2017 and 2016, but could have a material impact in the future if inflation rates were to significantly exceed our ability to achieve price increases.</w:t>
      </w: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220" w:right="580" w:firstLine="440"/>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6" w:lineRule="exact"/>
        <w:rPr>
          <w:sz w:val="20"/>
          <w:szCs w:val="20"/>
          <w:color w:val="auto"/>
        </w:rPr>
      </w:pPr>
    </w:p>
    <w:p>
      <w:pPr>
        <w:ind w:left="220" w:right="240" w:firstLine="440"/>
        <w:spacing w:after="0" w:line="256"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91" w:lineRule="exact"/>
        <w:rPr>
          <w:sz w:val="20"/>
          <w:szCs w:val="20"/>
          <w:color w:val="auto"/>
        </w:rPr>
      </w:pPr>
    </w:p>
    <w:p>
      <w:pPr>
        <w:ind w:left="220" w:right="520" w:firstLine="440"/>
        <w:spacing w:after="0" w:line="263"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79" w:lineRule="exact"/>
        <w:rPr>
          <w:sz w:val="20"/>
          <w:szCs w:val="20"/>
          <w:color w:val="auto"/>
        </w:rPr>
      </w:pPr>
    </w:p>
    <w:p>
      <w:pPr>
        <w:ind w:left="220" w:right="380" w:firstLine="440"/>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–Revenue is recognized when title of goods is transferred to the customer, as specified by the shipping terms.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gross sales, including amounts billed to customers for shipping and handling, less sales discounts and trade allowances. Customer trade allowances are generally computed as a</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63" w:lineRule="auto"/>
        <w:rPr>
          <w:sz w:val="20"/>
          <w:szCs w:val="20"/>
          <w:color w:val="auto"/>
        </w:rPr>
      </w:pPr>
      <w:r>
        <w:rPr>
          <w:rFonts w:ascii="Arial" w:cs="Arial" w:eastAsia="Arial" w:hAnsi="Arial"/>
          <w:sz w:val="18"/>
          <w:szCs w:val="18"/>
          <w:color w:val="auto"/>
        </w:rPr>
        <w:t>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83" w:lineRule="exact"/>
        <w:rPr>
          <w:sz w:val="20"/>
          <w:szCs w:val="20"/>
          <w:color w:val="auto"/>
        </w:rPr>
      </w:pPr>
    </w:p>
    <w:p>
      <w:pPr>
        <w:ind w:left="220" w:right="600" w:firstLine="440"/>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220" w:right="200" w:firstLine="440"/>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0" w:lineRule="exact"/>
        <w:rPr>
          <w:sz w:val="20"/>
          <w:szCs w:val="20"/>
          <w:color w:val="auto"/>
        </w:rPr>
      </w:pPr>
    </w:p>
    <w:p>
      <w:pPr>
        <w:ind w:left="220" w:right="180" w:firstLine="440"/>
        <w:spacing w:after="0" w:line="273" w:lineRule="auto"/>
        <w:rPr>
          <w:sz w:val="20"/>
          <w:szCs w:val="20"/>
          <w:color w:val="auto"/>
        </w:rPr>
      </w:pPr>
      <w:r>
        <w:rPr>
          <w:rFonts w:ascii="Arial" w:cs="Arial" w:eastAsia="Arial" w:hAnsi="Arial"/>
          <w:sz w:val="17"/>
          <w:szCs w:val="17"/>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177" w:lineRule="exact"/>
        <w:rPr>
          <w:sz w:val="20"/>
          <w:szCs w:val="20"/>
          <w:color w:val="auto"/>
        </w:rPr>
      </w:pPr>
    </w:p>
    <w:p>
      <w:pPr>
        <w:ind w:left="220" w:right="220" w:firstLine="440"/>
        <w:spacing w:after="0" w:line="311"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4" w:lineRule="exact"/>
        <w:rPr>
          <w:sz w:val="20"/>
          <w:szCs w:val="20"/>
          <w:color w:val="auto"/>
        </w:rPr>
      </w:pPr>
    </w:p>
    <w:p>
      <w:pPr>
        <w:ind w:left="220" w:right="40" w:firstLine="440"/>
        <w:spacing w:after="0" w:line="280"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7" w:lineRule="exact"/>
        <w:rPr>
          <w:sz w:val="20"/>
          <w:szCs w:val="20"/>
          <w:color w:val="auto"/>
        </w:rPr>
      </w:pPr>
    </w:p>
    <w:p>
      <w:pPr>
        <w:ind w:left="220" w:firstLine="440"/>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the cost of acquired businesses over the fair market value of their identifiable net assets. We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64"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71" w:lineRule="auto"/>
        <w:rPr>
          <w:sz w:val="20"/>
          <w:szCs w:val="20"/>
          <w:color w:val="auto"/>
        </w:rPr>
      </w:pPr>
      <w:r>
        <w:rPr>
          <w:rFonts w:ascii="Arial" w:cs="Arial" w:eastAsia="Arial" w:hAnsi="Arial"/>
          <w:sz w:val="17"/>
          <w:szCs w:val="17"/>
          <w:color w:val="auto"/>
        </w:rPr>
        <w:t>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7"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 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63"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165" w:lineRule="exact"/>
        <w:rPr>
          <w:sz w:val="20"/>
          <w:szCs w:val="20"/>
          <w:color w:val="auto"/>
        </w:rPr>
      </w:pPr>
    </w:p>
    <w:p>
      <w:pPr>
        <w:ind w:left="220" w:right="160" w:firstLine="440"/>
        <w:spacing w:after="0" w:line="275" w:lineRule="auto"/>
        <w:rPr>
          <w:sz w:val="20"/>
          <w:szCs w:val="20"/>
          <w:color w:val="auto"/>
        </w:rPr>
      </w:pPr>
      <w:r>
        <w:rPr>
          <w:rFonts w:ascii="Arial" w:cs="Arial" w:eastAsia="Arial" w:hAnsi="Arial"/>
          <w:sz w:val="17"/>
          <w:szCs w:val="17"/>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exceeded their carrying values by more than 100%.</w:t>
      </w:r>
    </w:p>
    <w:p>
      <w:pPr>
        <w:spacing w:after="0" w:line="171" w:lineRule="exact"/>
        <w:rPr>
          <w:sz w:val="20"/>
          <w:szCs w:val="20"/>
          <w:color w:val="auto"/>
        </w:rPr>
      </w:pPr>
    </w:p>
    <w:p>
      <w:pPr>
        <w:ind w:left="220" w:right="40" w:firstLine="440"/>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nine months ended June 30, 2019 and 2018 for more information about estimates affecting income taxes.</w:t>
      </w:r>
    </w:p>
    <w:p>
      <w:pPr>
        <w:spacing w:after="0" w:line="39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nine months ended June 30, 2019 and 2018 for a discussion regarding recently issued and adopted accounting standards.</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20" w:right="280" w:firstLine="440"/>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24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82" w:lineRule="exact"/>
        <w:rPr>
          <w:sz w:val="20"/>
          <w:szCs w:val="20"/>
          <w:color w:val="auto"/>
        </w:rPr>
      </w:pPr>
    </w:p>
    <w:p>
      <w:pPr>
        <w:ind w:left="1180" w:right="980" w:hanging="538"/>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80" w:right="160" w:hanging="538"/>
        <w:spacing w:after="0" w:line="263"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is not always easy (or enjoyable) to be healthy. This is why we never compromise on our commitment to strive to make highly effective products that deliver best-in-class nutritionals and superior taste.</w:t>
      </w:r>
    </w:p>
    <w:p>
      <w:pPr>
        <w:spacing w:after="0" w:line="88" w:lineRule="exact"/>
        <w:rPr>
          <w:rFonts w:ascii="Arial" w:cs="Arial" w:eastAsia="Arial" w:hAnsi="Arial"/>
          <w:sz w:val="18"/>
          <w:szCs w:val="18"/>
          <w:color w:val="auto"/>
        </w:rPr>
      </w:pPr>
    </w:p>
    <w:p>
      <w:pPr>
        <w:ind w:left="1180" w:right="160" w:hanging="538"/>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1180" w:right="380" w:hanging="538"/>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 xml:space="preserve">We believe 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grew at a CAGR of 42% from fiscal 2016 to fiscal 2018.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Our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168910</wp:posOffset>
            </wp:positionV>
            <wp:extent cx="5113655" cy="31521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13655" cy="315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24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9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94615</wp:posOffset>
            </wp:positionV>
            <wp:extent cx="5850255" cy="18757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50255"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1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Fiscal 2018 Net Sales By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171450</wp:posOffset>
            </wp:positionV>
            <wp:extent cx="1816100" cy="1464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16100" cy="146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is positioned to satisfy not only the everyday nutrition consumer need state, but also to appeal to the adult nutrition, sports nutrition and weight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63" w:lineRule="exact"/>
        <w:rPr>
          <w:sz w:val="20"/>
          <w:szCs w:val="20"/>
          <w:color w:val="auto"/>
        </w:rPr>
      </w:pPr>
    </w:p>
    <w:p>
      <w:pPr>
        <w:ind w:left="220" w:right="160" w:firstLine="440"/>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93"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brand. Premier Nutrition, Inc. was founded in 1997, and Joint Juice, Inc. was founded in 1999. In 2011, Joint Juice, Inc. acquired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related assets from Premier Nutrition, Inc. via a corporate restructuring, and the resulting entity assumed the name Premier Nutrition 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91" w:lineRule="exact"/>
        <w:rPr>
          <w:sz w:val="20"/>
          <w:szCs w:val="20"/>
          <w:color w:val="auto"/>
        </w:rPr>
      </w:pPr>
    </w:p>
    <w:p>
      <w:pPr>
        <w:ind w:left="220" w:right="100" w:firstLine="440"/>
        <w:spacing w:after="0" w:line="255" w:lineRule="auto"/>
        <w:rPr>
          <w:sz w:val="20"/>
          <w:szCs w:val="20"/>
          <w:color w:val="auto"/>
        </w:rPr>
      </w:pPr>
      <w:r>
        <w:rPr>
          <w:rFonts w:ascii="Arial" w:cs="Arial" w:eastAsia="Arial" w:hAnsi="Arial"/>
          <w:sz w:val="18"/>
          <w:szCs w:val="18"/>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Dymatize Enterprises was founded in 1994 and purchased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in 2012. At the time of the Post acquisition,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91"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 xml:space="preserve">In fiscal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Musashi</w:t>
      </w:r>
      <w:r>
        <w:rPr>
          <w:rFonts w:ascii="Arial" w:cs="Arial" w:eastAsia="Arial" w:hAnsi="Arial"/>
          <w:sz w:val="18"/>
          <w:szCs w:val="18"/>
          <w:color w:val="auto"/>
        </w:rPr>
        <w:t xml:space="preserve"> brands, Active Nutrition International (formerly known as PowerBar Europe GmbH) and manufacturing facilities in Boise, Idaho and Voerde, Germany. The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 was founded in 1986. In fiscal 2015, Post sold the</w:t>
      </w:r>
      <w:r>
        <w:rPr>
          <w:rFonts w:ascii="Arial" w:cs="Arial" w:eastAsia="Arial" w:hAnsi="Arial"/>
          <w:sz w:val="18"/>
          <w:szCs w:val="18"/>
          <w:i w:val="1"/>
          <w:iCs w:val="1"/>
          <w:color w:val="auto"/>
        </w:rPr>
        <w:t xml:space="preserve"> Musashi </w:t>
      </w:r>
      <w:r>
        <w:rPr>
          <w:rFonts w:ascii="Arial" w:cs="Arial" w:eastAsia="Arial" w:hAnsi="Arial"/>
          <w:sz w:val="18"/>
          <w:szCs w:val="18"/>
          <w:color w:val="auto"/>
        </w:rPr>
        <w:t>brand. In that same fiscal year, Post also ceased all production at,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thereafter sold, the Boise manufacturing facility. All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86"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August 3, 2019, bars have a 50% dollar share, RTDs have a 39% dollar share and powders have an 11% dollar share. However, management believes the powder share for the total U.S. market (tracked and untracked) is significantly greater than the 11% share in tracked channels.</w:t>
      </w: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Tracked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160020</wp:posOffset>
            </wp:positionV>
            <wp:extent cx="2749550" cy="21926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49550" cy="219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Source: Nielsen, Total US xAOC including Convenience, 52 week period ended 8/3/2019</w:t>
      </w:r>
    </w:p>
    <w:p>
      <w:pPr>
        <w:spacing w:after="0" w:line="208" w:lineRule="exact"/>
        <w:rPr>
          <w:sz w:val="20"/>
          <w:szCs w:val="20"/>
          <w:color w:val="auto"/>
        </w:rPr>
      </w:pPr>
    </w:p>
    <w:p>
      <w:pPr>
        <w:ind w:left="220" w:right="80" w:firstLine="440"/>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August 3, 2019, management estimates that, excluding the private label and other sales from the category (which account for 5% and 3%, respectively, of the sales in the category), everyday nutrition represents a 50% share of the category, adult nutrition represents a 17% share of the category, sports nutrition represents a 16% share of the category and weight management represents a 17% share of the category.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168910</wp:posOffset>
            </wp:positionV>
            <wp:extent cx="5010785" cy="41802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10785" cy="418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 xml:space="preserve">Everyday nutrition is the largest, fastest-growing need state in the category based on Nielsen data for Total US xAOC including Convenience for the 52 week period ended August 8, 2015 and the comparable period in 2019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developed brand equities and product value propositions to appeal to a broad range of consumer need states.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brands are focused primarily on sports nutrition, which we define as consumers looking to supplement sports endurance and body building needs.</w:t>
      </w:r>
    </w:p>
    <w:p>
      <w:pPr>
        <w:spacing w:after="0" w:line="163" w:lineRule="exact"/>
        <w:rPr>
          <w:sz w:val="20"/>
          <w:szCs w:val="20"/>
          <w:color w:val="auto"/>
        </w:rPr>
      </w:pPr>
    </w:p>
    <w:p>
      <w:pPr>
        <w:ind w:left="220" w:right="80" w:firstLine="440"/>
        <w:spacing w:after="0" w:line="290" w:lineRule="auto"/>
        <w:rPr>
          <w:sz w:val="20"/>
          <w:szCs w:val="20"/>
          <w:color w:val="auto"/>
        </w:rPr>
      </w:pPr>
      <w:r>
        <w:rPr>
          <w:rFonts w:ascii="Arial" w:cs="Arial" w:eastAsia="Arial" w:hAnsi="Arial"/>
          <w:sz w:val="16"/>
          <w:szCs w:val="16"/>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In addition, the IRI 2019 State of the Snack Food Industry report</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spacing w:after="0" w:line="259" w:lineRule="auto"/>
        <w:rPr>
          <w:sz w:val="20"/>
          <w:szCs w:val="20"/>
          <w:color w:val="auto"/>
        </w:rPr>
      </w:pPr>
      <w:r>
        <w:rPr>
          <w:rFonts w:ascii="Arial" w:cs="Arial" w:eastAsia="Arial" w:hAnsi="Arial"/>
          <w:sz w:val="18"/>
          <w:szCs w:val="18"/>
          <w:color w:val="auto"/>
        </w:rPr>
        <w:t>highlights that consumers are increasingly eating more frequently throughout the day and 47% of consumers snack more than three times a day. In fact, according to Mintel’s 2019 report, Snacking Motivations and Attitudes, 95% of U.S. adults snack daily.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186" w:lineRule="exact"/>
        <w:rPr>
          <w:sz w:val="20"/>
          <w:szCs w:val="20"/>
          <w:color w:val="auto"/>
        </w:rPr>
      </w:pPr>
    </w:p>
    <w:p>
      <w:pPr>
        <w:ind w:left="220" w:right="80" w:firstLine="440"/>
        <w:spacing w:after="0" w:line="289" w:lineRule="auto"/>
        <w:rPr>
          <w:sz w:val="20"/>
          <w:szCs w:val="20"/>
          <w:color w:val="auto"/>
        </w:rPr>
      </w:pPr>
      <w:r>
        <w:rPr>
          <w:rFonts w:ascii="Arial" w:cs="Arial" w:eastAsia="Arial" w:hAnsi="Arial"/>
          <w:sz w:val="16"/>
          <w:szCs w:val="16"/>
          <w:color w:val="auto"/>
        </w:rPr>
        <w:t>“Mainstreaming” convenient nutrition is fueling growth in the category across all forms, with total U.S. household penetration reaching 55% for the 52 week period ended July 27, 2019 (an increase from 52% for the 52 week period ended July 1,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the 52 week period ended August 10, 2019. Management believes there is a significant growth opportunity in liquids and powders as household penetration for the 52 week period ended July 27, 2019 according to Nielsen household panel data for all outlets was only 24% for liquids and 11% for powders, compared to 43% for bars.</w:t>
      </w:r>
    </w:p>
    <w:p>
      <w:pPr>
        <w:spacing w:after="0" w:line="164"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20" w:right="220" w:firstLine="440"/>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220" w:right="200" w:firstLine="440"/>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5"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20"/>
        <w:spacing w:after="0" w:line="307" w:lineRule="auto"/>
        <w:rPr>
          <w:sz w:val="20"/>
          <w:szCs w:val="20"/>
          <w:color w:val="auto"/>
        </w:rPr>
      </w:pPr>
      <w:r>
        <w:rPr>
          <w:rFonts w:ascii="Arial" w:cs="Arial" w:eastAsia="Arial" w:hAnsi="Arial"/>
          <w:sz w:val="17"/>
          <w:szCs w:val="17"/>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47"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flagship brand and is supported by a portfolio of other well-recognized brands with growth potential.</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positioned to appeal to mainstream consumers seeking convenient, delicious protein products they can enjoy throughout the day. Our 11 ounce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 epitomizes this brand commitment, providing a great-tasting, on-the-go beverage with 30 grams of protein and only one gram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holds the #1 share in the convenient nutrition category and the convenient nutrition RTD category based on Nielsen household panel data for all outlets for the 52 week period ended July 27, 2019.</w:t>
      </w:r>
    </w:p>
    <w:p>
      <w:pPr>
        <w:spacing w:after="0" w:line="184"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93" w:lineRule="exact"/>
        <w:rPr>
          <w:sz w:val="20"/>
          <w:szCs w:val="20"/>
          <w:color w:val="auto"/>
        </w:rPr>
      </w:pPr>
    </w:p>
    <w:p>
      <w:pPr>
        <w:ind w:left="220" w:right="160" w:firstLine="440"/>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 June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is positioned as a high-quality brand both in the U.S. and internationally and has a notable presence in Western Europe.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to include new flavors, powders and nutrition bars.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7" w:lineRule="exact"/>
        <w:rPr>
          <w:sz w:val="20"/>
          <w:szCs w:val="20"/>
          <w:color w:val="auto"/>
        </w:rPr>
      </w:pPr>
    </w:p>
    <w:p>
      <w:pPr>
        <w:ind w:left="220" w:right="120" w:firstLine="440"/>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1"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220" w:right="520" w:firstLine="440"/>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5"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72" w:lineRule="auto"/>
        <w:rPr>
          <w:sz w:val="20"/>
          <w:szCs w:val="20"/>
          <w:color w:val="auto"/>
        </w:rPr>
      </w:pPr>
      <w:r>
        <w:rPr>
          <w:rFonts w:ascii="Arial" w:cs="Arial" w:eastAsia="Arial" w:hAnsi="Arial"/>
          <w:sz w:val="17"/>
          <w:szCs w:val="17"/>
          <w:color w:val="auto"/>
        </w:rPr>
        <w:t>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1" w:lineRule="exact"/>
        <w:rPr>
          <w:sz w:val="20"/>
          <w:szCs w:val="20"/>
          <w:color w:val="auto"/>
        </w:rPr>
      </w:pPr>
    </w:p>
    <w:p>
      <w:pPr>
        <w:jc w:val="both"/>
        <w:ind w:left="220" w:right="260" w:firstLine="440"/>
        <w:spacing w:after="0" w:line="263"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24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142240</wp:posOffset>
            </wp:positionV>
            <wp:extent cx="4848225" cy="3888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48225" cy="388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24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93" w:lineRule="auto"/>
        <w:rPr>
          <w:sz w:val="20"/>
          <w:szCs w:val="20"/>
          <w:color w:val="auto"/>
        </w:rPr>
      </w:pPr>
      <w:r>
        <w:rPr>
          <w:rFonts w:ascii="Arial" w:cs="Arial" w:eastAsia="Arial" w:hAnsi="Arial"/>
          <w:sz w:val="16"/>
          <w:szCs w:val="16"/>
          <w:color w:val="auto"/>
        </w:rPr>
        <w:t xml:space="preserve">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3"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220" w:right="20" w:firstLine="440"/>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6"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3"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We expect to introduce two additional flavors in the fall of 2019. We also have improved the taste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and nutrition bar formulations to ensure we continue to delight consumers. We believe our new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offering has achieved top 10% category velocities in FDM since its launch in December 2017 based on Nielsen tracked channels data for the 52 week period ended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254" w:lineRule="auto"/>
        <w:rPr>
          <w:sz w:val="20"/>
          <w:szCs w:val="20"/>
          <w:color w:val="auto"/>
        </w:rPr>
      </w:pPr>
      <w:r>
        <w:rPr>
          <w:rFonts w:ascii="Arial" w:cs="Arial" w:eastAsia="Arial" w:hAnsi="Arial"/>
          <w:sz w:val="18"/>
          <w:szCs w:val="18"/>
          <w:color w:val="auto"/>
        </w:rPr>
        <w:t xml:space="preserve">August 3,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The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RTD product is now distributed nationwide in Costco and other key retailers.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continues to be a leader in disruptive product innovation with several leading products for its core enthusiasts, the most recent being </w:t>
      </w:r>
      <w:r>
        <w:rPr>
          <w:rFonts w:ascii="Arial" w:cs="Arial" w:eastAsia="Arial" w:hAnsi="Arial"/>
          <w:sz w:val="18"/>
          <w:szCs w:val="18"/>
          <w:i w:val="1"/>
          <w:iCs w:val="1"/>
          <w:color w:val="auto"/>
        </w:rPr>
        <w:t>All9 Amino</w:t>
      </w:r>
      <w:r>
        <w:rPr>
          <w:rFonts w:ascii="Arial" w:cs="Arial" w:eastAsia="Arial" w:hAnsi="Arial"/>
          <w:sz w:val="18"/>
          <w:szCs w:val="18"/>
          <w:color w:val="auto"/>
        </w:rPr>
        <w:t>, a supplement that provides the nine essential amino acids for optimal muscle protein synthesis.</w:t>
      </w:r>
    </w:p>
    <w:p>
      <w:pPr>
        <w:spacing w:after="0" w:line="190" w:lineRule="exact"/>
        <w:rPr>
          <w:sz w:val="20"/>
          <w:szCs w:val="20"/>
          <w:color w:val="auto"/>
        </w:rPr>
      </w:pPr>
    </w:p>
    <w:p>
      <w:pPr>
        <w:ind w:left="220" w:right="300" w:firstLine="440"/>
        <w:spacing w:after="0" w:line="256"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220" w:right="240" w:firstLine="440"/>
        <w:spacing w:after="0" w:line="263"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3"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7"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220" w:right="140" w:firstLine="440"/>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220" w:right="260" w:firstLine="440"/>
        <w:spacing w:after="0" w:line="341"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220" w:right="340" w:firstLine="440"/>
        <w:spacing w:after="0" w:line="307"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a leading mainstream, lifestyle brand, holding the #1 share position in the convenient nutrition category and the convenient</w:t>
      </w:r>
      <w:r>
        <w:rPr>
          <w:rFonts w:ascii="Arial" w:cs="Arial" w:eastAsia="Arial" w:hAnsi="Arial"/>
          <w:sz w:val="17"/>
          <w:szCs w:val="17"/>
          <w:i w:val="1"/>
          <w:iCs w:val="1"/>
          <w:color w:val="auto"/>
        </w:rPr>
        <w:t xml:space="preserve"> </w:t>
      </w:r>
      <w:r>
        <w:rPr>
          <w:rFonts w:ascii="Arial" w:cs="Arial" w:eastAsia="Arial" w:hAnsi="Arial"/>
          <w:sz w:val="17"/>
          <w:szCs w:val="17"/>
          <w:color w:val="auto"/>
        </w:rPr>
        <w:t>nutrition RTD category as measured by Nielsen household panel data for all outlets for the 52 week period ended July 27, 2019.</w:t>
      </w:r>
    </w:p>
    <w:p>
      <w:pPr>
        <w:spacing w:after="0" w:line="147" w:lineRule="exact"/>
        <w:rPr>
          <w:sz w:val="20"/>
          <w:szCs w:val="20"/>
          <w:color w:val="auto"/>
        </w:rPr>
      </w:pPr>
    </w:p>
    <w:p>
      <w:pPr>
        <w:ind w:left="220" w:right="60" w:firstLine="440"/>
        <w:spacing w:after="0" w:line="275"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we believe it has been one of the few brands in the category that has successfully expanded across consumer types as well as product forms.</w:t>
      </w:r>
    </w:p>
    <w:p>
      <w:pPr>
        <w:spacing w:after="0" w:line="175"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the 52 week period ended August 3, 2019. In Nielsen tracked channels, our RTD protein shake sales have organically grown at a 56% CAGR from 2015 to 2019 based on Nielsen data for Total US xAOC including Convenience for the 52 week period ended August 15, 2015 and the comparable period in 2019, considerably outpacing the broader category.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growth has expanded the broader convenient nutrition category. For example,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drove 53% of convenient nutrition RTD category growth according to Nielsen data for Total US xAOC including Convenience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’s organic growth is fueled by our consumers’ loyalty to and love for the brand and its products, as new users are often introduced by their friends, families or health care providers.</w:t>
      </w:r>
    </w:p>
    <w:p>
      <w:pPr>
        <w:spacing w:after="0" w:line="165" w:lineRule="exact"/>
        <w:rPr>
          <w:sz w:val="20"/>
          <w:szCs w:val="20"/>
          <w:color w:val="auto"/>
        </w:rPr>
      </w:pPr>
    </w:p>
    <w:p>
      <w:pPr>
        <w:ind w:left="220" w:right="40" w:firstLine="440"/>
        <w:spacing w:after="0" w:line="273"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’s product characteristics and category-leading consumer loyalty differentiate the brand from its RTD competitors.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Nielsen consumer metrics, we believe the brand’s RTD protein shakes outpace its competition in buy rate, purchase size, repeat rate and share of requirements. In addition, based on sales volumes from the last twelve months ended June 30, 2019, management estimates that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sold 17 RTD shakes per second. Despite these metrics, according to Nielsen household panel data for all outlets for the 52 week period ended July 27, 2019, the U.S. household penetration rate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of 5% remains well below the household penetration rate for liquids in the convenient nutrition category of 24%, which we believe underscores the brand’s significant runway for growth.</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8780" w:type="dxa"/>
            <w:vAlign w:val="bottom"/>
            <w:gridSpan w:val="2"/>
          </w:tcPr>
          <w:p>
            <w:pPr>
              <w:spacing w:after="0"/>
              <w:rPr>
                <w:sz w:val="20"/>
                <w:szCs w:val="20"/>
                <w:color w:val="auto"/>
              </w:rPr>
            </w:pPr>
            <w:r>
              <w:rPr>
                <w:rFonts w:ascii="Arial" w:cs="Arial" w:eastAsia="Arial" w:hAnsi="Arial"/>
                <w:sz w:val="14"/>
                <w:szCs w:val="14"/>
                <w:b w:val="1"/>
                <w:bCs w:val="1"/>
                <w:color w:val="auto"/>
              </w:rPr>
              <w:t>Key Metric: Nielsen Household Panel, All Outlets, 52 week period ended 7/27/19</w:t>
            </w:r>
          </w:p>
        </w:tc>
        <w:tc>
          <w:tcPr>
            <w:tcW w:w="2220" w:type="dxa"/>
            <w:vAlign w:val="bottom"/>
          </w:tcPr>
          <w:p>
            <w:pPr>
              <w:jc w:val="right"/>
              <w:ind w:right="133"/>
              <w:spacing w:after="0"/>
              <w:rPr>
                <w:sz w:val="20"/>
                <w:szCs w:val="20"/>
                <w:color w:val="auto"/>
              </w:rPr>
            </w:pPr>
            <w:r>
              <w:rPr>
                <w:rFonts w:ascii="Arial" w:cs="Arial" w:eastAsia="Arial" w:hAnsi="Arial"/>
                <w:sz w:val="14"/>
                <w:szCs w:val="14"/>
                <w:b w:val="1"/>
                <w:bCs w:val="1"/>
                <w:color w:val="auto"/>
              </w:rPr>
              <w:t>Premier Protein RTD Shakes</w:t>
            </w:r>
          </w:p>
        </w:tc>
      </w:tr>
      <w:tr>
        <w:trPr>
          <w:trHeight w:val="209"/>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1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rPr>
              <w:t>$ 67.2</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Purchase Size</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$ 23.2</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Repeat Rate</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55%</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Share of Requirements (Loyalty)</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68%</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portfolio consists of RTD protein shakes, refreshing protein beverages, nutrition bars and protein powders.</w:t>
      </w:r>
      <w:r>
        <w:rPr>
          <w:rFonts w:ascii="Arial" w:cs="Arial" w:eastAsia="Arial" w:hAnsi="Arial"/>
          <w:sz w:val="18"/>
          <w:szCs w:val="18"/>
          <w:i w:val="1"/>
          <w:iCs w:val="1"/>
          <w:color w:val="auto"/>
        </w:rPr>
        <w:t xml:space="preserve"> Premier Protein</w:t>
      </w:r>
      <w:r>
        <w:rPr>
          <w:rFonts w:ascii="Arial" w:cs="Arial" w:eastAsia="Arial" w:hAnsi="Arial"/>
          <w:sz w:val="18"/>
          <w:szCs w:val="18"/>
          <w:color w:val="auto"/>
        </w:rPr>
        <w:t>’s flagship 11 ounce RTD protein shakes contain 30 grams of protein with only one gram of sugar and 160 calories. They are gluten-and soy-free,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across age ranges in all four need states. </w:t>
      </w:r>
      <w:r>
        <w:rPr>
          <w:rFonts w:ascii="Arial" w:cs="Arial" w:eastAsia="Arial" w:hAnsi="Arial"/>
          <w:sz w:val="18"/>
          <w:szCs w:val="18"/>
          <w:i w:val="1"/>
          <w:iCs w:val="1"/>
          <w:color w:val="auto"/>
        </w:rPr>
        <w:t>Premier Protein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300"/>
        <w:spacing w:after="0" w:line="277" w:lineRule="auto"/>
        <w:rPr>
          <w:sz w:val="20"/>
          <w:szCs w:val="20"/>
          <w:color w:val="auto"/>
        </w:rPr>
      </w:pPr>
      <w:r>
        <w:rPr>
          <w:rFonts w:ascii="Arial" w:cs="Arial" w:eastAsia="Arial" w:hAnsi="Arial"/>
          <w:sz w:val="18"/>
          <w:szCs w:val="18"/>
          <w:color w:val="auto"/>
        </w:rPr>
        <w:t>RTD shakes are available in a variety of flavors including chocolate, vanilla, cookies &amp; cream, caramel, bananas &amp; cream, strawberries &amp; cream and peaches &amp; cream. Two additional flavors will be introduced in the fall of 2019.</w:t>
      </w:r>
    </w:p>
    <w:p>
      <w:pPr>
        <w:spacing w:after="0" w:line="170" w:lineRule="exact"/>
        <w:rPr>
          <w:sz w:val="20"/>
          <w:szCs w:val="20"/>
          <w:color w:val="auto"/>
        </w:rPr>
      </w:pPr>
    </w:p>
    <w:p>
      <w:pPr>
        <w:ind w:left="220" w:right="80" w:firstLine="440"/>
        <w:spacing w:after="0" w:line="272"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has accelerated efforts to expand its portfolio of high protein products across new product forms. The brand recently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powders and refreshing protein beverages and launched a new nutrition bar line in fiscal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7"/>
          <w:szCs w:val="17"/>
          <w:i w:val="1"/>
          <w:iCs w:val="1"/>
          <w:color w:val="auto"/>
        </w:rPr>
        <w:t>Premier Protein Clear</w:t>
      </w:r>
      <w:r>
        <w:rPr>
          <w:rFonts w:ascii="Arial" w:cs="Arial" w:eastAsia="Arial" w:hAnsi="Arial"/>
          <w:sz w:val="17"/>
          <w:szCs w:val="17"/>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76"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also expanded the portfolio in fiscal 2019 to deliver a new indulgent 20 gram nutrition bar with superior taste and texture to appeal to more mainstream consumers.</w:t>
      </w:r>
    </w:p>
    <w:p>
      <w:pPr>
        <w:spacing w:after="0" w:line="186"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be found in major Canadian retailers and recently has expanded its high protein offerings into Europe with five nutrition bars and two protein powders.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also is sold in the club channel in Mexico, Japan and Korea.</w:t>
      </w:r>
    </w:p>
    <w:p>
      <w:pPr>
        <w:spacing w:after="0" w:line="170"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still in the early stages of its expansion. We expect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Based on Nielsen data for Total US x AOC including Convenience for the 52 week period ended August 10,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maintain only a 5% share of shelf space within the convenient nutrition RTD category, but generate 16% of the sales. We believe these statistics demonstrate the opportunity for growth. We intend to innovate across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bringing new flavors and products to our loyal consumer base.</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220" w:right="20" w:firstLine="440"/>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5"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91" w:lineRule="exact"/>
        <w:rPr>
          <w:sz w:val="20"/>
          <w:szCs w:val="20"/>
          <w:color w:val="auto"/>
        </w:rPr>
      </w:pPr>
    </w:p>
    <w:p>
      <w:pPr>
        <w:ind w:left="220" w:right="480" w:firstLine="440"/>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1180" w:hanging="53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based on a survey powered by Qualtrics performed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The brand delivers nutrient dense products to fuel consumers with ambitious, athletic lifestyles.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internationally and has a notable presence in Western Europe. The brand also has recently expanded into eCommerce as well as the FDM channels to drive incremental scale. According to German Nielsen MarketTrack data for the grocery and drug channels,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#2 in the sports nutrition category as measured by unit sales and is the #2 energy bar brand in revenue for July 2018 to June 2019, organically growing at a CAGR of 9% from July 2017 to June 2019.</w:t>
      </w:r>
    </w:p>
    <w:p>
      <w:pPr>
        <w:spacing w:after="0" w:line="191"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3"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6" w:lineRule="exact"/>
        <w:rPr>
          <w:sz w:val="20"/>
          <w:szCs w:val="20"/>
          <w:color w:val="auto"/>
        </w:rPr>
      </w:pPr>
    </w:p>
    <w:p>
      <w:pPr>
        <w:ind w:left="1180" w:right="260" w:hanging="538"/>
        <w:spacing w:after="0" w:line="281"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designed for specific usage occasions for committed athletes;</w:t>
      </w:r>
    </w:p>
    <w:p>
      <w:pPr>
        <w:spacing w:after="0" w:line="68" w:lineRule="exact"/>
        <w:rPr>
          <w:rFonts w:ascii="Arial" w:cs="Arial" w:eastAsia="Arial" w:hAnsi="Arial"/>
          <w:sz w:val="18"/>
          <w:szCs w:val="18"/>
          <w:color w:val="auto"/>
        </w:rPr>
      </w:pPr>
    </w:p>
    <w:p>
      <w:pPr>
        <w:ind w:left="1180" w:hanging="538"/>
        <w:spacing w:after="0"/>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1" w:lineRule="exact"/>
        <w:rPr>
          <w:rFonts w:ascii="Arial" w:cs="Arial" w:eastAsia="Arial" w:hAnsi="Arial"/>
          <w:sz w:val="17"/>
          <w:szCs w:val="17"/>
          <w:color w:val="auto"/>
        </w:rPr>
      </w:pPr>
    </w:p>
    <w:p>
      <w:pPr>
        <w:ind w:left="1180" w:right="380" w:hanging="538"/>
        <w:spacing w:after="0" w:line="281"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220" w:right="320" w:firstLine="440"/>
        <w:spacing w:after="0" w:line="263"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spacing w:after="0" w:line="311" w:lineRule="auto"/>
        <w:rPr>
          <w:sz w:val="20"/>
          <w:szCs w:val="20"/>
          <w:color w:val="auto"/>
        </w:rPr>
      </w:pPr>
      <w:r>
        <w:rPr>
          <w:rFonts w:ascii="Arial" w:cs="Arial" w:eastAsia="Arial" w:hAnsi="Arial"/>
          <w:sz w:val="16"/>
          <w:szCs w:val="16"/>
          <w:color w:val="auto"/>
        </w:rPr>
        <w:t>velocities, consumer insights and proven ability to grow their sales in the convenient nutrition category. In the 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48" w:lineRule="exact"/>
        <w:rPr>
          <w:sz w:val="20"/>
          <w:szCs w:val="20"/>
          <w:color w:val="auto"/>
        </w:rPr>
      </w:pPr>
    </w:p>
    <w:p>
      <w:pPr>
        <w:ind w:left="220" w:right="340" w:firstLine="440"/>
        <w:spacing w:after="0" w:line="263"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3"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6" w:lineRule="exact"/>
        <w:rPr>
          <w:sz w:val="20"/>
          <w:szCs w:val="20"/>
          <w:color w:val="auto"/>
        </w:rPr>
      </w:pPr>
    </w:p>
    <w:p>
      <w:pPr>
        <w:ind w:left="220" w:right="160" w:firstLine="440"/>
        <w:spacing w:after="0" w:line="273"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leads the RTD category in consumer loyalty and repeat purchases (among RTD brands with sales greater than $2.0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enthusiastic fans who grow the brand through 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we believe delivers a differentiated offering of nutritional products.</w:t>
      </w:r>
    </w:p>
    <w:p>
      <w:pPr>
        <w:spacing w:after="0" w:line="177"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1" w:lineRule="exact"/>
        <w:rPr>
          <w:sz w:val="20"/>
          <w:szCs w:val="20"/>
          <w:color w:val="auto"/>
        </w:rPr>
      </w:pPr>
    </w:p>
    <w:p>
      <w:pPr>
        <w:jc w:val="both"/>
        <w:ind w:left="1180" w:right="160" w:hanging="538"/>
        <w:spacing w:after="0" w:line="266"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From July 2018 to August 2019, www.premierprotein.com had more than 1.4 million visitors according to Google Analytics.</w:t>
      </w:r>
    </w:p>
    <w:p>
      <w:pPr>
        <w:spacing w:after="0" w:line="80" w:lineRule="exact"/>
        <w:rPr>
          <w:rFonts w:ascii="Arial" w:cs="Arial" w:eastAsia="Arial" w:hAnsi="Arial"/>
          <w:sz w:val="18"/>
          <w:szCs w:val="18"/>
          <w:color w:val="auto"/>
        </w:rPr>
      </w:pPr>
    </w:p>
    <w:p>
      <w:pPr>
        <w:ind w:left="1180" w:right="100" w:hanging="538"/>
        <w:spacing w:after="0" w:line="281"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fastest growing social media channel. We leverage Instagram to connect with our fans and influencers,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news and offer giveaways.</w:t>
      </w:r>
    </w:p>
    <w:p>
      <w:pPr>
        <w:spacing w:after="0" w:line="68" w:lineRule="exact"/>
        <w:rPr>
          <w:rFonts w:ascii="Arial" w:cs="Arial" w:eastAsia="Arial" w:hAnsi="Arial"/>
          <w:sz w:val="18"/>
          <w:szCs w:val="18"/>
          <w:color w:val="auto"/>
        </w:rPr>
      </w:pPr>
    </w:p>
    <w:p>
      <w:pPr>
        <w:jc w:val="both"/>
        <w:ind w:left="1180" w:hanging="538"/>
        <w:spacing w:after="0" w:line="314" w:lineRule="auto"/>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Facebook is our highest reach social platform with approximately one million likes as of July 2019, which is the second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category. We also maintain a product rating of 4.6/5 stars, according to over 2,800 reviewers. Facebook is our primary social channel for sharing product news, posting motivational stories to accompany our fans on their fitness journey and answering consumer questions.</w:t>
      </w:r>
    </w:p>
    <w:p>
      <w:pPr>
        <w:spacing w:after="0" w:line="46" w:lineRule="exact"/>
        <w:rPr>
          <w:rFonts w:ascii="Arial" w:cs="Arial" w:eastAsia="Arial" w:hAnsi="Arial"/>
          <w:sz w:val="16"/>
          <w:szCs w:val="16"/>
          <w:color w:val="auto"/>
        </w:rPr>
      </w:pPr>
    </w:p>
    <w:p>
      <w:pPr>
        <w:ind w:left="1180" w:hanging="538"/>
        <w:spacing w:after="0"/>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80" w:right="460" w:hanging="538"/>
        <w:spacing w:after="0" w:line="281"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w:t>
      </w:r>
      <w:r>
        <w:rPr>
          <w:rFonts w:ascii="Arial" w:cs="Arial" w:eastAsia="Arial" w:hAnsi="Arial"/>
          <w:sz w:val="18"/>
          <w:szCs w:val="18"/>
          <w:b w:val="1"/>
          <w:bCs w:val="1"/>
          <w:color w:val="auto"/>
        </w:rPr>
        <w:t xml:space="preserve"> </w:t>
      </w:r>
      <w:r>
        <w:rPr>
          <w:rFonts w:ascii="Arial" w:cs="Arial" w:eastAsia="Arial" w:hAnsi="Arial"/>
          <w:sz w:val="18"/>
          <w:szCs w:val="18"/>
          <w:color w:val="auto"/>
        </w:rPr>
        <w:t>recipes on our Pinterest board to help incorporate protein into their diets.</w:t>
      </w:r>
    </w:p>
    <w:p>
      <w:pPr>
        <w:spacing w:after="0" w:line="68" w:lineRule="exact"/>
        <w:rPr>
          <w:rFonts w:ascii="Arial" w:cs="Arial" w:eastAsia="Arial" w:hAnsi="Arial"/>
          <w:sz w:val="18"/>
          <w:szCs w:val="18"/>
          <w:color w:val="auto"/>
        </w:rPr>
      </w:pPr>
    </w:p>
    <w:p>
      <w:pPr>
        <w:ind w:left="1180" w:hanging="538"/>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229"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2019, we estimate that our influencers’ social media channels delivered over 4.5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91"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43 million impressions per month. As of July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5" w:lineRule="exact"/>
        <w:rPr>
          <w:sz w:val="20"/>
          <w:szCs w:val="20"/>
          <w:color w:val="auto"/>
        </w:rPr>
      </w:pPr>
    </w:p>
    <w:p>
      <w:pPr>
        <w:ind w:left="1180" w:right="800" w:hanging="538"/>
        <w:spacing w:after="0" w:line="312" w:lineRule="auto"/>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4" w:lineRule="exact"/>
        <w:rPr>
          <w:rFonts w:ascii="Arial" w:cs="Arial" w:eastAsia="Arial" w:hAnsi="Arial"/>
          <w:sz w:val="17"/>
          <w:szCs w:val="17"/>
          <w:color w:val="auto"/>
        </w:rPr>
      </w:pPr>
    </w:p>
    <w:p>
      <w:pPr>
        <w:ind w:left="1180" w:right="180" w:hanging="538"/>
        <w:spacing w:after="0" w:line="26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July 2019, we had more than 200,000 Instagram followers, growing 35% over the prior year.</w:t>
      </w:r>
    </w:p>
    <w:p>
      <w:pPr>
        <w:spacing w:after="0" w:line="80" w:lineRule="exact"/>
        <w:rPr>
          <w:rFonts w:ascii="Arial" w:cs="Arial" w:eastAsia="Arial" w:hAnsi="Arial"/>
          <w:sz w:val="18"/>
          <w:szCs w:val="18"/>
          <w:color w:val="auto"/>
        </w:rPr>
      </w:pPr>
    </w:p>
    <w:p>
      <w:pPr>
        <w:ind w:left="1180" w:right="160" w:hanging="538"/>
        <w:spacing w:after="0" w:line="347" w:lineRule="auto"/>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July 2019, we had more than 900,000 Facebook followers, growing 33% over the prior year.</w:t>
      </w:r>
    </w:p>
    <w:p>
      <w:pPr>
        <w:spacing w:after="0" w:line="21" w:lineRule="exact"/>
        <w:rPr>
          <w:rFonts w:ascii="Arial" w:cs="Arial" w:eastAsia="Arial" w:hAnsi="Arial"/>
          <w:sz w:val="16"/>
          <w:szCs w:val="16"/>
          <w:color w:val="auto"/>
        </w:rPr>
      </w:pPr>
    </w:p>
    <w:p>
      <w:pPr>
        <w:ind w:left="1180" w:hanging="538"/>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spacing w:after="0" w:line="2" w:lineRule="exact"/>
        <w:rPr>
          <w:sz w:val="20"/>
          <w:szCs w:val="20"/>
          <w:color w:val="auto"/>
        </w:rPr>
      </w:pPr>
    </w:p>
    <w:p>
      <w:pPr>
        <w:ind w:left="220" w:right="26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1" w:lineRule="exact"/>
        <w:rPr>
          <w:sz w:val="20"/>
          <w:szCs w:val="20"/>
          <w:color w:val="auto"/>
        </w:rPr>
      </w:pPr>
    </w:p>
    <w:p>
      <w:pPr>
        <w:ind w:left="1180" w:right="20" w:hanging="538"/>
        <w:spacing w:after="0" w:line="266"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0" w:lineRule="exact"/>
        <w:rPr>
          <w:rFonts w:ascii="Arial" w:cs="Arial" w:eastAsia="Arial" w:hAnsi="Arial"/>
          <w:sz w:val="18"/>
          <w:szCs w:val="18"/>
          <w:color w:val="auto"/>
        </w:rPr>
      </w:pPr>
    </w:p>
    <w:p>
      <w:pPr>
        <w:ind w:left="1180" w:right="80" w:hanging="538"/>
        <w:spacing w:after="0" w:line="266"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For fiscal 2018, Instagram was our highest engagement and fastest-growing social media channel. We leverage Instagram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with our fans, athletes and influencers. We also use Instagram to share product news and event stories as well as to conduct raffles and lotteries to drive community engagement.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80" w:right="220" w:hanging="538"/>
        <w:spacing w:after="0" w:line="281"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answering consumer queries.</w:t>
      </w:r>
    </w:p>
    <w:p>
      <w:pPr>
        <w:spacing w:after="0" w:line="68" w:lineRule="exact"/>
        <w:rPr>
          <w:rFonts w:ascii="Arial" w:cs="Arial" w:eastAsia="Arial" w:hAnsi="Arial"/>
          <w:sz w:val="18"/>
          <w:szCs w:val="18"/>
          <w:color w:val="auto"/>
        </w:rPr>
      </w:pPr>
    </w:p>
    <w:p>
      <w:pPr>
        <w:ind w:left="1180" w:hanging="538"/>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229"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employ digital tools such as artificial intelligence and social listening to rapidly identify consumer insights and trending topics. These tools allow for the analysis of large volumes of data spread over various consumer digital platforms. We leverage the information obtained from these digital tools along with other extensive research to understand consumer trends and work in partnership with our customers to remain at the forefront of innovation.</w:t>
      </w:r>
    </w:p>
    <w:p>
      <w:pPr>
        <w:spacing w:after="0" w:line="191"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79"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20" w:right="180" w:firstLine="440"/>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2" w:lineRule="exact"/>
        <w:rPr>
          <w:sz w:val="20"/>
          <w:szCs w:val="20"/>
          <w:color w:val="auto"/>
        </w:rPr>
      </w:pPr>
    </w:p>
    <w:p>
      <w:pPr>
        <w:ind w:left="220" w:right="360" w:firstLine="440"/>
        <w:spacing w:after="0" w:line="314" w:lineRule="auto"/>
        <w:rPr>
          <w:sz w:val="20"/>
          <w:szCs w:val="20"/>
          <w:color w:val="auto"/>
        </w:rPr>
      </w:pPr>
      <w:r>
        <w:rPr>
          <w:rFonts w:ascii="Arial" w:cs="Arial" w:eastAsia="Arial" w:hAnsi="Arial"/>
          <w:sz w:val="16"/>
          <w:szCs w:val="16"/>
          <w:b w:val="1"/>
          <w:bCs w:val="1"/>
          <w:i w:val="1"/>
          <w:iCs w:val="1"/>
          <w:color w:val="auto"/>
        </w:rPr>
        <w:t>Sourcing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Raw materials used in our business consist of ingredients and packaging materials purchased from local, regional and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w:t>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120"/>
        <w:spacing w:after="0" w:line="263" w:lineRule="auto"/>
        <w:rPr>
          <w:sz w:val="20"/>
          <w:szCs w:val="20"/>
          <w:color w:val="auto"/>
        </w:rPr>
      </w:pPr>
      <w:r>
        <w:rPr>
          <w:rFonts w:ascii="Arial" w:cs="Arial" w:eastAsia="Arial" w:hAnsi="Arial"/>
          <w:sz w:val="18"/>
          <w:szCs w:val="18"/>
          <w:color w:val="auto"/>
        </w:rPr>
        <w:t>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9" w:lineRule="exact"/>
        <w:rPr>
          <w:sz w:val="20"/>
          <w:szCs w:val="20"/>
          <w:color w:val="auto"/>
        </w:rPr>
      </w:pPr>
    </w:p>
    <w:p>
      <w:pPr>
        <w:ind w:left="220" w:firstLine="440"/>
        <w:spacing w:after="0" w:line="260"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products from our contract manufacturers, which include all packaging and ingredients used, for an agreed-upon tolling charge for each item produced as well other minor costs. We 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brands.</w:t>
      </w:r>
    </w:p>
    <w:p>
      <w:pPr>
        <w:spacing w:after="0" w:line="186"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6"/>
          <w:szCs w:val="16"/>
          <w:color w:val="auto"/>
        </w:rPr>
        <w:t xml:space="preserve">Our largest contract manufacturer, Stremick’s Heritage Foods, LLC (“Stremick’s”), from three separate and geographically diverse manufacturing locations, provided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for the last twelve months ended June 30, 2019. Stremick’s and its affiliates have been the primary contract manufacturer for Premier Nutrition since 2010, and Stremick’s and Premier Nutrition currently operate under a manufacturing agreement dated July 1, 2017, as subsequently amended. Stremick’s manufactures and packages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Under the terms of the manufacturing agreement, Premier Nutrition is required to purchase a minimum annual order volume of RTD protein shakes and has the right (but not the obligation) to order quantities in excess of a monthly minimum amount (which is the minimum annual order volume divided by 12), provided Stremick’s has the capacity and the ability to produce such additional quantities. We have consistently exceeded our monthly minimum order amount under the manufacturing agreement. In addition, under the terms of the manufacturing agreement, Stremick’s has committed to produce an annual minimum volume of RTD protein shakes. The manufacturing agreement also contains detailed provisions regarding the product specifications and quality standards for the products to be manufactured and packaged by Stremick’s,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 This description is qualified by reference in its entirety to the full text of the manufacturing agreement, which we have filed as an exhibit to the registration statement of which this prospectus is a part.</w:t>
      </w:r>
    </w:p>
    <w:p>
      <w:pPr>
        <w:spacing w:after="0" w:line="168" w:lineRule="exact"/>
        <w:rPr>
          <w:sz w:val="20"/>
          <w:szCs w:val="20"/>
          <w:color w:val="auto"/>
        </w:rPr>
      </w:pPr>
    </w:p>
    <w:p>
      <w:pPr>
        <w:ind w:left="220" w:right="40" w:firstLine="440"/>
        <w:spacing w:after="0" w:line="301"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6"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and OHSAS 18001 (Health and Safety).</w:t>
      </w:r>
    </w:p>
    <w:p>
      <w:pPr>
        <w:spacing w:after="0" w:line="175" w:lineRule="exact"/>
        <w:rPr>
          <w:sz w:val="20"/>
          <w:szCs w:val="20"/>
          <w:color w:val="auto"/>
        </w:rPr>
      </w:pPr>
    </w:p>
    <w:p>
      <w:pPr>
        <w:ind w:left="220" w:right="260" w:firstLine="440"/>
        <w:spacing w:after="0" w:line="256"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domestic sites maintain Global Food Safety Initiative certifications or equivalents thereof,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160" w:firstLine="440"/>
        <w:spacing w:after="0" w:line="288"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4" w:lineRule="exact"/>
        <w:rPr>
          <w:sz w:val="20"/>
          <w:szCs w:val="20"/>
          <w:color w:val="auto"/>
        </w:rPr>
      </w:pPr>
    </w:p>
    <w:p>
      <w:pPr>
        <w:ind w:left="220" w:right="380" w:firstLine="440"/>
        <w:spacing w:after="0" w:line="263"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20" w:right="80" w:firstLine="440"/>
        <w:spacing w:after="0" w:line="301"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EBIT margins because of consumer spending patterns and timing of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We expect to enter into a sublease for our principal executive offices in St. Louis, Missouri. The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6"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Worb,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220" w:right="440" w:firstLine="440"/>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60"/>
          </w:cols>
          <w:pgMar w:left="24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220" w:right="400" w:firstLine="440"/>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1" w:lineRule="exact"/>
        <w:rPr>
          <w:sz w:val="20"/>
          <w:szCs w:val="20"/>
          <w:color w:val="auto"/>
        </w:rPr>
      </w:pPr>
    </w:p>
    <w:p>
      <w:pPr>
        <w:ind w:left="220" w:right="700" w:firstLine="440"/>
        <w:spacing w:after="0" w:line="341"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86" w:lineRule="exact"/>
        <w:rPr>
          <w:sz w:val="20"/>
          <w:szCs w:val="20"/>
          <w:color w:val="auto"/>
        </w:rPr>
      </w:pPr>
    </w:p>
    <w:p>
      <w:pPr>
        <w:ind w:left="220" w:right="60" w:firstLine="440"/>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79" w:lineRule="exact"/>
        <w:rPr>
          <w:sz w:val="20"/>
          <w:szCs w:val="20"/>
          <w:color w:val="auto"/>
        </w:rPr>
      </w:pPr>
    </w:p>
    <w:p>
      <w:pPr>
        <w:ind w:left="220" w:firstLine="440"/>
        <w:spacing w:after="0" w:line="253"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311" w:lineRule="auto"/>
        <w:rPr>
          <w:sz w:val="20"/>
          <w:szCs w:val="20"/>
          <w:color w:val="auto"/>
        </w:rPr>
      </w:pPr>
      <w:r>
        <w:rPr>
          <w:rFonts w:ascii="Arial" w:cs="Arial" w:eastAsia="Arial" w:hAnsi="Arial"/>
          <w:sz w:val="16"/>
          <w:szCs w:val="16"/>
          <w:color w:val="auto"/>
        </w:rPr>
        <w:t>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We have approximately 380 employees as of September 1, 2019. Of these employees, approximately 200 are in the U.S., approximately 170 are in Germany and approximately 10 are in other countries.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220" w:right="180" w:firstLine="440"/>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0"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0"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3"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11 of “Notes to Combined Financial Statements” for the years ended September 30, 2018, 2017 and 2016 and Note 9 of “Notes to Condensed Combined Financial Statements” for the nine months ended June 30, 2019 and 2018.</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720"/>
        <w:spacing w:after="0" w:line="277" w:lineRule="auto"/>
        <w:rPr>
          <w:sz w:val="20"/>
          <w:szCs w:val="20"/>
          <w:color w:val="auto"/>
        </w:rPr>
      </w:pPr>
      <w:r>
        <w:rPr>
          <w:rFonts w:ascii="Arial" w:cs="Arial" w:eastAsia="Arial" w:hAnsi="Arial"/>
          <w:sz w:val="18"/>
          <w:szCs w:val="18"/>
          <w:color w:val="auto"/>
        </w:rPr>
        <w:t>based upon the information currently available, the ultimate liability arising from such compliance matters is not expected to be material to the combined financial position, results of operations or cash flows of the Company.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5" w:lineRule="exact"/>
        <w:rPr>
          <w:sz w:val="20"/>
          <w:szCs w:val="20"/>
          <w:color w:val="auto"/>
        </w:rPr>
      </w:pPr>
    </w:p>
    <w:p>
      <w:pPr>
        <w:ind w:left="1180" w:hanging="538"/>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80" w:right="100" w:hanging="538"/>
        <w:spacing w:after="0" w:line="263"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8" w:lineRule="exact"/>
        <w:rPr>
          <w:sz w:val="20"/>
          <w:szCs w:val="20"/>
          <w:color w:val="auto"/>
        </w:rPr>
      </w:pPr>
    </w:p>
    <w:p>
      <w:pPr>
        <w:ind w:left="1180" w:hanging="538"/>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38"/>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200" w:hanging="538"/>
        <w:spacing w:after="0" w:line="263"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8" w:lineRule="exact"/>
        <w:rPr>
          <w:rFonts w:ascii="Arial" w:cs="Arial" w:eastAsia="Arial" w:hAnsi="Arial"/>
          <w:sz w:val="18"/>
          <w:szCs w:val="18"/>
          <w:color w:val="auto"/>
        </w:rPr>
      </w:pPr>
    </w:p>
    <w:p>
      <w:pPr>
        <w:ind w:left="1180" w:right="360" w:hanging="538"/>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220" w:right="200" w:firstLine="440"/>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8"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The following sets forth, as of the date of this prospectus, information regarding individuals who are expected to serve as our executive officers and certain of our directors at the time of this offering. In subsequent amendments to this prospectus, we will identify the other individual(s) who will be our directors at the time of this offering and provide the relevant disclosures regarding such individual(s). Our current directors are certain executive officers of Post who, other than Robert V. Vitale, will not serve as directors of BellRing Brands, Inc. after completion of the formation transactions and this offering.</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ind w:left="1220"/>
              <w:spacing w:after="0"/>
              <w:rPr>
                <w:sz w:val="20"/>
                <w:szCs w:val="20"/>
                <w:color w:val="auto"/>
              </w:rPr>
            </w:pPr>
            <w:r>
              <w:rPr>
                <w:rFonts w:ascii="Arial" w:cs="Arial" w:eastAsia="Arial" w:hAnsi="Arial"/>
                <w:sz w:val="14"/>
                <w:szCs w:val="14"/>
                <w:b w:val="1"/>
                <w:bCs w:val="1"/>
                <w:color w:val="auto"/>
                <w:w w:val="83"/>
              </w:rPr>
              <w:t>Age</w:t>
            </w:r>
          </w:p>
        </w:tc>
        <w:tc>
          <w:tcPr>
            <w:tcW w:w="540" w:type="dxa"/>
            <w:vAlign w:val="bottom"/>
          </w:tcPr>
          <w:p>
            <w:pPr>
              <w:spacing w:after="0"/>
              <w:rPr>
                <w:sz w:val="14"/>
                <w:szCs w:val="14"/>
                <w:color w:val="auto"/>
              </w:rPr>
            </w:pPr>
          </w:p>
        </w:tc>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3"/>
        </w:trPr>
        <w:tc>
          <w:tcPr>
            <w:tcW w:w="284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 Nominee</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Cornille</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Marketing of Premier Nutrition</w:t>
            </w:r>
          </w:p>
        </w:tc>
        <w:tc>
          <w:tcPr>
            <w:tcW w:w="0" w:type="dxa"/>
            <w:vAlign w:val="bottom"/>
          </w:tcPr>
          <w:p>
            <w:pPr>
              <w:spacing w:after="0"/>
              <w:rPr>
                <w:sz w:val="1"/>
                <w:szCs w:val="1"/>
                <w:color w:val="auto"/>
              </w:rPr>
            </w:pPr>
          </w:p>
        </w:tc>
      </w:tr>
      <w:tr>
        <w:trPr>
          <w:trHeight w:val="283"/>
        </w:trPr>
        <w:tc>
          <w:tcPr>
            <w:tcW w:w="2840" w:type="dxa"/>
            <w:vAlign w:val="bottom"/>
            <w:gridSpan w:val="3"/>
          </w:tcPr>
          <w:p>
            <w:pPr>
              <w:spacing w:after="0"/>
              <w:rPr>
                <w:sz w:val="20"/>
                <w:szCs w:val="20"/>
                <w:color w:val="auto"/>
              </w:rPr>
            </w:pPr>
            <w:r>
              <w:rPr>
                <w:rFonts w:ascii="Arial" w:cs="Arial" w:eastAsia="Arial" w:hAnsi="Arial"/>
                <w:sz w:val="18"/>
                <w:szCs w:val="18"/>
                <w:color w:val="auto"/>
              </w:rPr>
              <w:t>R. Lee Partin</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Senior Vice President, Sales of Premier Nutrition</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3"/>
        </w:trPr>
        <w:tc>
          <w:tcPr>
            <w:tcW w:w="2840" w:type="dxa"/>
            <w:vAlign w:val="bottom"/>
            <w:gridSpan w:val="3"/>
          </w:tcPr>
          <w:p>
            <w:pPr>
              <w:spacing w:after="0"/>
              <w:rPr>
                <w:sz w:val="20"/>
                <w:szCs w:val="20"/>
                <w:color w:val="auto"/>
              </w:rPr>
            </w:pPr>
            <w:r>
              <w:rPr>
                <w:rFonts w:ascii="Arial" w:cs="Arial" w:eastAsia="Arial" w:hAnsi="Arial"/>
                <w:sz w:val="18"/>
                <w:szCs w:val="18"/>
                <w:color w:val="auto"/>
              </w:rPr>
              <w:t>Craig L. Rosenthal</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Singh</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Operations of Premier Nutrition</w:t>
            </w:r>
          </w:p>
        </w:tc>
        <w:tc>
          <w:tcPr>
            <w:tcW w:w="0" w:type="dxa"/>
            <w:vAlign w:val="bottom"/>
          </w:tcPr>
          <w:p>
            <w:pPr>
              <w:spacing w:after="0"/>
              <w:rPr>
                <w:sz w:val="1"/>
                <w:szCs w:val="1"/>
                <w:color w:val="auto"/>
              </w:rPr>
            </w:pPr>
          </w:p>
        </w:tc>
      </w:tr>
      <w:tr>
        <w:trPr>
          <w:trHeight w:val="283"/>
        </w:trPr>
        <w:tc>
          <w:tcPr>
            <w:tcW w:w="2840" w:type="dxa"/>
            <w:vAlign w:val="bottom"/>
            <w:gridSpan w:val="3"/>
          </w:tcPr>
          <w:p>
            <w:pPr>
              <w:spacing w:after="0"/>
              <w:rPr>
                <w:sz w:val="20"/>
                <w:szCs w:val="20"/>
                <w:color w:val="auto"/>
              </w:rPr>
            </w:pPr>
            <w:r>
              <w:rPr>
                <w:rFonts w:ascii="Arial" w:cs="Arial" w:eastAsia="Arial" w:hAnsi="Arial"/>
                <w:sz w:val="18"/>
                <w:szCs w:val="18"/>
                <w:color w:val="auto"/>
              </w:rPr>
              <w:t>Thomas P. Erickson</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Kuperman</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3"/>
        </w:trPr>
        <w:tc>
          <w:tcPr>
            <w:tcW w:w="2840" w:type="dxa"/>
            <w:vAlign w:val="bottom"/>
            <w:gridSpan w:val="3"/>
          </w:tcPr>
          <w:p>
            <w:pPr>
              <w:spacing w:after="0"/>
              <w:rPr>
                <w:sz w:val="20"/>
                <w:szCs w:val="20"/>
                <w:color w:val="auto"/>
              </w:rPr>
            </w:pPr>
            <w:r>
              <w:rPr>
                <w:rFonts w:ascii="Arial" w:cs="Arial" w:eastAsia="Arial" w:hAnsi="Arial"/>
                <w:sz w:val="18"/>
                <w:szCs w:val="18"/>
                <w:color w:val="auto"/>
              </w:rPr>
              <w:t>Elliot H. Stein, Jr.</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20" w:firstLine="440"/>
        <w:spacing w:after="0" w:line="288" w:lineRule="auto"/>
        <w:rPr>
          <w:sz w:val="20"/>
          <w:szCs w:val="20"/>
          <w:color w:val="auto"/>
        </w:rPr>
      </w:pPr>
      <w:r>
        <w:rPr>
          <w:rFonts w:ascii="Arial" w:cs="Arial" w:eastAsia="Arial" w:hAnsi="Arial"/>
          <w:sz w:val="16"/>
          <w:szCs w:val="16"/>
          <w:i w:val="1"/>
          <w:iCs w:val="1"/>
          <w:color w:val="auto"/>
        </w:rPr>
        <w:t xml:space="preserve">Robert V. Vitale </w:t>
      </w:r>
      <w:r>
        <w:rPr>
          <w:rFonts w:ascii="Arial" w:cs="Arial" w:eastAsia="Arial" w:hAnsi="Arial"/>
          <w:sz w:val="16"/>
          <w:szCs w:val="16"/>
          <w:color w:val="auto"/>
        </w:rPr>
        <w:t>has served as our Executive Chairman since September 2019. Mr. Vitale has been the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66" w:lineRule="exact"/>
        <w:rPr>
          <w:sz w:val="20"/>
          <w:szCs w:val="20"/>
          <w:color w:val="auto"/>
        </w:rPr>
      </w:pPr>
    </w:p>
    <w:p>
      <w:pPr>
        <w:ind w:left="220" w:right="20" w:firstLine="440"/>
        <w:spacing w:after="0" w:line="270"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has served as our President and Chief Executive Officer since September 2019 and will serve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upon completion of this offering. Ms. Davenport has served as President of Post’s Active Nutrition business since October 2017 and as President of Premier Nutrition, which will be a subsidiary of BellRing Brands, Inc. upon completion of the offering, since November 2016.</w:t>
      </w:r>
    </w:p>
    <w:p>
      <w:pPr>
        <w:spacing w:after="0" w:line="2" w:lineRule="exact"/>
        <w:rPr>
          <w:sz w:val="20"/>
          <w:szCs w:val="20"/>
          <w:color w:val="auto"/>
        </w:rPr>
      </w:pPr>
    </w:p>
    <w:p>
      <w:pPr>
        <w:ind w:left="220" w:right="20"/>
        <w:spacing w:after="0" w:line="269" w:lineRule="auto"/>
        <w:rPr>
          <w:sz w:val="20"/>
          <w:szCs w:val="20"/>
          <w:color w:val="auto"/>
        </w:rPr>
      </w:pPr>
      <w:r>
        <w:rPr>
          <w:rFonts w:ascii="Arial" w:cs="Arial" w:eastAsia="Arial" w:hAnsi="Arial"/>
          <w:sz w:val="17"/>
          <w:szCs w:val="17"/>
          <w:color w:val="auto"/>
        </w:rPr>
        <w:t>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40"/>
        <w:spacing w:after="0" w:line="263" w:lineRule="auto"/>
        <w:rPr>
          <w:sz w:val="20"/>
          <w:szCs w:val="20"/>
          <w:color w:val="auto"/>
        </w:rPr>
      </w:pPr>
      <w:r>
        <w:rPr>
          <w:rFonts w:ascii="Arial" w:cs="Arial" w:eastAsia="Arial" w:hAnsi="Arial"/>
          <w:sz w:val="18"/>
          <w:szCs w:val="18"/>
          <w:color w:val="auto"/>
        </w:rPr>
        <w:t>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3"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i w:val="1"/>
          <w:iCs w:val="1"/>
          <w:color w:val="auto"/>
        </w:rPr>
        <w:t xml:space="preserve">Douglas J. Cornille </w:t>
      </w:r>
      <w:r>
        <w:rPr>
          <w:rFonts w:ascii="Arial" w:cs="Arial" w:eastAsia="Arial" w:hAnsi="Arial"/>
          <w:sz w:val="16"/>
          <w:szCs w:val="16"/>
          <w:color w:val="auto"/>
        </w:rPr>
        <w:t>has served as Senior Vice President, Marketing of Premier Nutrition, which will be a subsidiary of BellRing Brands, Inc. upon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offering,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at Rhodes College and attended Oxford University, St. John’s College. Mr. Cornille earned his MBA from Duke University—The Fuqua School of Business.</w:t>
      </w:r>
    </w:p>
    <w:p>
      <w:pPr>
        <w:spacing w:after="0" w:line="160"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i w:val="1"/>
          <w:iCs w:val="1"/>
          <w:color w:val="auto"/>
        </w:rPr>
        <w:t xml:space="preserve">R. Lee Partin </w:t>
      </w:r>
      <w:r>
        <w:rPr>
          <w:rFonts w:ascii="Arial" w:cs="Arial" w:eastAsia="Arial" w:hAnsi="Arial"/>
          <w:sz w:val="18"/>
          <w:szCs w:val="18"/>
          <w:color w:val="auto"/>
        </w:rPr>
        <w:t>has served as Senior Vice President, Sales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University—School of Business.</w:t>
      </w:r>
    </w:p>
    <w:p>
      <w:pPr>
        <w:spacing w:after="0" w:line="191" w:lineRule="exact"/>
        <w:rPr>
          <w:sz w:val="20"/>
          <w:szCs w:val="20"/>
          <w:color w:val="auto"/>
        </w:rPr>
      </w:pPr>
    </w:p>
    <w:p>
      <w:pPr>
        <w:ind w:left="220" w:right="60" w:firstLine="440"/>
        <w:spacing w:after="0" w:line="293" w:lineRule="auto"/>
        <w:rPr>
          <w:sz w:val="20"/>
          <w:szCs w:val="20"/>
          <w:color w:val="auto"/>
        </w:rPr>
      </w:pPr>
      <w:r>
        <w:rPr>
          <w:rFonts w:ascii="Arial" w:cs="Arial" w:eastAsia="Arial" w:hAnsi="Arial"/>
          <w:sz w:val="16"/>
          <w:szCs w:val="16"/>
          <w:i w:val="1"/>
          <w:iCs w:val="1"/>
          <w:color w:val="auto"/>
        </w:rPr>
        <w:t xml:space="preserve">Paul A. Rode </w:t>
      </w:r>
      <w:r>
        <w:rPr>
          <w:rFonts w:ascii="Arial" w:cs="Arial" w:eastAsia="Arial" w:hAnsi="Arial"/>
          <w:sz w:val="16"/>
          <w:szCs w:val="16"/>
          <w:color w:val="auto"/>
        </w:rPr>
        <w:t>has served as our Chief Financial Officer since September 2019. Mr. Rode has served as Chief Financial Officer of Post’s Active</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business since May 2015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163"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i w:val="1"/>
          <w:iCs w:val="1"/>
          <w:color w:val="auto"/>
        </w:rPr>
        <w:t xml:space="preserve">Craig L. Rosenthal </w:t>
      </w:r>
      <w:r>
        <w:rPr>
          <w:rFonts w:ascii="Arial" w:cs="Arial" w:eastAsia="Arial" w:hAnsi="Arial"/>
          <w:sz w:val="17"/>
          <w:szCs w:val="17"/>
          <w:color w:val="auto"/>
        </w:rPr>
        <w:t>has served as our Senior Vice President and General Counsel since August 2019. Prior to joining BellRing Brands, Inc., Mr.</w:t>
      </w:r>
      <w:r>
        <w:rPr>
          <w:rFonts w:ascii="Arial" w:cs="Arial" w:eastAsia="Arial" w:hAnsi="Arial"/>
          <w:sz w:val="17"/>
          <w:szCs w:val="17"/>
          <w:i w:val="1"/>
          <w:iCs w:val="1"/>
          <w:color w:val="auto"/>
        </w:rPr>
        <w:t xml:space="preserve"> </w:t>
      </w:r>
      <w:r>
        <w:rPr>
          <w:rFonts w:ascii="Arial" w:cs="Arial" w:eastAsia="Arial" w:hAnsi="Arial"/>
          <w:sz w:val="17"/>
          <w:szCs w:val="17"/>
          <w:color w:val="auto"/>
        </w:rPr>
        <w:t>Rosenthal was an attorney at Husch Blackwell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and Director, Senior Counsel and Assistant Secretary at Cequel Communications, LLC dba Suddenlink Communications from 2003 to 2005. Previously, Mr. Rosenthal was an attorney at Husch &amp; Eppenberger LLC (now Husch Blackwell LLP) from 1997 to 2003. Mr. Rosenthal earned his undergraduate degree from the University of Missouri and juris doctorate from Washington University School of Law.</w:t>
      </w:r>
    </w:p>
    <w:p>
      <w:pPr>
        <w:spacing w:after="0" w:line="183"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i w:val="1"/>
          <w:iCs w:val="1"/>
          <w:color w:val="auto"/>
        </w:rPr>
        <w:t xml:space="preserve">Robin Singh </w:t>
      </w:r>
      <w:r>
        <w:rPr>
          <w:rFonts w:ascii="Arial" w:cs="Arial" w:eastAsia="Arial" w:hAnsi="Arial"/>
          <w:sz w:val="18"/>
          <w:szCs w:val="18"/>
          <w:color w:val="auto"/>
        </w:rPr>
        <w:t>has served as Senior Vice President, Operations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2019. Prior to joining Premier Nutrition, Mr. Singh held various senior leadership positions at Mondelēz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Ontario—Richard Ivey School of Business and the University of Guelph, Ontario.</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i w:val="1"/>
          <w:iCs w:val="1"/>
          <w:color w:val="auto"/>
        </w:rPr>
        <w:t xml:space="preserve">Thomas P. Erickson </w:t>
      </w:r>
      <w:r>
        <w:rPr>
          <w:rFonts w:ascii="Arial" w:cs="Arial" w:eastAsia="Arial" w:hAnsi="Arial"/>
          <w:sz w:val="16"/>
          <w:szCs w:val="16"/>
          <w:color w:val="auto"/>
        </w:rPr>
        <w:t>will serve as a member of our Board of Directors upon completion of this offering. Mr. Erickson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Thomas P. Erickson, CPA, LLC, a tax consulting firm, since May 2016 and is a retired tax partner from KPMG, where he worked from 1980 to September 2015. From September 2015 to May 2016, Mr. Erickson provided tax consulting services to various companies and individuals.</w:t>
      </w:r>
    </w:p>
    <w:p>
      <w:pPr>
        <w:spacing w:after="0" w:line="2"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color w:val="auto"/>
        </w:rPr>
        <w:t>Mr. Erickson has over 40 years of public accounting experience and is an instructor of advanced partnership planning, taxable and nontaxable corporate transactions and formations and S corporation planning for KPMG. Mr. Erickson was selected to serve on our Board of Directors based on his expertise in tax matters and his understanding of finance and financial reporting processes. Mr. Erickson is a Certified Public Accountant and received his bachelor’s degree from the University of Missouri-St. Louis.</w:t>
      </w:r>
    </w:p>
    <w:p>
      <w:pPr>
        <w:spacing w:after="0" w:line="192"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i w:val="1"/>
          <w:iCs w:val="1"/>
          <w:color w:val="auto"/>
        </w:rPr>
        <w:t xml:space="preserve">Jennifer Kuperman </w:t>
      </w:r>
      <w:r>
        <w:rPr>
          <w:rFonts w:ascii="Arial" w:cs="Arial" w:eastAsia="Arial" w:hAnsi="Arial"/>
          <w:sz w:val="17"/>
          <w:szCs w:val="17"/>
          <w:color w:val="auto"/>
        </w:rPr>
        <w:t>will serve as a member of our Board of Directors upon completion of this offering. Ms. Kuperman has been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corporate affairs at Alibaba Group Holding Limited, a multinational conglomerate holding company specializing in eCommerce, retail, internet and technology, since April 2016 and served as vice president, international corporate affairs at Alibaba Group Holding Limited from August 2014 to April 2016. Prior to joining Alibaba Group Holding 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also serves on the board of directors of CoachArt, a nonprofit organization that provides arts and recreational opportunities to youth with chronic and life-threatening illnesses. Ms. Kuperman was selected to serve on our Board of Directors based on her experience in significant leadership positions and her international experience. Ms. Kuperman received her undergraduate degree from Middlebury College and her master’s of arts degree in organizational psychology from Columbia University in the City of New York.</w:t>
      </w:r>
    </w:p>
    <w:p>
      <w:pPr>
        <w:spacing w:after="0" w:line="180"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i w:val="1"/>
          <w:iCs w:val="1"/>
          <w:color w:val="auto"/>
        </w:rPr>
        <w:t xml:space="preserve">Elliot H. Stein, Jr. </w:t>
      </w:r>
      <w:r>
        <w:rPr>
          <w:rFonts w:ascii="Arial" w:cs="Arial" w:eastAsia="Arial" w:hAnsi="Arial"/>
          <w:sz w:val="16"/>
          <w:szCs w:val="16"/>
          <w:color w:val="auto"/>
        </w:rPr>
        <w:t>will serve as a member of our Board of Directors upon completion of this offering. Mr. Stein has been chairman of Acertas,</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 owned manufacturing company, Caryn Health Solutions LLC, a privately owned health services provider,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was selected to serve on our Board of Directors based on his experience in significant leadership positions, his understanding of financial and financial reporting processes and his experience as a director of other publicly traded companies. Mr. Stein is a Trustee of Claremont Graduate University and The New School University. He is a member of the Council on Foreign Relations. Mr. Stein received his bachelor’s degree from Claremont McKenna College.</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220" w:right="200" w:firstLine="440"/>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0" w:lineRule="exact"/>
        <w:rPr>
          <w:sz w:val="20"/>
          <w:szCs w:val="20"/>
          <w:color w:val="auto"/>
        </w:rPr>
      </w:pPr>
    </w:p>
    <w:p>
      <w:pPr>
        <w:ind w:left="5580" w:right="3180" w:hanging="4938"/>
        <w:spacing w:after="0" w:line="449" w:lineRule="auto"/>
        <w:tabs>
          <w:tab w:leader="none" w:pos="118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 122</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600" w:hanging="538"/>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6" w:lineRule="exact"/>
        <w:rPr>
          <w:sz w:val="20"/>
          <w:szCs w:val="20"/>
          <w:color w:val="auto"/>
        </w:rPr>
      </w:pPr>
    </w:p>
    <w:p>
      <w:pPr>
        <w:ind w:left="220" w:right="60" w:firstLine="980"/>
        <w:spacing w:after="0" w:line="259" w:lineRule="auto"/>
        <w:rPr>
          <w:sz w:val="20"/>
          <w:szCs w:val="20"/>
          <w:color w:val="auto"/>
        </w:rPr>
      </w:pPr>
      <w:r>
        <w:rPr>
          <w:rFonts w:ascii="Arial" w:cs="Arial" w:eastAsia="Arial" w:hAnsi="Arial"/>
          <w:sz w:val="18"/>
          <w:szCs w:val="18"/>
          <w:color w:val="auto"/>
        </w:rPr>
        <w:t>will serve as Class I directors, will serve as Class II directors and will serve as Class III directors.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6"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Upon the completion of this offering, our Board of Directors will be set at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160" w:lineRule="exact"/>
        <w:rPr>
          <w:sz w:val="20"/>
          <w:szCs w:val="20"/>
          <w:color w:val="auto"/>
        </w:rPr>
      </w:pPr>
    </w:p>
    <w:p>
      <w:pPr>
        <w:ind w:left="220" w:right="40" w:firstLine="440"/>
        <w:spacing w:after="0" w:line="258" w:lineRule="auto"/>
        <w:rPr>
          <w:sz w:val="20"/>
          <w:szCs w:val="20"/>
          <w:color w:val="auto"/>
        </w:rPr>
      </w:pPr>
      <w:r>
        <w:rPr>
          <w:rFonts w:ascii="Arial" w:cs="Arial" w:eastAsia="Arial" w:hAnsi="Arial"/>
          <w:sz w:val="18"/>
          <w:szCs w:val="18"/>
          <w:color w:val="auto"/>
        </w:rPr>
        <w:t>Post has designated , , and as its nominees under the investor rights agreement that we will enter into with Post as part of the formation transactions and this offering, with to serve as a Class I director, to serve as a Class II director and</w:t>
      </w:r>
    </w:p>
    <w:p>
      <w:pPr>
        <w:spacing w:after="0" w:line="1" w:lineRule="exact"/>
        <w:rPr>
          <w:sz w:val="20"/>
          <w:szCs w:val="20"/>
          <w:color w:val="auto"/>
        </w:rPr>
      </w:pPr>
    </w:p>
    <w:p>
      <w:pPr>
        <w:jc w:val="both"/>
        <w:ind w:left="220" w:right="80" w:firstLine="764"/>
        <w:spacing w:after="0" w:line="255" w:lineRule="auto"/>
        <w:rPr>
          <w:sz w:val="20"/>
          <w:szCs w:val="20"/>
          <w:color w:val="auto"/>
        </w:rPr>
      </w:pPr>
      <w:r>
        <w:rPr>
          <w:rFonts w:ascii="Arial" w:cs="Arial" w:eastAsia="Arial" w:hAnsi="Arial"/>
          <w:sz w:val="18"/>
          <w:szCs w:val="18"/>
          <w:color w:val="auto"/>
        </w:rPr>
        <w:t>to serve as a Class III director. If a vacancy is created on our Board of Directors as a result of the death, disability, retirement, resignation or removal of a director who is a Post nominee, Post will have the right to designate such person’s replacement. Please refer to “Certain Relationships and Related Party Transactions—Post-Offering Relationship with Post—Investor Rights Agreement.”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our Board of Directors will consist of a majority of independent directors upon the completion of this offering. Upon the completion of</w:t>
      </w:r>
    </w:p>
    <w:p>
      <w:pPr>
        <w:spacing w:after="0" w:line="46" w:lineRule="exact"/>
        <w:rPr>
          <w:sz w:val="20"/>
          <w:szCs w:val="20"/>
          <w:color w:val="auto"/>
        </w:rPr>
      </w:pPr>
    </w:p>
    <w:p>
      <w:pPr>
        <w:ind w:left="220" w:right="460"/>
        <w:spacing w:after="0" w:line="255" w:lineRule="auto"/>
        <w:rPr>
          <w:sz w:val="20"/>
          <w:szCs w:val="20"/>
          <w:color w:val="auto"/>
        </w:rPr>
      </w:pPr>
      <w:r>
        <w:rPr>
          <w:rFonts w:ascii="Arial" w:cs="Arial" w:eastAsia="Arial" w:hAnsi="Arial"/>
          <w:sz w:val="18"/>
          <w:szCs w:val="18"/>
          <w:color w:val="auto"/>
        </w:rPr>
        <w:t>this offering, we expect that of the members of our Board of Directors will qualify as “independent” under the NYSE corporate governance standards. Our Board of Directors has determined as of the date of this prospectus that each of is an independent director as defined under the NYSE corporate governance standards.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220" w:right="80" w:firstLine="440"/>
        <w:spacing w:after="0" w:line="311" w:lineRule="auto"/>
        <w:rPr>
          <w:sz w:val="20"/>
          <w:szCs w:val="20"/>
          <w:color w:val="auto"/>
        </w:rPr>
      </w:pPr>
      <w:r>
        <w:rPr>
          <w:rFonts w:ascii="Arial" w:cs="Arial" w:eastAsia="Arial" w:hAnsi="Arial"/>
          <w:sz w:val="16"/>
          <w:szCs w:val="16"/>
          <w:color w:val="auto"/>
        </w:rPr>
        <w:t>Our Board of Directors will establish standing committees in connection with the discharge of its responsibilities. Upon the completion of this offering, these committees will include an Audit Committee, a Corporate Governance and Compensation Committee and an Executive Committee. Our Board of Directors also may establish such other committees as it deems appropriate, in accordance with applicable law and regulations</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and our corporate governance documents. Under the investor rights agreement, Post has the right to designate the members of each committee until the votes that may be cast by Post under our amended and restated certificate of incorporation are less than 25% of the total voting power of all of our shares of common stock. Please refer to “Certain Relationships and Related Party Transactions—Post-Offering Relationship with Post—Investor Rights Agreement.”</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5" w:lineRule="exact"/>
        <w:rPr>
          <w:sz w:val="20"/>
          <w:szCs w:val="20"/>
          <w:color w:val="auto"/>
        </w:rPr>
      </w:pPr>
    </w:p>
    <w:p>
      <w:pPr>
        <w:ind w:left="220" w:right="120" w:firstLine="440"/>
        <w:spacing w:after="0" w:line="311"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220" w:right="40" w:firstLine="440"/>
        <w:spacing w:after="0" w:line="268" w:lineRule="auto"/>
        <w:rPr>
          <w:sz w:val="20"/>
          <w:szCs w:val="20"/>
          <w:color w:val="auto"/>
        </w:rPr>
      </w:pPr>
      <w:r>
        <w:rPr>
          <w:rFonts w:ascii="Arial" w:cs="Arial" w:eastAsia="Arial" w:hAnsi="Arial"/>
          <w:sz w:val="17"/>
          <w:szCs w:val="17"/>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86" w:lineRule="exact"/>
        <w:rPr>
          <w:sz w:val="20"/>
          <w:szCs w:val="20"/>
          <w:color w:val="auto"/>
        </w:rPr>
      </w:pPr>
    </w:p>
    <w:p>
      <w:pPr>
        <w:ind w:left="220" w:right="480" w:firstLine="440"/>
        <w:spacing w:after="0" w:line="277" w:lineRule="auto"/>
        <w:rPr>
          <w:sz w:val="20"/>
          <w:szCs w:val="20"/>
          <w:color w:val="auto"/>
        </w:rPr>
      </w:pPr>
      <w:r>
        <w:rPr>
          <w:rFonts w:ascii="Arial" w:cs="Arial" w:eastAsia="Arial" w:hAnsi="Arial"/>
          <w:sz w:val="18"/>
          <w:szCs w:val="18"/>
          <w:color w:val="auto"/>
        </w:rPr>
        <w:t>Upon the completion of this offering, we expect that all of the members of our Corporate Governance and Compensation Committee will be “independent” as defined under the NYSE corporate governance standards.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jc w:val="both"/>
        <w:ind w:left="220" w:right="80" w:firstLine="440"/>
        <w:spacing w:after="0" w:line="311" w:lineRule="auto"/>
        <w:rPr>
          <w:sz w:val="20"/>
          <w:szCs w:val="20"/>
          <w:color w:val="auto"/>
        </w:rPr>
      </w:pPr>
      <w:r>
        <w:rPr>
          <w:rFonts w:ascii="Arial" w:cs="Arial" w:eastAsia="Arial" w:hAnsi="Arial"/>
          <w:sz w:val="16"/>
          <w:szCs w:val="16"/>
          <w:color w:val="auto"/>
        </w:rPr>
        <w:t>Our Executive Committee will function pursuant to a written charter adopted by our Board of Directors. Our Executive Committee will be able to exercise all authority of the Board of Directors in the intervals between meetings of the Board of Directors, to the extent such authority is in compliance with our corporate governance guidelines and does not infringe upon the duties and responsibilities of other Board of Directors committees.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20" w:right="760" w:firstLine="440"/>
        <w:spacing w:after="0" w:line="277" w:lineRule="auto"/>
        <w:rPr>
          <w:sz w:val="20"/>
          <w:szCs w:val="20"/>
          <w:color w:val="auto"/>
        </w:rPr>
      </w:pPr>
      <w:r>
        <w:rPr>
          <w:rFonts w:ascii="Arial" w:cs="Arial" w:eastAsia="Arial" w:hAnsi="Arial"/>
          <w:sz w:val="18"/>
          <w:szCs w:val="18"/>
          <w:color w:val="auto"/>
        </w:rPr>
        <w:t>Upon the completion of this offering, our Board of Directors will adopt a code of conduct that applies to all of our directors, officers and employees, including any persons serving as a principal executive officer, principal</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financial officer, principal accounting officer and controller and persons performing similar functions. Upon completion of this offering, the full text of the code of conduct will be available on our website located at www.bellring.com. We intend to disclose any amendments to or waivers from a provision of our code of conduct that applies to our executive officers on our website.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93" w:lineRule="exact"/>
        <w:rPr>
          <w:sz w:val="20"/>
          <w:szCs w:val="20"/>
          <w:color w:val="auto"/>
        </w:rPr>
      </w:pPr>
    </w:p>
    <w:p>
      <w:pPr>
        <w:ind w:left="220" w:right="400" w:firstLine="440"/>
        <w:spacing w:after="0" w:line="263"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20" w:right="20" w:firstLine="440"/>
        <w:spacing w:after="0" w:line="341" w:lineRule="auto"/>
        <w:rPr>
          <w:sz w:val="20"/>
          <w:szCs w:val="20"/>
          <w:color w:val="auto"/>
        </w:rPr>
      </w:pPr>
      <w:r>
        <w:rPr>
          <w:rFonts w:ascii="Arial" w:cs="Arial" w:eastAsia="Arial" w:hAnsi="Arial"/>
          <w:sz w:val="16"/>
          <w:szCs w:val="16"/>
          <w:color w:val="auto"/>
        </w:rPr>
        <w:t>None of our current directors has received compensation for his or her service as our director. After the completion of this offering, we expect that our Board of Directors will adopt a compensation program for our non-management directors with the following compensation elements.</w:t>
      </w:r>
    </w:p>
    <w:p>
      <w:pPr>
        <w:spacing w:after="0" w:line="125"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All of our non-management directors will receive an annual cash retainer of $55,000. The chairperson of each of our Audit Committee and Corporate Governance and Compensation Committee will each receive an additional annual cash retainer of $10,000. The independent lead director of our Board will receive an additional annual retainer of $10,000.</w:t>
      </w:r>
    </w:p>
    <w:p>
      <w:pPr>
        <w:spacing w:after="0" w:line="183" w:lineRule="exact"/>
        <w:rPr>
          <w:sz w:val="20"/>
          <w:szCs w:val="20"/>
          <w:color w:val="auto"/>
        </w:rPr>
      </w:pPr>
    </w:p>
    <w:p>
      <w:pPr>
        <w:jc w:val="both"/>
        <w:ind w:left="220" w:right="240" w:firstLine="440"/>
        <w:spacing w:after="0" w:line="263" w:lineRule="auto"/>
        <w:rPr>
          <w:sz w:val="20"/>
          <w:szCs w:val="20"/>
          <w:color w:val="auto"/>
        </w:rPr>
      </w:pPr>
      <w:r>
        <w:rPr>
          <w:rFonts w:ascii="Arial" w:cs="Arial" w:eastAsia="Arial" w:hAnsi="Arial"/>
          <w:sz w:val="18"/>
          <w:szCs w:val="18"/>
          <w:color w:val="auto"/>
        </w:rPr>
        <w:t>In addition to cash compensation, each non-management director also will receive an annual grant of restricted stock units (“RSUs”) valued at approximately $100,000 on the date of grant. These RSUs will fully vest on the first anniversary of the date of grant. In addition, all awards will fully vest at the director’s retirement, disability or death.</w:t>
      </w:r>
    </w:p>
    <w:p>
      <w:pPr>
        <w:spacing w:after="0" w:line="183"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We also will pay the premium on directors’ and officers’ liability and travel accident insurance policies insuring directors. We will reimburse directors for all reasonable expenses incurred in connection with attending Board meetings.</w:t>
      </w:r>
    </w:p>
    <w:p>
      <w:pPr>
        <w:spacing w:after="0" w:line="170" w:lineRule="exact"/>
        <w:rPr>
          <w:sz w:val="20"/>
          <w:szCs w:val="20"/>
          <w:color w:val="auto"/>
        </w:rPr>
      </w:pPr>
    </w:p>
    <w:p>
      <w:pPr>
        <w:ind w:left="220" w:right="40" w:firstLine="440"/>
        <w:spacing w:after="0" w:line="264" w:lineRule="auto"/>
        <w:rPr>
          <w:sz w:val="20"/>
          <w:szCs w:val="20"/>
          <w:color w:val="auto"/>
        </w:rPr>
      </w:pPr>
      <w:r>
        <w:rPr>
          <w:rFonts w:ascii="Arial" w:cs="Arial" w:eastAsia="Arial" w:hAnsi="Arial"/>
          <w:sz w:val="16"/>
          <w:szCs w:val="16"/>
          <w:color w:val="auto"/>
        </w:rPr>
        <w:t>We expect that our Board of Directors will adopt a deferred compensation plan for our directors, pursuant to which any eligible director may elect to defer, with certain limitations, his or her retainer. Under the plan, we expect that deferred compensation could be notionally invested in BellRing Brands, Inc. Class A common stock equivalents or in a number of mutual funds operated by an investment manager and recordkeeper with a variety of investment strategies and objectives. Deferrals in BellRing Brands, Inc. Class A common stock equivalents would receive a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Company matching contribution, also credited in BellRing Brands, Inc. Class A common stock equivalents. Matching contributions would be 100% vested when made. Subject to stockholder approval, deferrals credited in Class A common stock equivalents and matching contributions generally would be paid in shares. Deferrals notionally invested in mutual funds would be paid in cash. Payments generally would be made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when a person leaves the Board of Directors, in one of three ways: (1) lump sum payout; (2) five-year installments or (3) ten-year installments.</w:t>
      </w:r>
    </w:p>
    <w:p>
      <w:pPr>
        <w:spacing w:after="0" w:line="236" w:lineRule="exact"/>
        <w:rPr>
          <w:sz w:val="20"/>
          <w:szCs w:val="20"/>
          <w:color w:val="auto"/>
        </w:rPr>
      </w:pPr>
    </w:p>
    <w:p>
      <w:pPr>
        <w:ind w:left="220" w:right="80" w:firstLine="440"/>
        <w:spacing w:after="0" w:line="258" w:lineRule="auto"/>
        <w:rPr>
          <w:sz w:val="20"/>
          <w:szCs w:val="20"/>
          <w:color w:val="auto"/>
        </w:rPr>
      </w:pPr>
      <w:r>
        <w:rPr>
          <w:rFonts w:ascii="Arial" w:cs="Arial" w:eastAsia="Arial" w:hAnsi="Arial"/>
          <w:sz w:val="18"/>
          <w:szCs w:val="18"/>
          <w:color w:val="auto"/>
        </w:rPr>
        <w:t>We expect that directors who also are full-time officers or employees of BellRing Brands, Inc. or Post will receive no additional compensation for serving as directors.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10"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The following sections set forth certain information about compensation paid to our named executive officers or “NEOs.” Robert V. Vitale, our Executive Chairman, and Darcy Horn Davenport, our President and Chief Executive Officer, each served as principal executive officers of the Company in fiscal 2019 and fiscal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2019, fiscal 2018 and, where required, fiscal 2017 by our named executive officers:</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Qualified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2"/>
              </w:rPr>
              <w:t>Bonus</w:t>
            </w: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00" w:type="dxa"/>
            <w:vAlign w:val="bottom"/>
            <w:gridSpan w:val="2"/>
            <w:vMerge w:val="continue"/>
          </w:tcPr>
          <w:p>
            <w:pPr>
              <w:spacing w:after="0"/>
              <w:rPr>
                <w:sz w:val="12"/>
                <w:szCs w:val="12"/>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Earnings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2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380" w:type="dxa"/>
            <w:vAlign w:val="bottom"/>
          </w:tcPr>
          <w:p>
            <w:pPr>
              <w:jc w:val="right"/>
              <w:ind w:right="29"/>
              <w:spacing w:after="0" w:line="15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20" w:type="dxa"/>
            <w:vAlign w:val="bottom"/>
          </w:tcPr>
          <w:p>
            <w:pPr>
              <w:spacing w:after="0"/>
              <w:rPr>
                <w:sz w:val="15"/>
                <w:szCs w:val="15"/>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20" w:type="dxa"/>
            <w:vAlign w:val="bottom"/>
          </w:tcPr>
          <w:p>
            <w:pPr>
              <w:spacing w:after="0"/>
              <w:rPr>
                <w:sz w:val="15"/>
                <w:szCs w:val="15"/>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(6)</w:t>
            </w:r>
          </w:p>
        </w:tc>
        <w:tc>
          <w:tcPr>
            <w:tcW w:w="220" w:type="dxa"/>
            <w:vAlign w:val="bottom"/>
          </w:tcPr>
          <w:p>
            <w:pPr>
              <w:spacing w:after="0"/>
              <w:rPr>
                <w:sz w:val="15"/>
                <w:szCs w:val="15"/>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20" w:type="dxa"/>
            <w:vAlign w:val="bottom"/>
          </w:tcPr>
          <w:p>
            <w:pPr>
              <w:jc w:val="right"/>
              <w:ind w:right="149"/>
              <w:spacing w:after="0" w:line="15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15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60"/>
              <w:spacing w:after="0" w:line="117" w:lineRule="exact"/>
              <w:rPr>
                <w:sz w:val="20"/>
                <w:szCs w:val="20"/>
                <w:color w:val="auto"/>
              </w:rPr>
            </w:pPr>
            <w:r>
              <w:rPr>
                <w:rFonts w:ascii="Arial" w:cs="Arial" w:eastAsia="Arial" w:hAnsi="Arial"/>
                <w:sz w:val="13"/>
                <w:szCs w:val="13"/>
                <w:color w:val="auto"/>
                <w:w w:val="89"/>
              </w:rPr>
              <w:t>2019</w:t>
            </w:r>
          </w:p>
        </w:tc>
        <w:tc>
          <w:tcPr>
            <w:tcW w:w="3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ind w:left="740"/>
              <w:spacing w:after="0" w:line="117"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Executive Chairman</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340" w:type="dxa"/>
            <w:vAlign w:val="bottom"/>
            <w:gridSpan w:val="3"/>
          </w:tcPr>
          <w:p>
            <w:pPr>
              <w:spacing w:after="0"/>
              <w:rPr>
                <w:sz w:val="20"/>
                <w:szCs w:val="20"/>
                <w:color w:val="auto"/>
              </w:rPr>
            </w:pPr>
            <w:r>
              <w:rPr>
                <w:rFonts w:ascii="Arial" w:cs="Arial" w:eastAsia="Arial" w:hAnsi="Arial"/>
                <w:sz w:val="14"/>
                <w:szCs w:val="14"/>
                <w:color w:val="auto"/>
              </w:rPr>
              <w:t>Darcy Horn Davenport</w:t>
            </w:r>
          </w:p>
        </w:tc>
        <w:tc>
          <w:tcPr>
            <w:tcW w:w="880" w:type="dxa"/>
            <w:vAlign w:val="bottom"/>
            <w:gridSpan w:val="3"/>
          </w:tcPr>
          <w:p>
            <w:pPr>
              <w:ind w:left="240"/>
              <w:spacing w:after="0"/>
              <w:rPr>
                <w:sz w:val="20"/>
                <w:szCs w:val="20"/>
                <w:color w:val="auto"/>
              </w:rPr>
            </w:pPr>
            <w:r>
              <w:rPr>
                <w:rFonts w:ascii="Arial" w:cs="Arial" w:eastAsia="Arial" w:hAnsi="Arial"/>
                <w:sz w:val="14"/>
                <w:szCs w:val="14"/>
                <w:color w:val="auto"/>
              </w:rPr>
              <w:t>2019</w:t>
            </w:r>
            <w:r>
              <w:rPr>
                <w:rFonts w:ascii="Arial" w:cs="Arial" w:eastAsia="Arial" w:hAnsi="Arial"/>
                <w:sz w:val="12"/>
                <w:szCs w:val="12"/>
                <w:color w:val="auto"/>
              </w:rPr>
              <w:t>(2)</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880" w:type="dxa"/>
            <w:vAlign w:val="bottom"/>
            <w:gridSpan w:val="3"/>
          </w:tcPr>
          <w:p>
            <w:pPr>
              <w:ind w:left="240"/>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477,292</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296,371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454,030</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13,218</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65,378</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1,853,969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880" w:type="dxa"/>
            <w:vAlign w:val="bottom"/>
            <w:gridSpan w:val="3"/>
            <w:shd w:val="clear" w:color="auto" w:fill="CCEEFF"/>
          </w:tcPr>
          <w:p>
            <w:pPr>
              <w:ind w:left="240"/>
              <w:spacing w:after="0" w:line="130" w:lineRule="exact"/>
              <w:rPr>
                <w:sz w:val="20"/>
                <w:szCs w:val="20"/>
                <w:color w:val="auto"/>
              </w:rPr>
            </w:pPr>
            <w:r>
              <w:rPr>
                <w:rFonts w:ascii="Arial" w:cs="Arial" w:eastAsia="Arial" w:hAnsi="Arial"/>
                <w:sz w:val="14"/>
                <w:szCs w:val="14"/>
                <w:color w:val="auto"/>
              </w:rPr>
              <w:t>2019</w:t>
            </w:r>
            <w:r>
              <w:rPr>
                <w:rFonts w:ascii="Arial" w:cs="Arial" w:eastAsia="Arial" w:hAnsi="Arial"/>
                <w:sz w:val="12"/>
                <w:szCs w:val="12"/>
                <w:color w:val="auto"/>
              </w:rPr>
              <w:t>(2)</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SVP, Marketing</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234,649</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8"/>
              </w:rPr>
              <w:t>142,631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120,327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24,077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522,132</w:t>
            </w:r>
          </w:p>
        </w:tc>
        <w:tc>
          <w:tcPr>
            <w:tcW w:w="0" w:type="dxa"/>
            <w:vAlign w:val="bottom"/>
          </w:tcPr>
          <w:p>
            <w:pPr>
              <w:spacing w:after="0"/>
              <w:rPr>
                <w:sz w:val="1"/>
                <w:szCs w:val="1"/>
                <w:color w:val="auto"/>
              </w:rPr>
            </w:pPr>
          </w:p>
        </w:tc>
      </w:tr>
      <w:tr>
        <w:trPr>
          <w:trHeight w:val="238"/>
        </w:trPr>
        <w:tc>
          <w:tcPr>
            <w:tcW w:w="3340" w:type="dxa"/>
            <w:vAlign w:val="bottom"/>
            <w:gridSpan w:val="3"/>
          </w:tcPr>
          <w:p>
            <w:pPr>
              <w:spacing w:after="0"/>
              <w:rPr>
                <w:sz w:val="20"/>
                <w:szCs w:val="20"/>
                <w:color w:val="auto"/>
              </w:rPr>
            </w:pPr>
            <w:r>
              <w:rPr>
                <w:rFonts w:ascii="Arial" w:cs="Arial" w:eastAsia="Arial" w:hAnsi="Arial"/>
                <w:sz w:val="14"/>
                <w:szCs w:val="14"/>
                <w:color w:val="auto"/>
              </w:rPr>
              <w:t>Paul A. Rode</w:t>
            </w:r>
          </w:p>
        </w:tc>
        <w:tc>
          <w:tcPr>
            <w:tcW w:w="880" w:type="dxa"/>
            <w:vAlign w:val="bottom"/>
            <w:gridSpan w:val="3"/>
          </w:tcPr>
          <w:p>
            <w:pPr>
              <w:ind w:left="240"/>
              <w:spacing w:after="0"/>
              <w:rPr>
                <w:sz w:val="20"/>
                <w:szCs w:val="20"/>
                <w:color w:val="auto"/>
              </w:rPr>
            </w:pPr>
            <w:r>
              <w:rPr>
                <w:rFonts w:ascii="Arial" w:cs="Arial" w:eastAsia="Arial" w:hAnsi="Arial"/>
                <w:sz w:val="14"/>
                <w:szCs w:val="14"/>
                <w:color w:val="auto"/>
              </w:rPr>
              <w:t>2019</w:t>
            </w:r>
            <w:r>
              <w:rPr>
                <w:rFonts w:ascii="Arial" w:cs="Arial" w:eastAsia="Arial" w:hAnsi="Arial"/>
                <w:sz w:val="12"/>
                <w:szCs w:val="12"/>
                <w:color w:val="auto"/>
              </w:rPr>
              <w:t>(2)</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880" w:type="dxa"/>
            <w:vAlign w:val="bottom"/>
            <w:gridSpan w:val="3"/>
          </w:tcPr>
          <w:p>
            <w:pPr>
              <w:ind w:left="240"/>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280,456</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176,531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160,390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5,376</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27,988</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650,741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76200</wp:posOffset>
            </wp:positionV>
            <wp:extent cx="770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35" w:lineRule="exact"/>
        <w:rPr>
          <w:sz w:val="20"/>
          <w:szCs w:val="20"/>
          <w:color w:val="auto"/>
        </w:rPr>
      </w:pPr>
    </w:p>
    <w:p>
      <w:pPr>
        <w:ind w:left="640" w:right="140" w:hanging="430"/>
        <w:spacing w:after="0" w:line="227"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2018 and fiscal 2017 compensation is fully disclosed in Post’s filings with the SEC, and his fiscal 2019 compensation will be fully disclosed in Post’s filings with the SEC.</w:t>
      </w:r>
    </w:p>
    <w:p>
      <w:pPr>
        <w:ind w:left="640" w:hanging="430"/>
        <w:spacing w:after="0" w:line="221"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will provide fiscal 2019 compensation information in subsequent amendments to this prospectus.</w:t>
      </w:r>
    </w:p>
    <w:p>
      <w:pPr>
        <w:ind w:left="640" w:right="80" w:hanging="430"/>
        <w:spacing w:after="0" w:line="229"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Fiscal 2019 stock awards aggregate grant date fair values exclude forfeitures. For fiscal 2018 stock awards, see Note 12 to Post’s Active Nutrition business’s fiscal 2018 financial statements included herein for a discussion of the determination of these amounts under FASB ASC Topic 718.</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hanging="430"/>
        <w:spacing w:after="0" w:line="233"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2019 are summarized in the table below. For fiscal 2018 stock option awards, see Note 12 to Post’s Active Nutrition business’s fiscal 2018 financial statements included herein for a discussion of the determination of these amounts under FASB ASC Topic 718.</w:t>
      </w:r>
    </w:p>
    <w:p>
      <w:pPr>
        <w:spacing w:after="0" w:line="207"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Expected term (in years)</w:t>
            </w:r>
          </w:p>
        </w:tc>
        <w:tc>
          <w:tcPr>
            <w:tcW w:w="25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80" w:type="dxa"/>
            <w:vAlign w:val="bottom"/>
            <w:tcBorders>
              <w:top w:val="single" w:sz="8" w:color="CCEEFF"/>
            </w:tcBorders>
            <w:shd w:val="clear" w:color="auto" w:fill="CCEEFF"/>
          </w:tcPr>
          <w:p>
            <w:pPr>
              <w:spacing w:after="0"/>
              <w:rPr>
                <w:sz w:val="12"/>
                <w:szCs w:val="12"/>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stock price volatility</w:t>
            </w:r>
          </w:p>
        </w:tc>
        <w:tc>
          <w:tcPr>
            <w:tcW w:w="3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29.73%</w:t>
            </w: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3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3.05%</w:t>
            </w: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dividends</w:t>
            </w:r>
          </w:p>
        </w:tc>
        <w:tc>
          <w:tcPr>
            <w:tcW w:w="3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w:t>
            </w: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(per option)</w:t>
            </w:r>
          </w:p>
        </w:tc>
        <w:tc>
          <w:tcPr>
            <w:tcW w:w="3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$33.82</w:t>
            </w:r>
          </w:p>
        </w:tc>
      </w:tr>
    </w:tbl>
    <w:p>
      <w:pPr>
        <w:spacing w:after="0" w:line="224" w:lineRule="exact"/>
        <w:rPr>
          <w:sz w:val="20"/>
          <w:szCs w:val="20"/>
          <w:color w:val="auto"/>
        </w:rPr>
      </w:pPr>
    </w:p>
    <w:p>
      <w:pPr>
        <w:ind w:left="640" w:right="40" w:hanging="430"/>
        <w:spacing w:after="0" w:line="230"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fiscal 2018 under the Post Holdings, Inc. Annual Bonus Program, discussed below. Bonuses for fiscal 2019 have not yet been determined and we expect that they will be determined in the first fiscal quarter of 2020.</w:t>
      </w:r>
    </w:p>
    <w:p>
      <w:pPr>
        <w:ind w:left="640" w:right="180" w:hanging="430"/>
        <w:spacing w:after="0" w:line="237"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220" w:right="60" w:firstLine="440"/>
        <w:spacing w:after="0" w:line="291" w:lineRule="auto"/>
        <w:rPr>
          <w:sz w:val="20"/>
          <w:szCs w:val="20"/>
          <w:color w:val="auto"/>
        </w:rPr>
      </w:pPr>
      <w:r>
        <w:rPr>
          <w:rFonts w:ascii="Arial" w:cs="Arial" w:eastAsia="Arial" w:hAnsi="Arial"/>
          <w:sz w:val="16"/>
          <w:szCs w:val="16"/>
          <w:color w:val="auto"/>
        </w:rPr>
        <w:t>As described above in “Management—Compensation Committee Interlocks and Insider Participation,” the fiscal 2019 and fiscal 2018 compensation of our named executive officers (other than Mr. Vitale) was determined by Mr. Vitale or Ms. Davenport. We anticipate that Mr. Vitale and Ms. Davenport will continue to establish and manage the compensation of our named executive officers (other than Mr. Vitale) until the completion of this offering. After the completion of this offering, our executive compensation programs will be designed and implemented by our Board of Directors, through our 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5" w:lineRule="exact"/>
        <w:rPr>
          <w:sz w:val="20"/>
          <w:szCs w:val="20"/>
          <w:color w:val="auto"/>
        </w:rPr>
      </w:pPr>
    </w:p>
    <w:p>
      <w:pPr>
        <w:ind w:left="220" w:right="60" w:firstLine="440"/>
        <w:spacing w:after="0" w:line="287"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spacing w:after="0" w:line="2" w:lineRule="exact"/>
        <w:rPr>
          <w:sz w:val="20"/>
          <w:szCs w:val="20"/>
          <w:color w:val="auto"/>
        </w:rPr>
      </w:pPr>
    </w:p>
    <w:p>
      <w:pPr>
        <w:ind w:left="220" w:right="240"/>
        <w:spacing w:after="0" w:line="260" w:lineRule="auto"/>
        <w:rPr>
          <w:sz w:val="20"/>
          <w:szCs w:val="20"/>
          <w:color w:val="auto"/>
        </w:rPr>
      </w:pPr>
      <w:r>
        <w:rPr>
          <w:rFonts w:ascii="Arial" w:cs="Arial" w:eastAsia="Arial" w:hAnsi="Arial"/>
          <w:sz w:val="18"/>
          <w:szCs w:val="18"/>
          <w:color w:val="auto"/>
        </w:rPr>
        <w:t>Mr. Vitale’s fiscal 2018 and fiscal 2017 compensation and the benefit plans in which he participates are fully disclosed in Post’s filings with the SEC, and his fiscal 2019 compensation will be fully disclosed in Post’s filings with the SEC.</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color w:val="auto"/>
        </w:rPr>
        <w:t>Base salaries are designed to recognize and reward the skill, competency, experience and performance a named executive officer brings to the position. The total base salaries earned by our named executive officers in fiscal 2018 are disclosed in the Summary Compensation Table above and the total base salaries earned by our named executive officers in fiscal 2019 will be disclosed in the Summary Compensation Table above in subsequent amendments to this prospectus.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Incentive Plan Compensation</w:t>
      </w:r>
    </w:p>
    <w:p>
      <w:pPr>
        <w:spacing w:after="0" w:line="117"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color w:val="auto"/>
        </w:rPr>
        <w:t>In fiscal 2019 and fiscal 2018, each of our named executive officers participated in the Post Holdings, Inc. Annual Bonus Program, an annual incentive plan. The Annual Bonus Program is designed to reward employees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87" w:lineRule="auto"/>
        <w:rPr>
          <w:sz w:val="20"/>
          <w:szCs w:val="20"/>
          <w:color w:val="auto"/>
        </w:rPr>
      </w:pPr>
      <w:r>
        <w:rPr>
          <w:rFonts w:ascii="Arial" w:cs="Arial" w:eastAsia="Arial" w:hAnsi="Arial"/>
          <w:sz w:val="16"/>
          <w:szCs w:val="16"/>
          <w:color w:val="auto"/>
        </w:rPr>
        <w:t>for their contributions towards creating value for Post shareholders. Amounts payable to our named executive officers pursuant to awards granted under the program are determined based on achievement of business-level goals. For fiscal 2019 and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In each of fiscal 2019 and fiscal 2018, Ms. Davenport’s target bonus amount was 100% of her base salary, Mr. Cornille’s target bonus was 50% of his base salary and Mr. Rode’s target bonus amount was 50% of his base salary. Final bonus amounts are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 The bonus earned by each named executive officer for fiscal 2019 has not yet been determined as of the date of this prospectus, and we expect that such bonus amounts will be determined in the first fiscal quarter of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220" w:right="40" w:firstLine="440"/>
        <w:spacing w:after="0" w:line="290" w:lineRule="auto"/>
        <w:rPr>
          <w:sz w:val="20"/>
          <w:szCs w:val="20"/>
          <w:color w:val="auto"/>
        </w:rPr>
      </w:pPr>
      <w:r>
        <w:rPr>
          <w:rFonts w:ascii="Arial" w:cs="Arial" w:eastAsia="Arial" w:hAnsi="Arial"/>
          <w:sz w:val="16"/>
          <w:szCs w:val="16"/>
          <w:color w:val="auto"/>
        </w:rPr>
        <w:t>Equity awards for our named executive officers were awarded under the Post Holdings, Inc. 2012 Long-Term Incentive Plan (the “Post 2012 LTIP”), the Post Holdings, Inc. 2016 Long-Term Incentive Plan (the “Post 2016 LTIP”) and the Post Holdings, Inc. 2019 Long-Term Incentive Plan (the “Post 2019 LTIP” and, together with the Post 2012 LTIP and the Post 2016 LTIP, the “Post LTIPs”). Awards made to named executive officers consisted of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64" w:lineRule="exact"/>
        <w:rPr>
          <w:sz w:val="20"/>
          <w:szCs w:val="20"/>
          <w:color w:val="auto"/>
        </w:rPr>
      </w:pPr>
    </w:p>
    <w:p>
      <w:pPr>
        <w:ind w:left="220" w:right="500" w:firstLine="440"/>
        <w:spacing w:after="0" w:line="277" w:lineRule="auto"/>
        <w:rPr>
          <w:sz w:val="20"/>
          <w:szCs w:val="20"/>
          <w:color w:val="auto"/>
        </w:rPr>
      </w:pPr>
      <w:r>
        <w:rPr>
          <w:rFonts w:ascii="Arial" w:cs="Arial" w:eastAsia="Arial" w:hAnsi="Arial"/>
          <w:sz w:val="18"/>
          <w:szCs w:val="18"/>
          <w:color w:val="auto"/>
        </w:rPr>
        <w:t>We intend to adopt our own equity incentive compensation plan for the benefit of our eligible employees in connection with the offering, as described more fully below under “—BellRing Brands, Inc. 2019 Long-Term Incentive Plan.”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2019 and fiscal 2018.</w:t>
      </w:r>
    </w:p>
    <w:p>
      <w:pPr>
        <w:spacing w:after="0" w:line="183" w:lineRule="exact"/>
        <w:rPr>
          <w:sz w:val="20"/>
          <w:szCs w:val="20"/>
          <w:color w:val="auto"/>
        </w:rPr>
      </w:pPr>
    </w:p>
    <w:p>
      <w:pPr>
        <w:ind w:left="220" w:right="60" w:firstLine="440"/>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2019 or fiscal 2018.</w:t>
      </w:r>
    </w:p>
    <w:p>
      <w:pPr>
        <w:spacing w:after="0" w:line="177"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salaries to be paid at a future date. In addition, Post has the ability to provide a discretionary employer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contribution at the times and in the amounts designated by Post, which, if made, vest at 25% for each year of service. Eligible employees may defer between 1% and 75% of their base salaries.</w:t>
      </w:r>
    </w:p>
    <w:p>
      <w:pPr>
        <w:spacing w:after="0" w:line="170"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91"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3"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83" w:lineRule="exact"/>
        <w:rPr>
          <w:sz w:val="20"/>
          <w:szCs w:val="20"/>
          <w:color w:val="auto"/>
        </w:rPr>
      </w:pPr>
    </w:p>
    <w:p>
      <w:pPr>
        <w:ind w:left="220" w:right="540" w:firstLine="440"/>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Plans</w:t>
      </w:r>
    </w:p>
    <w:p>
      <w:pPr>
        <w:spacing w:after="0" w:line="117"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Post maintains the Post Savings Investment Plan (the “Post 401(k) Plan”), which is a defined contribution savings plan for all eligible employees of the Company, including each of our named executive officers. The Post 401(k) Plan is subject to certain provisions of the Employee Retirement Income Security Act of 1974, as amended (“ERISA”), and the Code. The Post 401(k) Plan is designed to meet ERISA’s reporting and disclosure and fiduciary requirements, as well as to meet the minimum standards for participation and vesting. The Post 401(k) Plan also is intended to qualify as a cash or deferred profit sharing plan under Section 401(k) of the Code, is intended to be qualified under Section 401(a) of the Code and is the subject of a favorable determination letter from the IRS.</w:t>
      </w:r>
    </w:p>
    <w:p>
      <w:pPr>
        <w:spacing w:after="0" w:line="191" w:lineRule="exact"/>
        <w:rPr>
          <w:sz w:val="20"/>
          <w:szCs w:val="20"/>
          <w:color w:val="auto"/>
        </w:rPr>
      </w:pPr>
    </w:p>
    <w:p>
      <w:pPr>
        <w:ind w:left="220" w:right="80" w:firstLine="440"/>
        <w:spacing w:after="0" w:line="284" w:lineRule="auto"/>
        <w:rPr>
          <w:sz w:val="20"/>
          <w:szCs w:val="20"/>
          <w:color w:val="auto"/>
        </w:rPr>
      </w:pPr>
      <w:r>
        <w:rPr>
          <w:rFonts w:ascii="Arial" w:cs="Arial" w:eastAsia="Arial" w:hAnsi="Arial"/>
          <w:sz w:val="16"/>
          <w:szCs w:val="16"/>
          <w:color w:val="auto"/>
        </w:rPr>
        <w:t>Under the Post 401(k) Plan, our named executive officers may make pre-tax and Roth contributions of their eligible compensation, which are credited with a dollar-for-dollar employer matching contribution of up to 6% of eligible compensation deferred. Matching contributions made through December 31, 2017 vest at 20% for each year of service. Effective January 1, 2018, the Post 401(k) Plan was amended to provide that matching contributions made on or after January 1, 2018 are vested when made. Our named executive officers may select from a variety of investment funds, including the Post Common Stock Fund. The matching contributions made by Post under the Post 401(k) Plan for our named executive officers, as well as the discretionary contributions made by Post under the Executive Savings Investment Plan for our named executive officers, for fiscal 2019 were as</w:t>
      </w:r>
    </w:p>
    <w:p>
      <w:pPr>
        <w:spacing w:after="0" w:line="3"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color w:val="auto"/>
        </w:rPr>
        <w:t>follows: Ms. Davenport, $ ; Mr. Cornille, $ ; and Mr. Rode, $ . The matching contributions made by Post under the Post 401(k) Plan for our named executive officers, as well as the discretionary contributions made by Post under the Executive Savings Investment Plan for our named executive officers, for fiscal 2018 were as follows: Ms. Davenport, $64,664; Mr. Cornille, $23,603; and Mr. Rode, $27,379. Such amounts are included in the “All Other Compensation” column in the Summary Compensation Table above.</w:t>
      </w:r>
    </w:p>
    <w:p>
      <w:pPr>
        <w:spacing w:after="0" w:line="192"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We intend to adopt our own 401(k) plan in connection with the contemplated transactions, and expect it will be substantially similar to the Post 401(k) Plan.</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Outstanding Equity Awards at September 30, 2019</w:t>
      </w:r>
    </w:p>
    <w:p>
      <w:pPr>
        <w:spacing w:after="0" w:line="121" w:lineRule="exact"/>
        <w:rPr>
          <w:sz w:val="20"/>
          <w:szCs w:val="20"/>
          <w:color w:val="auto"/>
        </w:rPr>
      </w:pPr>
    </w:p>
    <w:p>
      <w:pPr>
        <w:ind w:left="220" w:right="460" w:firstLine="440"/>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2019.</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Market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Shares</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or Units</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Stock</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Units of</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or Other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That Have</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Options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Not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Have Not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Have Not</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80" w:type="dxa"/>
            <w:vAlign w:val="bottom"/>
            <w:vMerge w:val="restart"/>
          </w:tcPr>
          <w:p>
            <w:pPr>
              <w:spacing w:after="0"/>
              <w:rPr>
                <w:sz w:val="12"/>
                <w:szCs w:val="12"/>
                <w:color w:val="auto"/>
              </w:rPr>
            </w:pPr>
          </w:p>
        </w:tc>
        <w:tc>
          <w:tcPr>
            <w:tcW w:w="100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Vested</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(13)</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(13)</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89"/>
              </w:rPr>
              <w:t>Exercisable</w:t>
            </w:r>
          </w:p>
        </w:tc>
        <w:tc>
          <w:tcPr>
            <w:tcW w:w="132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440" w:type="dxa"/>
            <w:vAlign w:val="bottom"/>
            <w:gridSpan w:val="3"/>
          </w:tcPr>
          <w:p>
            <w:pPr>
              <w:jc w:val="right"/>
              <w:ind w:right="300"/>
              <w:spacing w:after="0" w:line="130" w:lineRule="exact"/>
              <w:rPr>
                <w:sz w:val="20"/>
                <w:szCs w:val="20"/>
                <w:color w:val="auto"/>
              </w:rPr>
            </w:pPr>
            <w:r>
              <w:rPr>
                <w:rFonts w:ascii="Arial" w:cs="Arial" w:eastAsia="Arial" w:hAnsi="Arial"/>
                <w:sz w:val="14"/>
                <w:szCs w:val="14"/>
                <w:color w:val="auto"/>
              </w:rPr>
              <w:t>6,666</w:t>
            </w:r>
            <w:r>
              <w:rPr>
                <w:rFonts w:ascii="Arial" w:cs="Arial" w:eastAsia="Arial" w:hAnsi="Arial"/>
                <w:sz w:val="12"/>
                <w:szCs w:val="12"/>
                <w:color w:val="auto"/>
              </w:rPr>
              <w:t>(2)</w:t>
            </w:r>
          </w:p>
        </w:tc>
        <w:tc>
          <w:tcPr>
            <w:tcW w:w="132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3,334</w:t>
            </w:r>
          </w:p>
        </w:tc>
        <w:tc>
          <w:tcPr>
            <w:tcW w:w="8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71.32</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6"/>
              </w:rPr>
              <w:t>11/14/2026</w:t>
            </w:r>
          </w:p>
        </w:tc>
        <w:tc>
          <w:tcPr>
            <w:tcW w:w="116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2,000</w:t>
            </w:r>
            <w:r>
              <w:rPr>
                <w:rFonts w:ascii="Arial" w:cs="Arial" w:eastAsia="Arial" w:hAnsi="Arial"/>
                <w:sz w:val="12"/>
                <w:szCs w:val="12"/>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5,325</w:t>
            </w:r>
            <w:r>
              <w:rPr>
                <w:rFonts w:ascii="Arial" w:cs="Arial" w:eastAsia="Arial" w:hAnsi="Arial"/>
                <w:sz w:val="12"/>
                <w:szCs w:val="12"/>
                <w:color w:val="auto"/>
              </w:rPr>
              <w:t>(3)</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10,650</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79.52</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12/01/2027</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2,485</w:t>
            </w:r>
            <w:r>
              <w:rPr>
                <w:rFonts w:ascii="Arial" w:cs="Arial" w:eastAsia="Arial" w:hAnsi="Arial"/>
                <w:sz w:val="12"/>
                <w:szCs w:val="12"/>
                <w:color w:val="auto"/>
              </w:rPr>
              <w:t>(6)</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12,339</w:t>
            </w:r>
            <w:r>
              <w:rPr>
                <w:rFonts w:ascii="Arial" w:cs="Arial" w:eastAsia="Arial" w:hAnsi="Arial"/>
                <w:sz w:val="12"/>
                <w:szCs w:val="12"/>
                <w:color w:val="auto"/>
              </w:rPr>
              <w:t>(4)</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92.08</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11/13/2028</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4,319</w:t>
            </w:r>
            <w:r>
              <w:rPr>
                <w:rFonts w:ascii="Arial" w:cs="Arial" w:eastAsia="Arial" w:hAnsi="Arial"/>
                <w:sz w:val="12"/>
                <w:szCs w:val="12"/>
                <w:color w:val="auto"/>
              </w:rPr>
              <w:t>(7)</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11,992</w:t>
            </w:r>
            <w:r>
              <w:rPr>
                <w:rFonts w:ascii="Arial" w:cs="Arial" w:eastAsia="Arial" w:hAnsi="Arial"/>
                <w:sz w:val="12"/>
                <w:szCs w:val="12"/>
                <w:color w:val="auto"/>
              </w:rPr>
              <w:t>(8)</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588</w:t>
            </w:r>
            <w:r>
              <w:rPr>
                <w:rFonts w:ascii="Arial" w:cs="Arial" w:eastAsia="Arial" w:hAnsi="Arial"/>
                <w:sz w:val="12"/>
                <w:szCs w:val="12"/>
                <w:color w:val="auto"/>
              </w:rPr>
              <w:t>(9)</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1,204</w:t>
            </w:r>
            <w:r>
              <w:rPr>
                <w:rFonts w:ascii="Arial" w:cs="Arial" w:eastAsia="Arial" w:hAnsi="Arial"/>
                <w:sz w:val="12"/>
                <w:szCs w:val="12"/>
                <w:color w:val="auto"/>
              </w:rPr>
              <w:t>(10)</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1,727</w:t>
            </w:r>
            <w:r>
              <w:rPr>
                <w:rFonts w:ascii="Arial" w:cs="Arial" w:eastAsia="Arial" w:hAnsi="Arial"/>
                <w:sz w:val="12"/>
                <w:szCs w:val="12"/>
                <w:color w:val="auto"/>
              </w:rPr>
              <w:t>(11)</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4,797</w:t>
            </w:r>
            <w:r>
              <w:rPr>
                <w:rFonts w:ascii="Arial" w:cs="Arial" w:eastAsia="Arial" w:hAnsi="Arial"/>
                <w:sz w:val="12"/>
                <w:szCs w:val="12"/>
                <w:color w:val="auto"/>
              </w:rPr>
              <w:t>(8)</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Paul A. Rode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(12)</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742</w:t>
            </w:r>
            <w:r>
              <w:rPr>
                <w:rFonts w:ascii="Arial" w:cs="Arial" w:eastAsia="Arial" w:hAnsi="Arial"/>
                <w:sz w:val="12"/>
                <w:szCs w:val="12"/>
                <w:color w:val="auto"/>
              </w:rPr>
              <w:t>(9)</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1,490</w:t>
            </w:r>
            <w:r>
              <w:rPr>
                <w:rFonts w:ascii="Arial" w:cs="Arial" w:eastAsia="Arial" w:hAnsi="Arial"/>
                <w:sz w:val="12"/>
                <w:szCs w:val="12"/>
                <w:color w:val="auto"/>
              </w:rPr>
              <w:t>(10)</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1,943</w:t>
            </w:r>
            <w:r>
              <w:rPr>
                <w:rFonts w:ascii="Arial" w:cs="Arial" w:eastAsia="Arial" w:hAnsi="Arial"/>
                <w:sz w:val="12"/>
                <w:szCs w:val="12"/>
                <w:color w:val="auto"/>
              </w:rPr>
              <w:t>(11)</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5,535</w:t>
            </w:r>
            <w:r>
              <w:rPr>
                <w:rFonts w:ascii="Arial" w:cs="Arial" w:eastAsia="Arial" w:hAnsi="Arial"/>
                <w:sz w:val="12"/>
                <w:szCs w:val="12"/>
                <w:color w:val="auto"/>
              </w:rPr>
              <w:t>(8)</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76200</wp:posOffset>
            </wp:positionV>
            <wp:extent cx="770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35" w:lineRule="exact"/>
        <w:rPr>
          <w:sz w:val="20"/>
          <w:szCs w:val="20"/>
          <w:color w:val="auto"/>
        </w:rPr>
      </w:pPr>
    </w:p>
    <w:p>
      <w:pPr>
        <w:ind w:left="640" w:right="80" w:hanging="430"/>
        <w:spacing w:after="0" w:line="230"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64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64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64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13, 2019, 2020 and 2021.</w:t>
      </w:r>
    </w:p>
    <w:p>
      <w:pPr>
        <w:ind w:left="640" w:right="20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640" w:right="28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640" w:right="20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13, 2019, 2020 and 2021. The RSUs will be paid in shares of Post’s common stock within sixty days from each of the applicable vesting dates.</w:t>
      </w:r>
    </w:p>
    <w:p>
      <w:pPr>
        <w:ind w:left="640" w:right="4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April 22, 2020, 2021 and 2022. The RSUs will be paid in shares of Post’s common stock within sixty days from each of the applicable vesting dates.</w:t>
      </w:r>
    </w:p>
    <w:p>
      <w:pPr>
        <w:ind w:left="640" w:right="20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640" w:right="28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640" w:right="200" w:hanging="430"/>
        <w:spacing w:after="0" w:line="221"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30, 2019, 2020 and 2021. The RSUs will be paid in shares of Post’s common stock within sixty days from each of the applicable vesting dates.</w:t>
      </w:r>
    </w:p>
    <w:p>
      <w:pPr>
        <w:ind w:left="640" w:hanging="430"/>
        <w:spacing w:after="0" w:line="238" w:lineRule="auto"/>
        <w:tabs>
          <w:tab w:leader="none" w:pos="6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640" w:hanging="430"/>
        <w:spacing w:after="0"/>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Post’s closing stock price of $</w:t>
      </w:r>
      <w:r>
        <w:rPr>
          <w:rFonts w:ascii="Arial" w:cs="Arial" w:eastAsia="Arial" w:hAnsi="Arial"/>
          <w:sz w:val="12"/>
          <w:szCs w:val="12"/>
          <w:color w:val="auto"/>
        </w:rPr>
        <w:t>on September 30, 2019, the last trading day of fiscal 2019.</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In fiscal 2019, in the event of an involuntary termination of employment (whether in connection with a change in control of the Company or not), Ms. Davenport was eligible for compensation and benefits under the Post Holdings, Inc. Executive Severance Plan (the “Executive Severance Plan”), Mr. Cornille and Mr. Rode were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254" w:lineRule="auto"/>
        <w:rPr>
          <w:sz w:val="20"/>
          <w:szCs w:val="20"/>
          <w:color w:val="auto"/>
        </w:rPr>
      </w:pPr>
      <w:r>
        <w:rPr>
          <w:rFonts w:ascii="Arial" w:cs="Arial" w:eastAsia="Arial" w:hAnsi="Arial"/>
          <w:sz w:val="18"/>
          <w:szCs w:val="18"/>
          <w:color w:val="auto"/>
        </w:rPr>
        <w:t>each eligible for compensation and benefits under the Post Holdings, Inc. Severance Plan for Salary Grade 16 and Above (the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2019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220" w:right="260" w:firstLine="440"/>
        <w:spacing w:after="0" w:line="341" w:lineRule="auto"/>
        <w:rPr>
          <w:sz w:val="20"/>
          <w:szCs w:val="20"/>
          <w:color w:val="auto"/>
        </w:rPr>
      </w:pPr>
      <w:r>
        <w:rPr>
          <w:rFonts w:ascii="Arial" w:cs="Arial" w:eastAsia="Arial" w:hAnsi="Arial"/>
          <w:sz w:val="16"/>
          <w:szCs w:val="16"/>
          <w:color w:val="auto"/>
        </w:rPr>
        <w:t>We anticipate that our named executive officers who are currently eligible for the Salary Grade 16 Plan will no longer be eligible for severance under that plan, and that the Company will implement its own severance plan, following the consummation of the contemplated transactions.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In fiscal 2019,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0" w:lineRule="exact"/>
        <w:rPr>
          <w:sz w:val="20"/>
          <w:szCs w:val="20"/>
          <w:color w:val="auto"/>
        </w:rPr>
      </w:pPr>
    </w:p>
    <w:p>
      <w:pPr>
        <w:ind w:left="1180" w:right="300" w:hanging="538"/>
        <w:spacing w:after="0" w:line="307" w:lineRule="auto"/>
        <w:tabs>
          <w:tab w:leader="none" w:pos="11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2" w:lineRule="exact"/>
        <w:rPr>
          <w:rFonts w:ascii="Arial" w:cs="Arial" w:eastAsia="Arial" w:hAnsi="Arial"/>
          <w:sz w:val="17"/>
          <w:szCs w:val="17"/>
          <w:color w:val="auto"/>
        </w:rPr>
      </w:pPr>
    </w:p>
    <w:p>
      <w:pPr>
        <w:ind w:left="1180" w:right="40" w:hanging="538"/>
        <w:spacing w:after="0" w:line="27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20" w:right="220" w:firstLine="440"/>
        <w:spacing w:after="0" w:line="290"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spacing w:after="0" w:line="1" w:lineRule="exact"/>
        <w:rPr>
          <w:sz w:val="20"/>
          <w:szCs w:val="20"/>
          <w:color w:val="auto"/>
        </w:rPr>
      </w:pPr>
    </w:p>
    <w:p>
      <w:pPr>
        <w:ind w:left="220" w:hanging="10"/>
        <w:spacing w:after="0" w:line="323" w:lineRule="auto"/>
        <w:tabs>
          <w:tab w:leader="none" w:pos="4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0" w:lineRule="exact"/>
        <w:rPr>
          <w:sz w:val="20"/>
          <w:szCs w:val="20"/>
          <w:color w:val="auto"/>
        </w:rPr>
      </w:pPr>
    </w:p>
    <w:p>
      <w:pPr>
        <w:ind w:left="220" w:right="480" w:firstLine="440"/>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220" w:right="360" w:firstLine="440"/>
        <w:spacing w:after="0" w:line="286" w:lineRule="auto"/>
        <w:rPr>
          <w:sz w:val="20"/>
          <w:szCs w:val="20"/>
          <w:color w:val="auto"/>
        </w:rPr>
      </w:pPr>
      <w:r>
        <w:rPr>
          <w:rFonts w:ascii="Arial" w:cs="Arial" w:eastAsia="Arial" w:hAnsi="Arial"/>
          <w:sz w:val="17"/>
          <w:szCs w:val="17"/>
          <w:color w:val="auto"/>
        </w:rPr>
        <w:t>In fiscal 2019, under the Salary Grade 16 Plan, each of Mr. Cornille and Mr. Rode was eligible for severance benefits in the event of an involuntary termination without “cause.” The payment of benefits under the Salary Grade 16 Plan is conditioned upon Mr. Cornille or Mr. Rode, as applicable, executing a general release of claims that includes confidentiality and cooperation provisions, among other provisions.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0" w:lineRule="exact"/>
        <w:rPr>
          <w:sz w:val="20"/>
          <w:szCs w:val="20"/>
          <w:color w:val="auto"/>
        </w:rPr>
      </w:pPr>
    </w:p>
    <w:p>
      <w:pPr>
        <w:ind w:left="1180" w:right="420" w:hanging="538"/>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1180" w:hanging="538"/>
        <w:spacing w:after="0" w:line="263"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20" w:right="360" w:firstLine="440"/>
        <w:spacing w:after="0" w:line="277" w:lineRule="auto"/>
        <w:rPr>
          <w:sz w:val="20"/>
          <w:szCs w:val="20"/>
          <w:color w:val="auto"/>
        </w:rPr>
      </w:pPr>
      <w:r>
        <w:rPr>
          <w:rFonts w:ascii="Arial" w:cs="Arial" w:eastAsia="Arial" w:hAnsi="Arial"/>
          <w:sz w:val="18"/>
          <w:szCs w:val="18"/>
          <w:color w:val="auto"/>
        </w:rPr>
        <w:t>The Salary Grade 16 Plan also provides that each of Mr. Cornille and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220" w:right="280" w:firstLine="440"/>
        <w:spacing w:after="0" w:line="263" w:lineRule="auto"/>
        <w:rPr>
          <w:sz w:val="20"/>
          <w:szCs w:val="20"/>
          <w:color w:val="auto"/>
        </w:rPr>
      </w:pPr>
      <w:r>
        <w:rPr>
          <w:rFonts w:ascii="Arial" w:cs="Arial" w:eastAsia="Arial" w:hAnsi="Arial"/>
          <w:sz w:val="18"/>
          <w:szCs w:val="18"/>
          <w:color w:val="auto"/>
        </w:rPr>
        <w:t>Equity awards in respect of Post common stock granted to our named executive officers under the Post 2012 LTIP, the Post 2016 LTIP and the Post 2019 LTIP are subject to special provisions in the event of certain involuntary terminations and/or a change in control (as defined under the applicable award agreement) as</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60"/>
          </w:cols>
          <w:pgMar w:left="24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311" w:lineRule="auto"/>
        <w:rPr>
          <w:sz w:val="20"/>
          <w:szCs w:val="20"/>
          <w:color w:val="auto"/>
        </w:rPr>
      </w:pPr>
      <w:r>
        <w:rPr>
          <w:rFonts w:ascii="Arial" w:cs="Arial" w:eastAsia="Arial" w:hAnsi="Arial"/>
          <w:sz w:val="16"/>
          <w:szCs w:val="16"/>
          <w:color w:val="auto"/>
        </w:rPr>
        <w:t>described herein. The agreements governing all of our named executive officers’ NQSOs and RSUs issued under the Post 2016 LTIP and the Post 2019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0" w:lineRule="exact"/>
        <w:rPr>
          <w:sz w:val="20"/>
          <w:szCs w:val="20"/>
          <w:color w:val="auto"/>
        </w:rPr>
      </w:pPr>
    </w:p>
    <w:p>
      <w:pPr>
        <w:ind w:left="1180" w:right="40" w:hanging="538"/>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the Post 2012 LTIP, the Post 2016 LTIP and the Post 2019 LTIP vest in whole or in part upon a termination because of death or disability.</w:t>
      </w:r>
    </w:p>
    <w:p>
      <w:pPr>
        <w:spacing w:after="0" w:line="75" w:lineRule="exact"/>
        <w:rPr>
          <w:rFonts w:ascii="Arial" w:cs="Arial" w:eastAsia="Arial" w:hAnsi="Arial"/>
          <w:sz w:val="18"/>
          <w:szCs w:val="18"/>
          <w:color w:val="auto"/>
        </w:rPr>
      </w:pPr>
    </w:p>
    <w:p>
      <w:pPr>
        <w:jc w:val="both"/>
        <w:ind w:left="1180" w:right="60" w:hanging="538"/>
        <w:spacing w:after="0" w:line="301" w:lineRule="auto"/>
        <w:tabs>
          <w:tab w:leader="none" w:pos="1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Under an RSU award made to Mr. Rode on June 17, 2014 under the Post 2012 LTIP and which is scheduled to be fully vested on July 17, 2024, if Mr. Rode’s employment had been terminated by the Company or another Post affiliate without cause in fiscal 2019, any unvested RSUs would have become vested. This accelerated vesting provision also would apply if Mr. Rode’s employment with the Company or a subsidiary of the Company had terminated as a result of the sale of the Company or a subsidiary of the Company.</w:t>
      </w:r>
    </w:p>
    <w:p>
      <w:pPr>
        <w:spacing w:after="0" w:line="156"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Vested stock options granted under the Post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220" w:right="20" w:firstLine="440"/>
        <w:spacing w:after="0" w:line="311"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20" w:right="140" w:firstLine="440"/>
        <w:spacing w:after="0" w:line="256"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in the months following completion of the offering.</w:t>
      </w:r>
    </w:p>
    <w:p>
      <w:pPr>
        <w:spacing w:after="0" w:line="191"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Prior to the completion of the offering, we expect our Board of Directors and our sole stockholder, Post, to approve the 2019 LTIP, which will permit us to grant equity, equity-based and cash-based incentive awards to our employees, directors, managers, consultants and advisors. The following is a summary of what we expect to be the material terms of the 2019 LTIP. This summary is qualified in its entirety by reference to the form of 2019 LTIP attached as an exhibit to the registration statement, of which this prospectus is a part. For purposes of the description of the 2019 LTIP, the term “non-employee director” is defined as provided in Rule 16b-3 of the Exchange Act.</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The purpose of the 2019 LTIP will be to attract, retain and motivate participants by offering such individuals opportunities to realize stock price appreciation, by facilitating stock ownership and/or by rewarding them for achieving a high level of performance.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We expect that the Corporate Governance and Compensation Committee of the Board of Directors or another committee designated by our Board of Directors (the “Committee”) will administer the 2019 LTIP and grant awards under the 2019 LTIP. Subject to the terms of the 2019 LTIP, the Committee’s charter and applicable laws, the Committee or its delegate, or the full Board of Directors, will have the authority to interpret and administer the 2019 LTIP, make awards thereunder and prescribe the terms and conditions thereof.</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220" w:right="460" w:firstLine="440"/>
        <w:spacing w:after="0" w:line="277" w:lineRule="auto"/>
        <w:rPr>
          <w:sz w:val="20"/>
          <w:szCs w:val="20"/>
          <w:color w:val="auto"/>
        </w:rPr>
      </w:pPr>
      <w:r>
        <w:rPr>
          <w:rFonts w:ascii="Arial" w:cs="Arial" w:eastAsia="Arial" w:hAnsi="Arial"/>
          <w:sz w:val="18"/>
          <w:szCs w:val="18"/>
          <w:color w:val="auto"/>
        </w:rPr>
        <w:t>We expect that any of our service providers, including any of our employees, directors, managers, consultants or advisors, will be eligible to participate in the 2019 LTIP at the discretion of the Committee (or the Board of Directors, as the case may be).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220" w:right="40" w:firstLine="440"/>
        <w:spacing w:after="0" w:line="28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anticipate that the Committee will have the discretion to award stock options (both nonqualified and incentive stock options),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(“SARs”), performance shares, restricted stock, RSUs and other stock-based and cash-based awards. Each award will be evidenced by an agreement, certificate or other instrument or document setting forth the terms and conditions of the award, including any applicable performance criteria and period, service based or other vesting criteria or conditions on the award, and events of forfeiture. The term of the award for participants located in the U.S. will not exceed ten years. All awards will be non-transferable unless the Company permits the recipient to transfer an award not for value. No award may be exercised for a fraction of a share of Class A common stock. The exercise price applicable to stock options and stock appreciation rights will equal or exceed the fair market value of a share of our Class A common stock on the date of grant. The exercise price and/or any applicable withholding taxes with respect to any award, if the Committee so permits and upon such terms as the Committee approves, may be satisfied (a) in cash or certified bank check, (b) through delivery or tender to the Company of shares held, either actually or by attestation, by the recipient,</w:t>
      </w:r>
    </w:p>
    <w:p>
      <w:pPr>
        <w:spacing w:after="0" w:line="4" w:lineRule="exact"/>
        <w:rPr>
          <w:sz w:val="20"/>
          <w:szCs w:val="20"/>
          <w:color w:val="auto"/>
        </w:rPr>
      </w:pPr>
    </w:p>
    <w:p>
      <w:pPr>
        <w:ind w:left="220" w:hanging="10"/>
        <w:spacing w:after="0" w:line="252" w:lineRule="auto"/>
        <w:tabs>
          <w:tab w:leader="none" w:pos="4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a net or cashless form of settlement or (d) through a combination of (a), (b) and/or (c). Further, the Committee may, in its discretion, approve other methods or forms of payment and establish rules and procedures therefor. Recipients holding awards other than shares of restricted stock or RSUs will generally have no dividend or dividend-equivalent rights with respect to the shares of Class A common stock underlying the awards, and except as otherwise determined by the Committee, dividends or dividend equivalents provided for with respect to awards of restricted stock or RSUs will generally be subject to the same restrictions and conditions as the award generally and shall be payable only if and no earlier than at the same time as the underlying restricted stock or RSUs become vested.</w:t>
      </w:r>
    </w:p>
    <w:p>
      <w:pPr>
        <w:spacing w:after="0" w:line="192" w:lineRule="exact"/>
        <w:rPr>
          <w:sz w:val="20"/>
          <w:szCs w:val="20"/>
          <w:color w:val="auto"/>
        </w:rPr>
      </w:pPr>
    </w:p>
    <w:p>
      <w:pPr>
        <w:ind w:left="220" w:right="140" w:firstLine="440"/>
        <w:spacing w:after="0" w:line="291" w:lineRule="auto"/>
        <w:rPr>
          <w:sz w:val="20"/>
          <w:szCs w:val="20"/>
          <w:color w:val="auto"/>
        </w:rPr>
      </w:pPr>
      <w:r>
        <w:rPr>
          <w:rFonts w:ascii="Arial" w:cs="Arial" w:eastAsia="Arial" w:hAnsi="Arial"/>
          <w:sz w:val="16"/>
          <w:szCs w:val="16"/>
          <w:color w:val="auto"/>
        </w:rPr>
        <w:t>The Committee may provide, in its discretion, that an award granted to a recipient is subject to the achievement of performance criteria, which shall be established by the Committee relating to one or more business criteria. Performance criteria may be applied to BellRing Brands, Inc., an affiliate, a parent, subsidiary, division, business unit or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300"/>
        <w:spacing w:after="0" w:line="311" w:lineRule="auto"/>
        <w:rPr>
          <w:sz w:val="20"/>
          <w:szCs w:val="20"/>
          <w:color w:val="auto"/>
        </w:rPr>
      </w:pPr>
      <w:r>
        <w:rPr>
          <w:rFonts w:ascii="Arial" w:cs="Arial" w:eastAsia="Arial" w:hAnsi="Arial"/>
          <w:sz w:val="16"/>
          <w:szCs w:val="16"/>
          <w:color w:val="auto"/>
        </w:rPr>
        <w:t>before taxes), net earnings or net earnings per share (profit after tax), compound annual growth in earnings per share, operating income, total shareholder return, compound shareholder return, market share, return on equity, average return on invested capital, pre-tax and pre-interest expense return on average invested capital, which may be expressed on a current value basis, or sales growth, marketing, operating or workplan goals.</w:t>
      </w:r>
    </w:p>
    <w:p>
      <w:pPr>
        <w:spacing w:after="0" w:line="148"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With respect to incentive stock options, a recipient may not hold incentive stock options with a fair market value in excess of $100,000 in the year in which they are first exercisable, if this limitation is necessary to qualify the option as an incentive stock option. If, upon the grant of an incentive stock option, the recipient possesses more than 10% of the total combined voting power of all of the classes of stock of the Company, the option price for the incentive stock option will be at least 110% of the fair market value of the shares of Class A common stock subject to the option on the grant date, and the option will expire five years after the grant date. Incentive stock options may only be granted to employees of the Company. The Company has no liability to any recipient or other person if an option designated as an incentive stock option fails to qualify as such.</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Accelerated Vesting; Change in Control</w:t>
      </w:r>
    </w:p>
    <w:p>
      <w:pPr>
        <w:spacing w:after="0" w:line="117" w:lineRule="exact"/>
        <w:rPr>
          <w:sz w:val="20"/>
          <w:szCs w:val="20"/>
          <w:color w:val="auto"/>
        </w:rPr>
      </w:pPr>
    </w:p>
    <w:p>
      <w:pPr>
        <w:ind w:left="220" w:right="40" w:firstLine="440"/>
        <w:spacing w:after="0" w:line="253" w:lineRule="auto"/>
        <w:rPr>
          <w:sz w:val="20"/>
          <w:szCs w:val="20"/>
          <w:color w:val="auto"/>
        </w:rPr>
      </w:pPr>
      <w:r>
        <w:rPr>
          <w:rFonts w:ascii="Arial" w:cs="Arial" w:eastAsia="Arial" w:hAnsi="Arial"/>
          <w:sz w:val="18"/>
          <w:szCs w:val="18"/>
          <w:color w:val="auto"/>
        </w:rPr>
        <w:t>Each award will vest in whole or in part on terms provided in the award agreement. We anticipate that the 2019 LTIP will provide that an award may permit acceleration of vesting requirements and acceleration of the expiration of the applicable term upon such terms and conditions as shall be set forth in the award. We anticipate that the 2019 LTIP will provide for “double trigger” rather than “single trigger” accelerated vesting, meaning awards will be accelerated as the result of a change in control where the participant’s employment is involuntarily terminated or the participant terminates for “good reason” in connection with a change in control, or upon a Committee determination that such acceleration is in the best interests of the Company. With respect to performance-based awards, all performance goals will be either deemed achieved at 100% target levels and adjusted pro-rata based on the applicable performance period, or vested based upon actual performance levels, or the greater of target and pro-rated or actual performance. The Committee also may permit acceleration of vesting of such awards in certain events, including in the event of the participant’s death, disability or retirement.</w:t>
      </w:r>
    </w:p>
    <w:p>
      <w:pPr>
        <w:spacing w:after="0" w:line="195" w:lineRule="exact"/>
        <w:rPr>
          <w:sz w:val="20"/>
          <w:szCs w:val="20"/>
          <w:color w:val="auto"/>
        </w:rPr>
      </w:pPr>
    </w:p>
    <w:p>
      <w:pPr>
        <w:ind w:left="220" w:firstLine="440"/>
        <w:spacing w:after="0" w:line="341" w:lineRule="auto"/>
        <w:rPr>
          <w:sz w:val="20"/>
          <w:szCs w:val="20"/>
          <w:color w:val="auto"/>
        </w:rPr>
      </w:pPr>
      <w:r>
        <w:rPr>
          <w:rFonts w:ascii="Arial" w:cs="Arial" w:eastAsia="Arial" w:hAnsi="Arial"/>
          <w:sz w:val="16"/>
          <w:szCs w:val="16"/>
          <w:color w:val="auto"/>
        </w:rPr>
        <w:t>For purposes of the 2019 LTIP, we anticipate that a change in control will not include any direct or indirect spin-off, split-off or similar transaction involving BellRing Brands, Inc. securities by any stockholder of BellRing Brands, Inc. to such stockholder’s stockholders and is otherwise limited to:</w:t>
      </w:r>
    </w:p>
    <w:p>
      <w:pPr>
        <w:spacing w:after="0" w:line="30" w:lineRule="exact"/>
        <w:rPr>
          <w:sz w:val="20"/>
          <w:szCs w:val="20"/>
          <w:color w:val="auto"/>
        </w:rPr>
      </w:pPr>
    </w:p>
    <w:p>
      <w:pPr>
        <w:ind w:left="1180" w:hanging="538"/>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replacement of a majority of the incumbent board;</w:t>
      </w:r>
    </w:p>
    <w:p>
      <w:pPr>
        <w:spacing w:after="0" w:line="130" w:lineRule="exact"/>
        <w:rPr>
          <w:rFonts w:ascii="Arial" w:cs="Arial" w:eastAsia="Arial" w:hAnsi="Arial"/>
          <w:sz w:val="18"/>
          <w:szCs w:val="18"/>
          <w:color w:val="auto"/>
        </w:rPr>
      </w:pPr>
    </w:p>
    <w:p>
      <w:pPr>
        <w:ind w:left="1180" w:right="100" w:hanging="538"/>
        <w:spacing w:after="0" w:line="341"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acquisition or beneficial ownership of the right to direct the vote with respect to more than 50% of the combined voting power of the then outstanding securities of BellRing Brands, Inc. entitled to vote generally in the election of directors (“Voting Control”), excluding:</w:t>
      </w:r>
    </w:p>
    <w:p>
      <w:pPr>
        <w:spacing w:after="0" w:line="30" w:lineRule="exact"/>
        <w:rPr>
          <w:rFonts w:ascii="Arial" w:cs="Arial" w:eastAsia="Arial" w:hAnsi="Arial"/>
          <w:sz w:val="16"/>
          <w:szCs w:val="16"/>
          <w:color w:val="auto"/>
        </w:rPr>
      </w:pPr>
    </w:p>
    <w:p>
      <w:pPr>
        <w:ind w:left="1620" w:hanging="425"/>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direct or indirect acquisition or beneficial ownership by BellRing Brands, Inc., Post or any of its or their subsidiaries;</w:t>
      </w:r>
    </w:p>
    <w:p>
      <w:pPr>
        <w:spacing w:after="0" w:line="130" w:lineRule="exact"/>
        <w:rPr>
          <w:rFonts w:ascii="Arial" w:cs="Arial" w:eastAsia="Arial" w:hAnsi="Arial"/>
          <w:sz w:val="18"/>
          <w:szCs w:val="18"/>
          <w:color w:val="auto"/>
        </w:rPr>
      </w:pPr>
    </w:p>
    <w:p>
      <w:pPr>
        <w:ind w:left="1620" w:hanging="425"/>
        <w:spacing w:after="0" w:line="341" w:lineRule="auto"/>
        <w:tabs>
          <w:tab w:leader="none" w:pos="16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direct or indirect acquisition or beneficial ownership of additional securities of BellRing Brands, Inc. entitled to vote generally in the election of directors or of the right to direct such vote by a person that already beneficially owns Voting Control; or</w:t>
      </w:r>
    </w:p>
    <w:p>
      <w:pPr>
        <w:spacing w:after="0" w:line="30" w:lineRule="exact"/>
        <w:rPr>
          <w:rFonts w:ascii="Arial" w:cs="Arial" w:eastAsia="Arial" w:hAnsi="Arial"/>
          <w:sz w:val="16"/>
          <w:szCs w:val="16"/>
          <w:color w:val="auto"/>
        </w:rPr>
      </w:pPr>
    </w:p>
    <w:p>
      <w:pPr>
        <w:ind w:left="1620" w:hanging="425"/>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(an “LTIP Business Combination”), unless:</w:t>
      </w:r>
    </w:p>
    <w:p>
      <w:pPr>
        <w:spacing w:after="0" w:line="130" w:lineRule="exact"/>
        <w:rPr>
          <w:rFonts w:ascii="Arial" w:cs="Arial" w:eastAsia="Arial" w:hAnsi="Arial"/>
          <w:sz w:val="18"/>
          <w:szCs w:val="18"/>
          <w:color w:val="auto"/>
        </w:rPr>
      </w:pPr>
    </w:p>
    <w:p>
      <w:pPr>
        <w:ind w:left="1620" w:right="100" w:hanging="425"/>
        <w:spacing w:after="0" w:line="263"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or substantially all of the beneficial owners of Voting Control immediately prior to such LTIP Business Combination continue to beneficially own the right to direct the vote with respect to more than 50% of the combined voting power of the then outstanding securities of the entity resulting from the LTIP Business Combination;</w:t>
      </w:r>
    </w:p>
    <w:p>
      <w:pPr>
        <w:spacing w:after="0" w:line="88" w:lineRule="exact"/>
        <w:rPr>
          <w:rFonts w:ascii="Arial" w:cs="Arial" w:eastAsia="Arial" w:hAnsi="Arial"/>
          <w:sz w:val="18"/>
          <w:szCs w:val="18"/>
          <w:color w:val="auto"/>
        </w:rPr>
      </w:pPr>
    </w:p>
    <w:p>
      <w:pPr>
        <w:ind w:left="1620" w:right="160" w:hanging="425"/>
        <w:spacing w:after="0" w:line="277"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after the LTIP Business Combination, no person beneficially owns the right to direct the vote with respect to more than 50% of the combined voting power of the then outstanding securities of the</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40" w:right="520"/>
        <w:spacing w:after="0" w:line="277" w:lineRule="auto"/>
        <w:rPr>
          <w:sz w:val="20"/>
          <w:szCs w:val="20"/>
          <w:color w:val="auto"/>
        </w:rPr>
      </w:pPr>
      <w:r>
        <w:rPr>
          <w:rFonts w:ascii="Arial" w:cs="Arial" w:eastAsia="Arial" w:hAnsi="Arial"/>
          <w:sz w:val="18"/>
          <w:szCs w:val="18"/>
          <w:color w:val="auto"/>
        </w:rPr>
        <w:t>entity resulting from the LTIP Business Combination, unless such person beneficially owned Voting Control prior to the LTIP Business Combination; and</w:t>
      </w:r>
    </w:p>
    <w:p>
      <w:pPr>
        <w:spacing w:after="0" w:line="75" w:lineRule="exact"/>
        <w:rPr>
          <w:sz w:val="20"/>
          <w:szCs w:val="20"/>
          <w:color w:val="auto"/>
        </w:rPr>
      </w:pPr>
    </w:p>
    <w:p>
      <w:pPr>
        <w:ind w:left="1620" w:right="40" w:hanging="425"/>
        <w:spacing w:after="0" w:line="263"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resulting from the LTIP Business Combination were incumbent members of the board of directors at the time of the initial agreement or action of the Board of Directors approving such LTIP Business Combination;</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sale or other disposition of all or substantially all of the assets of the Company; or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stockholders of the Company approve a plan to liquidate or dissolve the Company.</w:t>
      </w:r>
    </w:p>
    <w:p>
      <w:pPr>
        <w:spacing w:after="0" w:line="225"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Notwithstanding the foregoing, a change in control will not have occurred with respect to any award that is subject to Section 409A of the Code to the extent necessary to avoid adverse tax consequences thereunder, unless the transaction constitutes a “change in control event” under Section 409A of the Code.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 Limits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adoption, the 2019 LTIP will be the Company’s only equity compensation plan with shares available for future award grants. There will be</w:t>
      </w:r>
    </w:p>
    <w:p>
      <w:pPr>
        <w:spacing w:after="0" w:line="46" w:lineRule="exact"/>
        <w:rPr>
          <w:sz w:val="20"/>
          <w:szCs w:val="20"/>
          <w:color w:val="auto"/>
        </w:rPr>
      </w:pPr>
    </w:p>
    <w:p>
      <w:pPr>
        <w:ind w:left="220" w:right="80" w:firstLine="584"/>
        <w:spacing w:after="0" w:line="267" w:lineRule="auto"/>
        <w:rPr>
          <w:sz w:val="20"/>
          <w:szCs w:val="20"/>
          <w:color w:val="auto"/>
        </w:rPr>
      </w:pPr>
      <w:r>
        <w:rPr>
          <w:rFonts w:ascii="Arial" w:cs="Arial" w:eastAsia="Arial" w:hAnsi="Arial"/>
          <w:sz w:val="17"/>
          <w:szCs w:val="17"/>
          <w:color w:val="auto"/>
        </w:rPr>
        <w:t>shares of our Class A common stock available for use under the 2019 LTIP. No more than shares of Class A common stock may be granted as incentive stock options. Shares of Class A common stock issued under the 2019 LTIP may be authorized and unissued shares or treasury shares. The following shares of Class A common stock may not again be made available for issuance as awards: shares not issued as a result of the net settlement of an outstanding SAR or stock option; shares used to pay the exercise price or withholding taxes related to an outstanding award; or shares repurchased on the open market with the proceeds of a stock option exercise price. The following will not be applied to the share limitations above: any shares subject to an award under the 2019 LTIP to the extent the shares are not used because the award is forfeited, canceled, terminated, expired or lapsed for any reason; and shares and any awards that are granted through the settlement, assumption or substitution of outstanding awards previously granted, or through obligations to grant future awards, as a result of a merger, spin-off, consolidation or acquisition of the employing company with or by us. If an award is settled in cash, the number of shares of Class A common stock on which the award is based will not count toward the above share limits.</w:t>
      </w:r>
    </w:p>
    <w:p>
      <w:pPr>
        <w:spacing w:after="0" w:line="185" w:lineRule="exact"/>
        <w:rPr>
          <w:sz w:val="20"/>
          <w:szCs w:val="20"/>
          <w:color w:val="auto"/>
        </w:rPr>
      </w:pPr>
    </w:p>
    <w:p>
      <w:pPr>
        <w:ind w:left="220" w:right="60" w:firstLine="440"/>
        <w:spacing w:after="0" w:line="254" w:lineRule="auto"/>
        <w:rPr>
          <w:sz w:val="20"/>
          <w:szCs w:val="20"/>
          <w:color w:val="auto"/>
        </w:rPr>
      </w:pPr>
      <w:r>
        <w:rPr>
          <w:rFonts w:ascii="Arial" w:cs="Arial" w:eastAsia="Arial" w:hAnsi="Arial"/>
          <w:sz w:val="18"/>
          <w:szCs w:val="18"/>
          <w:color w:val="auto"/>
        </w:rPr>
        <w:t>No participant will be granted (i) options to purchase shares of Class A common stock and SARs with respect to more than shares in the aggregate, (ii) any other awards with respect to more than shares of Class A common stock in the aggregate (or, in the event such award denominated or expressed in terms of number of shares of Class A common stock is paid in cash, the equivalent cash value) or (iii) any cash bonus award not denominated or expressed in terms of number of shares of Class A common stock with a value that exceeds $10,000,000 in the aggregate, in each case, in any twelve-month period under the 2019 LTIP. In addition, for any one non-employee director, the aggregate grant date fair value of awards granted during any calendar year, together with any cash retainers payable to the director and any Company matching contributions credited to the director’s nonqualified deferred compensation account for that calendar year, cannot exceed $500,000 (or $700,000 for a non-employee chairperson of the Board of Directors).</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Modification and Termination</w:t>
      </w:r>
    </w:p>
    <w:p>
      <w:pPr>
        <w:spacing w:after="0" w:line="117"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Subject to the terms of the 2019 LTIP, we anticipate that our Board of Directors may at any time amend, modify or suspend the 2019 LTIP, and the Committee may at any time alter or amend any or all awards under the 2019 LTIP to the extent permitted by law. Any alterations or amendments may be made unilaterally by the Committee, subject to the provisions of the 2019 LTIP, unless such amendments are deemed by the Committee to be materially adverse to the participants and are not required as a matter of law. Amendments will be subject to approval of the stockholders of the Company only as required by law, or if the amendment increases the total number of shares of Class A common stock available under the 2019 LTIP, except as adjusted for specified changes in capitalization. The 2019 LTIP shall remain in effect for a term of ten years following the date on</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80"/>
        <w:spacing w:after="0" w:line="307" w:lineRule="auto"/>
        <w:rPr>
          <w:sz w:val="20"/>
          <w:szCs w:val="20"/>
          <w:color w:val="auto"/>
        </w:rPr>
      </w:pPr>
      <w:r>
        <w:rPr>
          <w:rFonts w:ascii="Arial" w:cs="Arial" w:eastAsia="Arial" w:hAnsi="Arial"/>
          <w:sz w:val="17"/>
          <w:szCs w:val="17"/>
          <w:color w:val="auto"/>
        </w:rPr>
        <w:t>which it is effective or until all shares of Class A common stock subject to the 2019 LTIP shall have been purchased or acquired according to the 2019 LTIP provisions, whichever occurs first, unless the 2019 LTIP is sooner terminated pursuant to its complete terms.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Certain U.S. Federal Income Tax Consequences</w:t>
      </w:r>
    </w:p>
    <w:p>
      <w:pPr>
        <w:spacing w:after="0" w:line="117"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that we anticipate may be granted under the 2019 LTIP. This summary is based upon the provisions of the Code and regulations promulgated thereunder, as in effect on the date of this prospectus. Changes in the law may modify this discussion, and in some cases, the changes may be retroactive. Further, this summary is not intended to be a complete discussion of all of the federal income tax consequences associated with the 2019 LTIP. Accordingly, for precise advice as to any specific transaction or set of circumstances, participants should consult with their own tax and legal advisors. Participants also should consult with their own tax and legal advisors regarding the application of any state, local and foreign taxes and any federal gift, estate and inheritance taxes.</w:t>
      </w:r>
    </w:p>
    <w:p>
      <w:pPr>
        <w:spacing w:after="0" w:line="163" w:lineRule="exact"/>
        <w:rPr>
          <w:sz w:val="20"/>
          <w:szCs w:val="20"/>
          <w:color w:val="auto"/>
        </w:rPr>
      </w:pPr>
    </w:p>
    <w:p>
      <w:pPr>
        <w:jc w:val="both"/>
        <w:ind w:left="220" w:right="180" w:firstLine="440"/>
        <w:spacing w:after="0" w:line="263"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Some options may constitute “incentive stock options” within the meaning of Section 422 of the Code. If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an incentive stock option, the recipient will not be required to recognize income upon the grant of the incentive stock option, and the Company will not be allowed to take a deduction.</w:t>
      </w:r>
    </w:p>
    <w:p>
      <w:pPr>
        <w:spacing w:after="0" w:line="183" w:lineRule="exact"/>
        <w:rPr>
          <w:sz w:val="20"/>
          <w:szCs w:val="20"/>
          <w:color w:val="auto"/>
        </w:rPr>
      </w:pPr>
    </w:p>
    <w:p>
      <w:pPr>
        <w:ind w:left="220" w:right="40" w:firstLine="440"/>
        <w:spacing w:after="0" w:line="293" w:lineRule="auto"/>
        <w:rPr>
          <w:sz w:val="20"/>
          <w:szCs w:val="20"/>
          <w:color w:val="auto"/>
        </w:rPr>
      </w:pPr>
      <w:r>
        <w:rPr>
          <w:rFonts w:ascii="Arial" w:cs="Arial" w:eastAsia="Arial" w:hAnsi="Arial"/>
          <w:sz w:val="16"/>
          <w:szCs w:val="16"/>
          <w:color w:val="auto"/>
        </w:rPr>
        <w:t>Similarly, when the recipient exercises any incentive stock options, provided the recipient has not ceased to be an employee for more than three months before the date of exercise, the recipient will not be required to recognize income, and the Company will not be allowed to take a deduction. For purposes of the alternative minimum tax, however, the amount by which the aggregate fair market value of the Class A common stock acquired on exercise of an incentive stock option exceeds the exercise price of that option generally will be an adjustment included in the recipient’s alternative minimum taxable income for the year in which the incentive stock option is exercised. The Code imposes an alternative minimum tax on a taxpayer whose alternative minimum taxable income, as defined in Section 55(b)(2) of the Code, exceeds the taxpayer’s adjusted gross income.</w:t>
      </w:r>
    </w:p>
    <w:p>
      <w:pPr>
        <w:spacing w:after="0" w:line="163" w:lineRule="exact"/>
        <w:rPr>
          <w:sz w:val="20"/>
          <w:szCs w:val="20"/>
          <w:color w:val="auto"/>
        </w:rPr>
      </w:pPr>
    </w:p>
    <w:p>
      <w:pPr>
        <w:ind w:left="220" w:right="160" w:firstLine="440"/>
        <w:spacing w:after="0" w:line="275" w:lineRule="auto"/>
        <w:rPr>
          <w:sz w:val="20"/>
          <w:szCs w:val="20"/>
          <w:color w:val="auto"/>
        </w:rPr>
      </w:pPr>
      <w:r>
        <w:rPr>
          <w:rFonts w:ascii="Arial" w:cs="Arial" w:eastAsia="Arial" w:hAnsi="Arial"/>
          <w:sz w:val="17"/>
          <w:szCs w:val="17"/>
          <w:color w:val="auto"/>
        </w:rPr>
        <w:t>Additional tax consequences will depend upon how long recipients hold the shares of the Class A common stock received after exercising the incentive stock options. If a recipient holds the shares for more than two years from the date of grant and one year from the date of exercise of the option, upon disposition of the shares, the recipient will not recognize any ordinary income, and the Company will not be allowed to take a deduction. However, the difference between the amount the recipient realizes upon disposition of the shares and the basis (i.e., the amount the recipient paid upon exercise of the incentive stock option) in those shares will be taxed as a long-term capital gain or loss.</w:t>
      </w:r>
    </w:p>
    <w:p>
      <w:pPr>
        <w:spacing w:after="0" w:line="175"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If the recipient disposes of shares of Class A common stock acquired upon exercise of an incentive stock option which he or she has held for less than two years from the date of grant or one year from the date of exercise, the recipient generally will recognize ordinary income in the year of the disposition. To calculate the amount of ordinary income that must be recognized upon such a disposition, the recipient must make the following determinations and calculations:</w:t>
      </w:r>
    </w:p>
    <w:p>
      <w:pPr>
        <w:spacing w:after="0" w:line="91" w:lineRule="exact"/>
        <w:rPr>
          <w:sz w:val="20"/>
          <w:szCs w:val="20"/>
          <w:color w:val="auto"/>
        </w:rPr>
      </w:pPr>
    </w:p>
    <w:p>
      <w:pPr>
        <w:ind w:left="1180" w:right="160" w:hanging="538"/>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which is smaller: the amount realized on disposition of the shares or the fair market value of the shares on the date of exercise; and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next, subtract the basis in those shares from the smaller amount. This is the amount of ordinary income that the recipient must recognize.</w:t>
      </w:r>
    </w:p>
    <w:p>
      <w:pPr>
        <w:spacing w:after="0" w:line="248"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To the extent that the recipient recognizes ordinary income, the Company is allowed to take a deduction. In addition, the recipient must recognize as short-term or long-term capital gain, depending on whether the holding</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311" w:lineRule="auto"/>
        <w:rPr>
          <w:sz w:val="20"/>
          <w:szCs w:val="20"/>
          <w:color w:val="auto"/>
        </w:rPr>
      </w:pPr>
      <w:r>
        <w:rPr>
          <w:rFonts w:ascii="Arial" w:cs="Arial" w:eastAsia="Arial" w:hAnsi="Arial"/>
          <w:sz w:val="16"/>
          <w:szCs w:val="16"/>
          <w:color w:val="auto"/>
        </w:rPr>
        <w:t>period for the shares exceeds one year, any amount that the recipient realizes upon disposition of those shares which exceeds the fair market value of those shares on the date the recipient exercised the option. The recipient will recognize a short-term or long-term capital loss, depending on whether the holding period for the shares exceeds one year, to the extent the basis in the shares exceeds the amount realized upon disposition of those shares.</w:t>
      </w:r>
    </w:p>
    <w:p>
      <w:pPr>
        <w:spacing w:after="0" w:line="148" w:lineRule="exact"/>
        <w:rPr>
          <w:sz w:val="20"/>
          <w:szCs w:val="20"/>
          <w:color w:val="auto"/>
        </w:rPr>
      </w:pPr>
    </w:p>
    <w:p>
      <w:pPr>
        <w:ind w:left="220" w:right="160" w:firstLine="440"/>
        <w:spacing w:after="0" w:line="307" w:lineRule="auto"/>
        <w:rPr>
          <w:sz w:val="20"/>
          <w:szCs w:val="20"/>
          <w:color w:val="auto"/>
        </w:rPr>
      </w:pPr>
      <w:r>
        <w:rPr>
          <w:rFonts w:ascii="Arial" w:cs="Arial" w:eastAsia="Arial" w:hAnsi="Arial"/>
          <w:sz w:val="17"/>
          <w:szCs w:val="17"/>
          <w:color w:val="auto"/>
        </w:rPr>
        <w:t>As noted above, the excess of the fair market value of the shares of Class A common stock at the time the recipient exercises his or her incentive stock option over the exercise price for the shares is a tax adjustment item for the purposes of the alternative minimum tax.</w:t>
      </w:r>
    </w:p>
    <w:p>
      <w:pPr>
        <w:spacing w:after="0" w:line="147" w:lineRule="exact"/>
        <w:rPr>
          <w:sz w:val="20"/>
          <w:szCs w:val="20"/>
          <w:color w:val="auto"/>
        </w:rPr>
      </w:pPr>
    </w:p>
    <w:p>
      <w:pPr>
        <w:ind w:left="220" w:right="40" w:firstLine="440"/>
        <w:spacing w:after="0" w:line="273"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If the recipient receives a non-qualified stock option, the recipient will not recognize income at the time of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stock option; however, the recipient will recognize ordinary income upon the exercise of the non-qualified stock option. The amount of ordinary income recognized equals the difference between (a) the fair market value of the Class A common stock on the date of exercise and (b) the exercise price. The Company will be entitled to a deduction in the same amount. The ordinary income the recipient recognizes will be subject to applicable tax withholding by the Company. When the recipient sells these shares, any difference between the sales price and the basis (i.e., the exercise price plus the ordinary income recognized by the recipient) will be treated as a capital gain or loss.</w:t>
      </w:r>
    </w:p>
    <w:p>
      <w:pPr>
        <w:spacing w:after="0" w:line="177" w:lineRule="exact"/>
        <w:rPr>
          <w:sz w:val="20"/>
          <w:szCs w:val="20"/>
          <w:color w:val="auto"/>
        </w:rPr>
      </w:pPr>
    </w:p>
    <w:p>
      <w:pPr>
        <w:ind w:left="220" w:right="40" w:firstLine="440"/>
        <w:spacing w:after="0" w:line="29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Unless a timely Section 83(b) election is made as described in the following paragraph, a recipient generally will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upon the grant of restricted stock because the restricted stock generally will be nontransferable and subject to a substantial risk of forfeiture. A recipient will recognize ordinary income when the restrictions that impose a substantial risk of forfeiture of the shares of Class A common stock or the transfer restrictions lapse. The amount recognized will be equal to the difference between the fair market value of the shares at this time and the original purchase price paid for the shares, if any. The ordinary income recognized by a recipient with respect to restricted stock awarded under the 2019 LTIP will be subject to applicable tax withholding by the Company. If a timely Section 83(b) election has not been made, any dividends received with respect to Class A common stock subject to such restrictions will be treated as additional compensation income and not as dividend income.</w:t>
      </w:r>
    </w:p>
    <w:p>
      <w:pPr>
        <w:spacing w:after="0" w:line="165"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A recipient may elect, pursuant to Section 83(b) of the Code, to recognize as ordinary income the fair market value of the restricted stock upon grant, notwithstanding that the restricted stock would otherwise not be includable in gross income at that time. If the election is made within 30 days of the date of grant, then the recipient would include in gross income an amount equal to the difference between the fair market value of the restricted stock on the date of grant and the purchase price paid for the restricted stock, if any. Any change in the value of the shares after the date of grant will be taxed as a capital gain or capital loss only if and when the shares are disposed of by the recipient. If the Section 83(b) election is made, the recipient’s capital gains holding period begins on the date of grant.</w:t>
      </w:r>
    </w:p>
    <w:p>
      <w:pPr>
        <w:spacing w:after="0" w:line="191"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The Section 83(b) election is irrevocable. If a Section 83(b) election is made and the recipient then forfeits the restricted stock, the recipient may not deduct as a loss the amount previously included in gross income.</w:t>
      </w:r>
    </w:p>
    <w:p>
      <w:pPr>
        <w:spacing w:after="0" w:line="170"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A recipient’s tax basis in shares of restricted stock received pursuant to the 2019 LTIP will be equal to the sum of the amount (if any) the recipient paid for the Class A common stock and the amount of ordinary income recognized by the recipient as a result of making a Section 83(b) election or upon the lapse of the restrictions. Unless a Section 83(b) election is made, the recipient’s holding period for the shares for purposes of determining gain or loss on a subsequent sale will begin on the date the restrictions lapse.</w:t>
      </w:r>
    </w:p>
    <w:p>
      <w:pPr>
        <w:spacing w:after="0" w:line="186"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In general, the Company will be entitled to a deduction at the same time and in an amount equal to the ordinary income recognized by a recipient with respect to shares of restricted stock awarded pursuant to the 2019 LTIP.</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If, subsequent to the lapse of the restrictions on the shares, the recipient sells the shares, the difference, if any, between the amount realized from the sale and the tax basis of the shares to the recipient will be taxed as a capital gain or capital loss.</w:t>
      </w:r>
    </w:p>
    <w:p>
      <w:pPr>
        <w:spacing w:after="0" w:line="170"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i w:val="1"/>
          <w:iCs w:val="1"/>
          <w:color w:val="auto"/>
        </w:rPr>
        <w:t>Stock Appreciation Rights / Performance Shares / Restricted Stock Units</w:t>
      </w:r>
      <w:r>
        <w:rPr>
          <w:rFonts w:ascii="Arial" w:cs="Arial" w:eastAsia="Arial" w:hAnsi="Arial"/>
          <w:sz w:val="17"/>
          <w:szCs w:val="17"/>
          <w:color w:val="auto"/>
        </w:rPr>
        <w:t>. A recipient generally will not recognize taxable income upon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of SARs, performance shares or RSUs. Instead, a recipient will recognize as ordinary income, and the Company will have a corresponding deduction of, any cash delivered and the fair market value of any Class A common stock delivered in payment of an amount due under the SAR, performance share or RSU award. The ordinary income the recipient recognizes will be subject to applicable tax withholding by the Company.</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Upon selling any Class A common stock received by a recipient in payment of an amount due under a SAR, performance share or RSU award, the recipient generally will recognize a capital gain or loss in an amount equal to the difference between the sale price of the Class A common stock and the recipient’s tax basis in the Class A common stock (i.e., the ordinary income recognized by the recipient).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Stock-Based and Cash-Based Awards</w:t>
      </w:r>
      <w:r>
        <w:rPr>
          <w:rFonts w:ascii="Arial" w:cs="Arial" w:eastAsia="Arial" w:hAnsi="Arial"/>
          <w:sz w:val="16"/>
          <w:szCs w:val="16"/>
          <w:color w:val="auto"/>
        </w:rPr>
        <w:t>. The tax consequences associated with any other stock-based or cash-based award granted under the</w:t>
      </w:r>
    </w:p>
    <w:p>
      <w:pPr>
        <w:spacing w:after="0" w:line="46" w:lineRule="exact"/>
        <w:rPr>
          <w:sz w:val="20"/>
          <w:szCs w:val="20"/>
          <w:color w:val="auto"/>
        </w:rPr>
      </w:pPr>
    </w:p>
    <w:p>
      <w:pPr>
        <w:jc w:val="both"/>
        <w:ind w:left="220" w:right="20"/>
        <w:spacing w:after="0" w:line="255" w:lineRule="auto"/>
        <w:rPr>
          <w:sz w:val="20"/>
          <w:szCs w:val="20"/>
          <w:color w:val="auto"/>
        </w:rPr>
      </w:pPr>
      <w:r>
        <w:rPr>
          <w:rFonts w:ascii="Arial" w:cs="Arial" w:eastAsia="Arial" w:hAnsi="Arial"/>
          <w:sz w:val="18"/>
          <w:szCs w:val="18"/>
          <w:color w:val="auto"/>
        </w:rPr>
        <w:t>2019 LTIP will vary depending on the specific terms of the award, including whether the award has a readily ascertainable fair market value, whether or not the award is subject to forfeiture provisions or restrictions on transfer, the nature of the property to be received by the recipient under the award, any applicable holding period and the recipient’s tax basis.</w:t>
      </w:r>
    </w:p>
    <w:p>
      <w:pPr>
        <w:spacing w:after="0" w:line="189" w:lineRule="exact"/>
        <w:rPr>
          <w:sz w:val="20"/>
          <w:szCs w:val="20"/>
          <w:color w:val="auto"/>
        </w:rPr>
      </w:pPr>
    </w:p>
    <w:p>
      <w:pPr>
        <w:ind w:left="220" w:right="100" w:firstLine="440"/>
        <w:spacing w:after="0" w:line="311" w:lineRule="auto"/>
        <w:rPr>
          <w:sz w:val="20"/>
          <w:szCs w:val="20"/>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Pursuant to Section 409A of the Code, significant restrictions have been imposed on the ability to defer the taxation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without limitation, the deferral of income pursuant to some of the arrangements described herein (e.g., performance shares). Violation of Section 409A of the Code triggers immediate inclusion in income and application of income and additional taxes.</w:t>
      </w:r>
    </w:p>
    <w:p>
      <w:pPr>
        <w:spacing w:after="0" w:line="148" w:lineRule="exact"/>
        <w:rPr>
          <w:sz w:val="20"/>
          <w:szCs w:val="20"/>
          <w:color w:val="auto"/>
        </w:rPr>
      </w:pPr>
    </w:p>
    <w:p>
      <w:pPr>
        <w:ind w:left="220" w:right="40" w:firstLine="440"/>
        <w:spacing w:after="0" w:line="296" w:lineRule="auto"/>
        <w:rPr>
          <w:sz w:val="20"/>
          <w:szCs w:val="20"/>
          <w:color w:val="auto"/>
        </w:rPr>
      </w:pPr>
      <w:r>
        <w:rPr>
          <w:rFonts w:ascii="Arial" w:cs="Arial" w:eastAsia="Arial" w:hAnsi="Arial"/>
          <w:sz w:val="16"/>
          <w:szCs w:val="16"/>
          <w:i w:val="1"/>
          <w:iCs w:val="1"/>
          <w:color w:val="auto"/>
        </w:rPr>
        <w:t>Section 280G of the Code and Section 4999 of the Code</w:t>
      </w:r>
      <w:r>
        <w:rPr>
          <w:rFonts w:ascii="Arial" w:cs="Arial" w:eastAsia="Arial" w:hAnsi="Arial"/>
          <w:sz w:val="16"/>
          <w:szCs w:val="16"/>
          <w:color w:val="auto"/>
        </w:rPr>
        <w:t>. Under Section 280G of the Code and Section 4999 of the Code,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deducting any “excess parachute payment” to an individual, and the individual must pay a 20% excise tax on any “excess parachute payment.” An individual’s “parachute payments” which exceed his or her average annual compensation will generally be treated as “excess parachute payments” if the present value of such payments equals or exceeds three times the individual’s average annual compensation. A payment generally may be considered a “parachute payment” if it is contingent on a change in control of the Company, as defined in Sections 280G and 4999 of the Code.</w:t>
      </w:r>
    </w:p>
    <w:p>
      <w:pPr>
        <w:spacing w:after="0" w:line="160" w:lineRule="exact"/>
        <w:rPr>
          <w:sz w:val="20"/>
          <w:szCs w:val="20"/>
          <w:color w:val="auto"/>
        </w:rPr>
      </w:pPr>
    </w:p>
    <w:p>
      <w:pPr>
        <w:ind w:left="220" w:right="220" w:firstLine="440"/>
        <w:spacing w:after="0" w:line="277" w:lineRule="auto"/>
        <w:rPr>
          <w:sz w:val="20"/>
          <w:szCs w:val="20"/>
          <w:color w:val="auto"/>
        </w:rPr>
      </w:pPr>
      <w:r>
        <w:rPr>
          <w:rFonts w:ascii="Arial" w:cs="Arial" w:eastAsia="Arial" w:hAnsi="Arial"/>
          <w:sz w:val="18"/>
          <w:szCs w:val="18"/>
          <w:i w:val="1"/>
          <w:iCs w:val="1"/>
          <w:color w:val="auto"/>
        </w:rPr>
        <w:t>Non-U.S. Taxpayers</w:t>
      </w:r>
      <w:r>
        <w:rPr>
          <w:rFonts w:ascii="Arial" w:cs="Arial" w:eastAsia="Arial" w:hAnsi="Arial"/>
          <w:sz w:val="18"/>
          <w:szCs w:val="18"/>
          <w:color w:val="auto"/>
        </w:rPr>
        <w:t>. If the recipient is subject to the tax laws of any country other than the U.S., the recipient should consult his or her own tax</w:t>
      </w:r>
      <w:r>
        <w:rPr>
          <w:rFonts w:ascii="Arial" w:cs="Arial" w:eastAsia="Arial" w:hAnsi="Arial"/>
          <w:sz w:val="18"/>
          <w:szCs w:val="18"/>
          <w:i w:val="1"/>
          <w:iCs w:val="1"/>
          <w:color w:val="auto"/>
        </w:rPr>
        <w:t xml:space="preserve"> </w:t>
      </w:r>
      <w:r>
        <w:rPr>
          <w:rFonts w:ascii="Arial" w:cs="Arial" w:eastAsia="Arial" w:hAnsi="Arial"/>
          <w:sz w:val="18"/>
          <w:szCs w:val="18"/>
          <w:color w:val="auto"/>
        </w:rPr>
        <w:t>and legal advisors to determine the tax and legal consequences of any award received under the 2019 LTIP.</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following the completion of the formation transactions and this offering for:</w:t>
      </w:r>
    </w:p>
    <w:p>
      <w:pPr>
        <w:spacing w:after="0" w:line="75" w:lineRule="exact"/>
        <w:rPr>
          <w:sz w:val="20"/>
          <w:szCs w:val="20"/>
          <w:color w:val="auto"/>
        </w:rPr>
      </w:pPr>
    </w:p>
    <w:p>
      <w:pPr>
        <w:ind w:left="1180" w:hanging="538"/>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or redemption right). The number of shares of our Class A common stock outstanding and the percentage of beneficial ownership immediately following this offering are based on the number of BellRing Brands, LLC Units to be issued in connection with the formation transactions (based on the midpoint of the estimated initial public offering price range set forth on the cover page of this prospectus) and the assumed redemption by Post of all of its BellRing Brands, LLC Units for shares of our Class A common stock. Subject to the terms of the amended and restated limited liability company agreement, BellRing Brands, LLC Units may be redeemed for, at the option of BellRing Brands, LLC (as determined by its Board of Managers), shares of our Class A common stock, or for cash.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See “Certain Relationships and Related Party Transactions—Post-Offering Relationship with Post—Amended and Restated Limited Liability Company Agreement.”</w:t>
      </w:r>
    </w:p>
    <w:p>
      <w:pPr>
        <w:spacing w:after="0" w:line="171"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Beneficial Owner Name</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Principal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-89535</wp:posOffset>
            </wp:positionV>
            <wp:extent cx="6989445"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89445" cy="93980"/>
                    </a:xfrm>
                    <a:prstGeom prst="rect">
                      <a:avLst/>
                    </a:prstGeom>
                    <a:noFill/>
                  </pic:spPr>
                </pic:pic>
              </a:graphicData>
            </a:graphic>
          </wp:anchor>
        </w:drawing>
      </w:r>
    </w:p>
    <w:p>
      <w:pPr>
        <w:ind w:left="500"/>
        <w:spacing w:after="0" w:line="221" w:lineRule="auto"/>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p>
      <w:pPr>
        <w:ind w:left="220"/>
        <w:spacing w:after="0" w:line="221" w:lineRule="auto"/>
        <w:rPr>
          <w:sz w:val="20"/>
          <w:szCs w:val="20"/>
          <w:color w:val="auto"/>
        </w:rPr>
      </w:pPr>
      <w:r>
        <w:rPr>
          <w:rFonts w:ascii="Arial" w:cs="Arial" w:eastAsia="Arial" w:hAnsi="Arial"/>
          <w:sz w:val="14"/>
          <w:szCs w:val="14"/>
          <w:b w:val="1"/>
          <w:bCs w:val="1"/>
          <w:color w:val="auto"/>
        </w:rPr>
        <w:t>Named Executive Officers,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-88900</wp:posOffset>
            </wp:positionV>
            <wp:extent cx="6989445"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89445" cy="93980"/>
                    </a:xfrm>
                    <a:prstGeom prst="rect">
                      <a:avLst/>
                    </a:prstGeom>
                    <a:noFill/>
                  </pic:spPr>
                </pic:pic>
              </a:graphicData>
            </a:graphic>
          </wp:anchor>
        </w:drawing>
      </w:r>
    </w:p>
    <w:p>
      <w:pPr>
        <w:ind w:left="500"/>
        <w:spacing w:after="0" w:line="221" w:lineRule="auto"/>
        <w:rPr>
          <w:sz w:val="20"/>
          <w:szCs w:val="20"/>
          <w:color w:val="auto"/>
        </w:rPr>
      </w:pPr>
      <w:r>
        <w:rPr>
          <w:rFonts w:ascii="Arial" w:cs="Arial" w:eastAsia="Arial" w:hAnsi="Arial"/>
          <w:sz w:val="14"/>
          <w:szCs w:val="14"/>
          <w:color w:val="auto"/>
        </w:rPr>
        <w:t>Robert V. Vitale</w:t>
      </w:r>
    </w:p>
    <w:p>
      <w:pPr>
        <w:ind w:left="500"/>
        <w:spacing w:after="0" w:line="221" w:lineRule="auto"/>
        <w:rPr>
          <w:sz w:val="20"/>
          <w:szCs w:val="20"/>
          <w:color w:val="auto"/>
        </w:rPr>
      </w:pPr>
      <w:r>
        <w:rPr>
          <w:rFonts w:ascii="Arial" w:cs="Arial" w:eastAsia="Arial" w:hAnsi="Arial"/>
          <w:sz w:val="14"/>
          <w:szCs w:val="14"/>
          <w:color w:val="auto"/>
        </w:rPr>
        <w:t>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-88900</wp:posOffset>
            </wp:positionV>
            <wp:extent cx="6989445"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89445" cy="93980"/>
                    </a:xfrm>
                    <a:prstGeom prst="rect">
                      <a:avLst/>
                    </a:prstGeom>
                    <a:noFill/>
                  </pic:spPr>
                </pic:pic>
              </a:graphicData>
            </a:graphic>
          </wp:anchor>
        </w:drawing>
      </w:r>
    </w:p>
    <w:p>
      <w:pPr>
        <w:ind w:left="500"/>
        <w:spacing w:after="0" w:line="222" w:lineRule="auto"/>
        <w:rPr>
          <w:sz w:val="20"/>
          <w:szCs w:val="20"/>
          <w:color w:val="auto"/>
        </w:rPr>
      </w:pPr>
      <w:r>
        <w:rPr>
          <w:rFonts w:ascii="Arial" w:cs="Arial" w:eastAsia="Arial" w:hAnsi="Arial"/>
          <w:sz w:val="14"/>
          <w:szCs w:val="14"/>
          <w:color w:val="auto"/>
        </w:rPr>
        <w:t>Paul A. Rode</w:t>
      </w:r>
    </w:p>
    <w:p>
      <w:pPr>
        <w:ind w:left="500"/>
        <w:spacing w:after="0" w:line="221" w:lineRule="auto"/>
        <w:rPr>
          <w:sz w:val="20"/>
          <w:szCs w:val="20"/>
          <w:color w:val="auto"/>
        </w:rPr>
      </w:pPr>
      <w:r>
        <w:rPr>
          <w:rFonts w:ascii="Arial" w:cs="Arial" w:eastAsia="Arial" w:hAnsi="Arial"/>
          <w:sz w:val="14"/>
          <w:szCs w:val="14"/>
          <w:color w:val="auto"/>
        </w:rPr>
        <w:t>Douglas J. Cornille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-89535</wp:posOffset>
            </wp:positionV>
            <wp:extent cx="6989445" cy="93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89445" cy="93980"/>
                    </a:xfrm>
                    <a:prstGeom prst="rect">
                      <a:avLst/>
                    </a:prstGeom>
                    <a:noFill/>
                  </pic:spPr>
                </pic:pic>
              </a:graphicData>
            </a:graphic>
          </wp:anchor>
        </w:drawing>
      </w:r>
    </w:p>
    <w:p>
      <w:pPr>
        <w:ind w:left="500"/>
        <w:spacing w:after="0" w:line="221" w:lineRule="auto"/>
        <w:rPr>
          <w:sz w:val="20"/>
          <w:szCs w:val="20"/>
          <w:color w:val="auto"/>
        </w:rPr>
      </w:pPr>
      <w:r>
        <w:rPr>
          <w:rFonts w:ascii="Arial" w:cs="Arial" w:eastAsia="Arial" w:hAnsi="Arial"/>
          <w:sz w:val="14"/>
          <w:szCs w:val="14"/>
          <w:color w:val="auto"/>
        </w:rPr>
        <w:t>Thomas P. Erickson</w:t>
      </w:r>
    </w:p>
    <w:p>
      <w:pPr>
        <w:ind w:left="500"/>
        <w:spacing w:after="0" w:line="221" w:lineRule="auto"/>
        <w:rPr>
          <w:sz w:val="20"/>
          <w:szCs w:val="20"/>
          <w:color w:val="auto"/>
        </w:rPr>
      </w:pPr>
      <w:r>
        <w:rPr>
          <w:rFonts w:ascii="Arial" w:cs="Arial" w:eastAsia="Arial" w:hAnsi="Arial"/>
          <w:sz w:val="14"/>
          <w:szCs w:val="14"/>
          <w:color w:val="auto"/>
        </w:rPr>
        <w:t>Jennifer Kuperman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-88900</wp:posOffset>
            </wp:positionV>
            <wp:extent cx="6989445" cy="93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89445" cy="9398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Elliot H. Stein, Jr.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All directors, director nominees and executive officers as a group (ten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-86995</wp:posOffset>
            </wp:positionV>
            <wp:extent cx="6989445" cy="93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89445" cy="9398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127000</wp:posOffset>
            </wp:positionV>
            <wp:extent cx="770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7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9"/>
              </w:rPr>
              <w:t>Class A</w:t>
            </w:r>
          </w:p>
        </w:tc>
        <w:tc>
          <w:tcPr>
            <w:tcW w:w="680" w:type="dxa"/>
            <w:vAlign w:val="bottom"/>
          </w:tcPr>
          <w:p>
            <w:pPr>
              <w:spacing w:after="0"/>
              <w:rPr>
                <w:sz w:val="14"/>
                <w:szCs w:val="14"/>
                <w:color w:val="auto"/>
              </w:rPr>
            </w:pPr>
          </w:p>
        </w:tc>
        <w:tc>
          <w:tcPr>
            <w:tcW w:w="12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9"/>
              </w:rPr>
              <w:t>Class B</w:t>
            </w:r>
          </w:p>
        </w:tc>
      </w:tr>
      <w:tr>
        <w:trPr>
          <w:trHeight w:val="171"/>
        </w:trPr>
        <w:tc>
          <w:tcPr>
            <w:tcW w:w="24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1"/>
              </w:rPr>
              <w:t>Beneficially Owned</w:t>
            </w:r>
          </w:p>
        </w:tc>
        <w:tc>
          <w:tcPr>
            <w:tcW w:w="1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Beneficially Owned</w:t>
            </w:r>
          </w:p>
        </w:tc>
      </w:tr>
      <w:tr>
        <w:trPr>
          <w:trHeight w:val="119"/>
        </w:trPr>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58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120" w:type="dxa"/>
            <w:vAlign w:val="bottom"/>
          </w:tcPr>
          <w:p>
            <w:pPr>
              <w:spacing w:after="0"/>
              <w:rPr>
                <w:sz w:val="10"/>
                <w:szCs w:val="10"/>
                <w:color w:val="auto"/>
              </w:rPr>
            </w:pPr>
          </w:p>
        </w:tc>
      </w:tr>
      <w:tr>
        <w:trPr>
          <w:trHeight w:val="17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Class</w:t>
            </w:r>
            <w:r>
              <w:rPr>
                <w:rFonts w:ascii="Arial" w:cs="Arial" w:eastAsia="Arial" w:hAnsi="Arial"/>
                <w:sz w:val="12"/>
                <w:szCs w:val="12"/>
                <w:b w:val="1"/>
                <w:bCs w:val="1"/>
                <w:color w:val="auto"/>
                <w:w w:val="89"/>
              </w:rPr>
              <w:t>(1)</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Class</w:t>
            </w:r>
          </w:p>
        </w:tc>
        <w:tc>
          <w:tcPr>
            <w:tcW w:w="120" w:type="dxa"/>
            <w:vAlign w:val="bottom"/>
          </w:tcPr>
          <w:p>
            <w:pPr>
              <w:spacing w:after="0"/>
              <w:rPr>
                <w:sz w:val="14"/>
                <w:szCs w:val="14"/>
                <w:color w:val="auto"/>
              </w:rPr>
            </w:pPr>
          </w:p>
        </w:tc>
      </w:tr>
      <w:tr>
        <w:trPr>
          <w:trHeight w:val="292"/>
        </w:trPr>
        <w:tc>
          <w:tcPr>
            <w:tcW w:w="680" w:type="dxa"/>
            <w:vAlign w:val="bottom"/>
          </w:tcPr>
          <w:p>
            <w:pPr>
              <w:spacing w:after="0"/>
              <w:rPr>
                <w:sz w:val="24"/>
                <w:szCs w:val="24"/>
                <w:color w:val="auto"/>
              </w:rPr>
            </w:pPr>
          </w:p>
        </w:tc>
        <w:tc>
          <w:tcPr>
            <w:tcW w:w="1720" w:type="dxa"/>
            <w:vAlign w:val="bottom"/>
            <w:gridSpan w:val="3"/>
          </w:tcPr>
          <w:p>
            <w:pPr>
              <w:jc w:val="right"/>
              <w:ind w:right="440"/>
              <w:spacing w:after="0"/>
              <w:rPr>
                <w:sz w:val="20"/>
                <w:szCs w:val="20"/>
                <w:color w:val="auto"/>
              </w:rPr>
            </w:pPr>
            <w:r>
              <w:rPr>
                <w:rFonts w:ascii="Arial" w:cs="Arial" w:eastAsia="Arial" w:hAnsi="Arial"/>
                <w:sz w:val="12"/>
                <w:szCs w:val="12"/>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744220</wp:posOffset>
            </wp:positionV>
            <wp:extent cx="26727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7271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855345</wp:posOffset>
            </wp:positionV>
            <wp:extent cx="26727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72715" cy="25400"/>
                    </a:xfrm>
                    <a:prstGeom prst="rect">
                      <a:avLst/>
                    </a:prstGeom>
                    <a:noFill/>
                  </pic:spPr>
                </pic:pic>
              </a:graphicData>
            </a:graphic>
          </wp:anchor>
        </w:drawing>
      </w:r>
    </w:p>
    <w:p>
      <w:pPr>
        <w:spacing w:after="0" w:line="1536" w:lineRule="exact"/>
        <w:rPr>
          <w:sz w:val="20"/>
          <w:szCs w:val="20"/>
          <w:color w:val="auto"/>
        </w:rPr>
      </w:pPr>
    </w:p>
    <w:p>
      <w:pPr>
        <w:sectPr>
          <w:pgSz w:w="11900" w:h="16838" w:orient="portrait"/>
          <w:cols w:equalWidth="0" w:num="2">
            <w:col w:w="6120" w:space="720"/>
            <w:col w:w="4360"/>
          </w:cols>
          <w:pgMar w:left="240" w:top="459" w:right="459" w:bottom="1440" w:gutter="0" w:footer="0" w:header="0"/>
          <w:type w:val="continuous"/>
        </w:sectPr>
      </w:pPr>
    </w:p>
    <w:p>
      <w:pPr>
        <w:spacing w:after="0" w:line="34" w:lineRule="exact"/>
        <w:rPr>
          <w:sz w:val="20"/>
          <w:szCs w:val="20"/>
          <w:color w:val="auto"/>
        </w:rPr>
      </w:pPr>
    </w:p>
    <w:p>
      <w:pPr>
        <w:ind w:left="640" w:hanging="430"/>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one percent.</w:t>
      </w:r>
    </w:p>
    <w:p>
      <w:pPr>
        <w:ind w:left="640" w:hanging="430"/>
        <w:spacing w:after="0" w:line="221" w:lineRule="auto"/>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640" w:hanging="430"/>
        <w:spacing w:after="0" w:line="221" w:lineRule="auto"/>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ind w:left="640" w:hanging="430"/>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the shares of Class A common stock that may be acquired upon the redemption of BellRing Brands, LLC Units held by Post.</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220" w:right="60" w:firstLine="440"/>
        <w:spacing w:after="0" w:line="287" w:lineRule="auto"/>
        <w:rPr>
          <w:sz w:val="20"/>
          <w:szCs w:val="20"/>
          <w:color w:val="auto"/>
        </w:rPr>
      </w:pPr>
      <w:r>
        <w:rPr>
          <w:rFonts w:ascii="Arial" w:cs="Arial" w:eastAsia="Arial" w:hAnsi="Arial"/>
          <w:sz w:val="16"/>
          <w:szCs w:val="16"/>
          <w:color w:val="auto"/>
        </w:rPr>
        <w:t>Prior to the completion of this offering, Post will borrow $ million under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w:t>
      </w:r>
    </w:p>
    <w:tbl>
      <w:tblPr>
        <w:tblLayout w:type="fixed"/>
        <w:tblInd w:w="220" w:type="dxa"/>
        <w:tblCellMar>
          <w:top w:w="0" w:type="dxa"/>
          <w:left w:w="0" w:type="dxa"/>
          <w:bottom w:w="0" w:type="dxa"/>
          <w:right w:w="0" w:type="dxa"/>
        </w:tblCellMar>
      </w:tblPr>
      <w:tr>
        <w:trPr>
          <w:trHeight w:val="203"/>
        </w:trPr>
        <w:tc>
          <w:tcPr>
            <w:tcW w:w="5860" w:type="dxa"/>
            <w:vAlign w:val="bottom"/>
            <w:gridSpan w:val="2"/>
          </w:tcPr>
          <w:p>
            <w:pPr>
              <w:spacing w:after="0" w:line="203" w:lineRule="exact"/>
              <w:rPr>
                <w:sz w:val="20"/>
                <w:szCs w:val="20"/>
                <w:color w:val="auto"/>
              </w:rPr>
            </w:pPr>
            <w:r>
              <w:rPr>
                <w:rFonts w:ascii="Arial" w:cs="Arial" w:eastAsia="Arial" w:hAnsi="Arial"/>
                <w:sz w:val="18"/>
                <w:szCs w:val="18"/>
                <w:color w:val="auto"/>
              </w:rPr>
              <w:t>rate per annum equal to (i) with respect to the period commencing on</w:t>
            </w:r>
          </w:p>
        </w:tc>
        <w:tc>
          <w:tcPr>
            <w:tcW w:w="2040" w:type="dxa"/>
            <w:vAlign w:val="bottom"/>
          </w:tcPr>
          <w:p>
            <w:pPr>
              <w:ind w:left="60"/>
              <w:spacing w:after="0" w:line="203" w:lineRule="exact"/>
              <w:rPr>
                <w:sz w:val="20"/>
                <w:szCs w:val="20"/>
                <w:color w:val="auto"/>
              </w:rPr>
            </w:pPr>
            <w:r>
              <w:rPr>
                <w:rFonts w:ascii="Arial" w:cs="Arial" w:eastAsia="Arial" w:hAnsi="Arial"/>
                <w:sz w:val="18"/>
                <w:szCs w:val="18"/>
                <w:color w:val="auto"/>
              </w:rPr>
              <w:t>, and ending on</w:t>
            </w:r>
          </w:p>
        </w:tc>
        <w:tc>
          <w:tcPr>
            <w:tcW w:w="276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1"/>
              </w:rPr>
              <w:t>, the Eurodollar Rate (as such term is</w:t>
            </w:r>
          </w:p>
        </w:tc>
        <w:tc>
          <w:tcPr>
            <w:tcW w:w="200" w:type="dxa"/>
            <w:vAlign w:val="bottom"/>
          </w:tcPr>
          <w:p>
            <w:pPr>
              <w:spacing w:after="0"/>
              <w:rPr>
                <w:sz w:val="17"/>
                <w:szCs w:val="17"/>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w w:val="92"/>
              </w:rPr>
              <w:t>defined in the bridge facility agreement) plus 450 basis points, (ii) with respect to the period commencing on</w:t>
            </w:r>
          </w:p>
        </w:tc>
        <w:tc>
          <w:tcPr>
            <w:tcW w:w="860" w:type="dxa"/>
            <w:vAlign w:val="bottom"/>
          </w:tcPr>
          <w:p>
            <w:pPr>
              <w:spacing w:after="0"/>
              <w:rPr>
                <w:sz w:val="18"/>
                <w:szCs w:val="18"/>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color w:val="auto"/>
                <w:w w:val="88"/>
              </w:rPr>
              <w:t>, and ending 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w w:val="91"/>
              </w:rPr>
              <w:t>the Eurodollar Rate plus 500 basis points, (iii) with respect to the period between</w:t>
            </w:r>
          </w:p>
        </w:tc>
        <w:tc>
          <w:tcPr>
            <w:tcW w:w="2040" w:type="dxa"/>
            <w:vAlign w:val="bottom"/>
          </w:tcPr>
          <w:p>
            <w:pPr>
              <w:ind w:left="960"/>
              <w:spacing w:after="0"/>
              <w:rPr>
                <w:sz w:val="20"/>
                <w:szCs w:val="20"/>
                <w:color w:val="auto"/>
              </w:rPr>
            </w:pPr>
            <w:r>
              <w:rPr>
                <w:rFonts w:ascii="Arial" w:cs="Arial" w:eastAsia="Arial" w:hAnsi="Arial"/>
                <w:sz w:val="18"/>
                <w:szCs w:val="18"/>
                <w:color w:val="auto"/>
              </w:rPr>
              <w:t>and</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w w:val="94"/>
              </w:rPr>
              <w:t>, 12.00% and (iv) with respect to the</w:t>
            </w:r>
          </w:p>
        </w:tc>
        <w:tc>
          <w:tcPr>
            <w:tcW w:w="20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period on or after</w:t>
            </w:r>
          </w:p>
        </w:tc>
        <w:tc>
          <w:tcPr>
            <w:tcW w:w="7020" w:type="dxa"/>
            <w:vAlign w:val="bottom"/>
            <w:gridSpan w:val="3"/>
          </w:tcPr>
          <w:p>
            <w:pPr>
              <w:ind w:left="500"/>
              <w:spacing w:after="0"/>
              <w:rPr>
                <w:sz w:val="20"/>
                <w:szCs w:val="20"/>
                <w:color w:val="auto"/>
              </w:rPr>
            </w:pPr>
            <w:r>
              <w:rPr>
                <w:rFonts w:ascii="Arial" w:cs="Arial" w:eastAsia="Arial" w:hAnsi="Arial"/>
                <w:sz w:val="18"/>
                <w:szCs w:val="18"/>
                <w:color w:val="auto"/>
                <w:w w:val="89"/>
              </w:rPr>
              <w:t>through the maturity date, 12.25%. Payments of interest on the Post bridge loan are due on</w:t>
            </w:r>
          </w:p>
        </w:tc>
        <w:tc>
          <w:tcPr>
            <w:tcW w:w="19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ind w:left="1160"/>
        <w:spacing w:after="0"/>
        <w:rPr>
          <w:sz w:val="20"/>
          <w:szCs w:val="20"/>
          <w:color w:val="auto"/>
        </w:rPr>
      </w:pPr>
      <w:r>
        <w:rPr>
          <w:rFonts w:ascii="Arial" w:cs="Arial" w:eastAsia="Arial" w:hAnsi="Arial"/>
          <w:sz w:val="18"/>
          <w:szCs w:val="18"/>
          <w:color w:val="auto"/>
        </w:rPr>
        <w:t>and the last day of each quarter thereafter. The Post bridge loan will mature on August 23, 2024.</w:t>
      </w:r>
    </w:p>
    <w:p>
      <w:pPr>
        <w:spacing w:after="0" w:line="210" w:lineRule="exact"/>
        <w:rPr>
          <w:sz w:val="20"/>
          <w:szCs w:val="20"/>
          <w:color w:val="auto"/>
        </w:rPr>
      </w:pPr>
    </w:p>
    <w:p>
      <w:pPr>
        <w:ind w:left="220" w:right="120" w:firstLine="440"/>
        <w:spacing w:after="0" w:line="286"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w:t>
      </w:r>
    </w:p>
    <w:p>
      <w:pPr>
        <w:spacing w:after="0" w:line="1" w:lineRule="exact"/>
        <w:rPr>
          <w:sz w:val="20"/>
          <w:szCs w:val="20"/>
          <w:color w:val="auto"/>
        </w:rPr>
      </w:pPr>
    </w:p>
    <w:p>
      <w:pPr>
        <w:ind w:left="520" w:hanging="310"/>
        <w:spacing w:after="0"/>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BellRing Brands, LLC’s obligations under the Post bridge loan will become secured by a first priority security interest in substantially all of the</w:t>
      </w:r>
    </w:p>
    <w:p>
      <w:pPr>
        <w:spacing w:after="0" w:line="20" w:lineRule="exact"/>
        <w:rPr>
          <w:rFonts w:ascii="Arial" w:cs="Arial" w:eastAsia="Arial" w:hAnsi="Arial"/>
          <w:sz w:val="17"/>
          <w:szCs w:val="17"/>
          <w:color w:val="auto"/>
        </w:rPr>
      </w:pPr>
    </w:p>
    <w:p>
      <w:pPr>
        <w:ind w:left="220" w:right="60"/>
        <w:spacing w:after="0" w:line="255" w:lineRule="auto"/>
        <w:rPr>
          <w:rFonts w:ascii="Arial" w:cs="Arial" w:eastAsia="Arial" w:hAnsi="Arial"/>
          <w:sz w:val="17"/>
          <w:szCs w:val="17"/>
          <w:color w:val="auto"/>
        </w:rPr>
      </w:pPr>
      <w:r>
        <w:rPr>
          <w:rFonts w:ascii="Arial" w:cs="Arial" w:eastAsia="Arial" w:hAnsi="Arial"/>
          <w:sz w:val="18"/>
          <w:szCs w:val="18"/>
          <w:color w:val="auto"/>
        </w:rPr>
        <w:t>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220" w:right="20" w:firstLine="440"/>
        <w:spacing w:after="0" w:line="289"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 debt facilities consisting of a revolving credit facility with approximately $200 million borrowing capacity and an approximately $820.0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approximately $820.0 million under the term loan facility and approximately $15.0 million under the revolving credit facility and receive net proceeds of approximately $6.6 million, after deducting fees, expenses and repayment of the remaining portion of the Post bridge loan and related interest.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40" w:firstLine="440"/>
        <w:spacing w:after="0" w:line="286" w:lineRule="auto"/>
        <w:rPr>
          <w:sz w:val="20"/>
          <w:szCs w:val="20"/>
          <w:color w:val="auto"/>
        </w:rPr>
      </w:pPr>
      <w:r>
        <w:rPr>
          <w:rFonts w:ascii="Arial" w:cs="Arial" w:eastAsia="Arial" w:hAnsi="Arial"/>
          <w:sz w:val="17"/>
          <w:szCs w:val="17"/>
          <w:color w:val="auto"/>
        </w:rPr>
        <w:t>We expect that the revolving credit facility also will be available for working capital and for general corporate purposes (including acquisitions) and that a portion of the revolving credit facility will be available for letters of credit. The debt facilities also may include incremental revolving and term loan facilities at our request and at the discretion of the lenders, on terms to be agreed upon with such lenders.</w:t>
      </w:r>
    </w:p>
    <w:p>
      <w:pPr>
        <w:spacing w:after="0" w:line="165"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The maturity, amortization, prepayment requirements and interest rates under the debt facilities will be determined by agreement with the lenders. We expect the debt facilities to contain customary representations and warranties that are made at 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w:t>
      </w:r>
    </w:p>
    <w:p>
      <w:pPr>
        <w:spacing w:after="0" w:line="163"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24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each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In connection with the formation transactions and this offering, we intend to amend and restate our certificate of incorporation so that our authorized capital stock will consist of 500,000,000 shares of Class A common stock, par value $0.01 per share, one share of Class B common stock, par value $0.01 per share, and 50,000,000 shares of preferred stock, par value $0.01 per share.</w:t>
      </w:r>
    </w:p>
    <w:p>
      <w:pPr>
        <w:spacing w:after="0" w:line="183" w:lineRule="exact"/>
        <w:rPr>
          <w:sz w:val="20"/>
          <w:szCs w:val="20"/>
          <w:color w:val="auto"/>
        </w:rPr>
      </w:pPr>
    </w:p>
    <w:p>
      <w:pPr>
        <w:ind w:left="220" w:right="340" w:firstLine="440"/>
        <w:spacing w:after="0" w:line="263" w:lineRule="auto"/>
        <w:rPr>
          <w:sz w:val="20"/>
          <w:szCs w:val="20"/>
          <w:color w:val="auto"/>
        </w:rPr>
      </w:pPr>
      <w:r>
        <w:rPr>
          <w:rFonts w:ascii="Arial" w:cs="Arial" w:eastAsia="Arial" w:hAnsi="Arial"/>
          <w:sz w:val="18"/>
          <w:szCs w:val="18"/>
          <w:color w:val="auto"/>
        </w:rPr>
        <w:t>After consummation of this offering, we expect to have shares of our Class A common stock outstanding (or shares if the underwriters exercise their over-allotment option in full), one share of our Class B common stock outstanding and no shares of preferred stock outstanding. We have applied to list our Class A common stock on the NYSE under the symbol “BRBR”.</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20" w:right="20" w:firstLine="440"/>
        <w:spacing w:after="0" w:line="267" w:lineRule="auto"/>
        <w:rPr>
          <w:sz w:val="20"/>
          <w:szCs w:val="20"/>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Holders of our Class A common stock will be entitled to one vote for each share held on all matters submitted to stockholders for their vote or approval.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(ii) in the event that any BellRing Brands, LLC Units are held by persons other than us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188" w:lineRule="exact"/>
        <w:rPr>
          <w:sz w:val="20"/>
          <w:szCs w:val="20"/>
          <w:color w:val="auto"/>
        </w:rPr>
      </w:pPr>
    </w:p>
    <w:p>
      <w:pPr>
        <w:ind w:left="220" w:right="20" w:firstLine="440"/>
        <w:spacing w:after="0" w:line="286" w:lineRule="auto"/>
        <w:rPr>
          <w:sz w:val="20"/>
          <w:szCs w:val="20"/>
          <w:color w:val="auto"/>
        </w:rPr>
      </w:pPr>
      <w:r>
        <w:rPr>
          <w:rFonts w:ascii="Arial" w:cs="Arial" w:eastAsia="Arial" w:hAnsi="Arial"/>
          <w:sz w:val="17"/>
          <w:szCs w:val="17"/>
          <w:color w:val="auto"/>
        </w:rPr>
        <w:t>Following the formation transactions and this offering, Post will own the share of our Class B common stock and will therefore control 67% of the combined voting power of our outstanding common stock. In any event, Post will be able to control our business policies and affairs and any action requiring the general approval of our stockholders, including the adoption of amendments to our amended and restated certificate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incorporation and our amended and restated bylaws, the approval of mergers or sales of substantially all of our assets and the removal of members of our Board of Directors with or without cause. For so long as Post or its affiliates (other than us) directly own more than 50% of the BellRing Brands, LLC Units as described in this prospectus,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1"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holders of our Class A common stock will be entitled to receive dividends when, as and if declared by our Board of Directors out of legally available funds. The holder of our Class B common stock will not have any right to receive dividends.</w:t>
      </w:r>
    </w:p>
    <w:p>
      <w:pPr>
        <w:spacing w:after="0" w:line="170"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its par value, the holder of our Class B common stock will not have any right to receive a distribution upon a liquidation or dissolution of our Company.</w:t>
      </w:r>
    </w:p>
    <w:p>
      <w:pPr>
        <w:spacing w:after="0" w:line="186"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Subject to the terms of the amended and restated limited liability company agreement, BellRing Brands, LLC Units will be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191" w:lineRule="exact"/>
        <w:rPr>
          <w:sz w:val="20"/>
          <w:szCs w:val="20"/>
          <w:color w:val="auto"/>
        </w:rPr>
      </w:pPr>
    </w:p>
    <w:p>
      <w:pPr>
        <w:ind w:left="220" w:right="20" w:firstLine="440"/>
        <w:spacing w:after="0" w:line="275" w:lineRule="auto"/>
        <w:rPr>
          <w:sz w:val="20"/>
          <w:szCs w:val="20"/>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share of our Class B common stock will initially be owned by Post and may not be transferred except to an affiliate of Post (other than us); provided that Post may grant one or more proxies to, or enter into one or more voting agreements or other voting arrangements with, any persons other than us or Post’s affiliates to whom Post or any of its affiliates (other than us) transfers BellRing Brands, LLC Units pursuant to the amended and restated limited liability company agreement, and Post may transfer the share of our Class B common stock in connection with any distribution of its ownership interests in BellRing Brands, LLC by means of a spin-off or split-off to its shareholders.</w:t>
      </w:r>
    </w:p>
    <w:p>
      <w:pPr>
        <w:spacing w:after="0" w:line="175"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The outstanding share of our Class B common stock issued in connection with the formation transactions will be fully paid and non-assessable, and the shares of our Class A common stock offered by us in this offering, upon payment and delivery in accordance with the underwriting agreement, will be fully paid and non-assessable.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Following the formation transactions and this offering, we will be authorized to issue up to 50,000,000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65" w:lineRule="exact"/>
        <w:rPr>
          <w:sz w:val="20"/>
          <w:szCs w:val="20"/>
          <w:color w:val="auto"/>
        </w:rPr>
      </w:pPr>
    </w:p>
    <w:p>
      <w:pPr>
        <w:ind w:left="220" w:right="80" w:firstLine="440"/>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4"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83" w:lineRule="exact"/>
        <w:rPr>
          <w:sz w:val="20"/>
          <w:szCs w:val="20"/>
          <w:color w:val="auto"/>
        </w:rPr>
      </w:pPr>
    </w:p>
    <w:p>
      <w:pPr>
        <w:ind w:left="220" w:right="200" w:firstLine="440"/>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20" w:right="18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220" w:right="60" w:firstLine="440"/>
        <w:spacing w:after="0" w:line="290" w:lineRule="auto"/>
        <w:rPr>
          <w:sz w:val="20"/>
          <w:szCs w:val="20"/>
          <w:color w:val="auto"/>
        </w:rPr>
      </w:pPr>
      <w:r>
        <w:rPr>
          <w:rFonts w:ascii="Arial" w:cs="Arial" w:eastAsia="Arial" w:hAnsi="Arial"/>
          <w:sz w:val="16"/>
          <w:szCs w:val="16"/>
          <w:u w:val="single" w:color="auto"/>
          <w:color w:val="auto"/>
        </w:rPr>
        <w:t>Action by Written Consent; Special Meetings of Stockholders</w:t>
      </w:r>
      <w:r>
        <w:rPr>
          <w:rFonts w:ascii="Arial" w:cs="Arial" w:eastAsia="Arial" w:hAnsi="Arial"/>
          <w:sz w:val="16"/>
          <w:szCs w:val="16"/>
          <w:color w:val="auto"/>
        </w:rPr>
        <w:t>. Our amended and restated certificate of incorporation and our amended and restated bylaws will provide that, following the date on which Post and its various affiliates cease to own of record more than 50% of the BellRing Brands, LLC Units (the “triggering event”), stockholder action can be taken only at an annual or special meeting of stockholders and cannot be taken by written consent in lieu of a meeting. Prior to the triggering event, stockholder action may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Post and its successors (but only for so long as Post and its subsidiaries own of record, in the aggregate, more than 50% of the BellRing Brands, LLC Units) or the President. Except as described above, stockholders will not be permitted to call a special meeting or to require our Board of Directors to call a special meeting.</w:t>
      </w:r>
    </w:p>
    <w:p>
      <w:pPr>
        <w:spacing w:after="0" w:line="164" w:lineRule="exact"/>
        <w:rPr>
          <w:sz w:val="20"/>
          <w:szCs w:val="20"/>
          <w:color w:val="auto"/>
        </w:rPr>
      </w:pPr>
    </w:p>
    <w:p>
      <w:pPr>
        <w:ind w:left="220" w:right="260" w:firstLine="440"/>
        <w:spacing w:after="0" w:line="286" w:lineRule="auto"/>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except that, in the event that the date of the meeting is more than</w:t>
      </w:r>
    </w:p>
    <w:p>
      <w:pPr>
        <w:spacing w:after="0" w:line="1" w:lineRule="exact"/>
        <w:rPr>
          <w:sz w:val="20"/>
          <w:szCs w:val="20"/>
          <w:color w:val="auto"/>
        </w:rPr>
      </w:pPr>
    </w:p>
    <w:p>
      <w:pPr>
        <w:ind w:left="220"/>
        <w:spacing w:after="0" w:line="267" w:lineRule="auto"/>
        <w:rPr>
          <w:sz w:val="20"/>
          <w:szCs w:val="20"/>
          <w:color w:val="auto"/>
        </w:rPr>
      </w:pPr>
      <w:r>
        <w:rPr>
          <w:rFonts w:ascii="Arial" w:cs="Arial" w:eastAsia="Arial" w:hAnsi="Arial"/>
          <w:sz w:val="17"/>
          <w:szCs w:val="17"/>
          <w:color w:val="auto"/>
        </w:rPr>
        <w:t>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4" w:lineRule="exact"/>
        <w:rPr>
          <w:sz w:val="20"/>
          <w:szCs w:val="20"/>
          <w:color w:val="auto"/>
        </w:rPr>
      </w:pPr>
    </w:p>
    <w:p>
      <w:pPr>
        <w:ind w:left="220" w:right="160" w:firstLine="440"/>
        <w:spacing w:after="0" w:line="287" w:lineRule="auto"/>
        <w:rPr>
          <w:sz w:val="20"/>
          <w:szCs w:val="20"/>
          <w:color w:val="auto"/>
        </w:rPr>
      </w:pPr>
      <w:r>
        <w:rPr>
          <w:rFonts w:ascii="Arial" w:cs="Arial" w:eastAsia="Arial" w:hAnsi="Arial"/>
          <w:sz w:val="16"/>
          <w:szCs w:val="16"/>
          <w:u w:val="single" w:color="auto"/>
          <w:color w:val="auto"/>
        </w:rPr>
        <w:t>Directors, and Not Stockholders, Fix the Size of the Board of Directors</w:t>
      </w:r>
      <w:r>
        <w:rPr>
          <w:rFonts w:ascii="Arial" w:cs="Arial" w:eastAsia="Arial" w:hAnsi="Arial"/>
          <w:sz w:val="16"/>
          <w:szCs w:val="16"/>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Upon consummation of this offering,</w:t>
      </w:r>
    </w:p>
    <w:p>
      <w:pPr>
        <w:spacing w:after="0" w:line="2"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our Board of Directors will consist of</w:t>
      </w:r>
      <w:r>
        <w:rPr>
          <w:sz w:val="20"/>
          <w:szCs w:val="20"/>
          <w:color w:val="auto"/>
        </w:rPr>
        <w:tab/>
      </w:r>
      <w:r>
        <w:rPr>
          <w:rFonts w:ascii="Arial" w:cs="Arial" w:eastAsia="Arial" w:hAnsi="Arial"/>
          <w:sz w:val="15"/>
          <w:szCs w:val="15"/>
          <w:color w:val="auto"/>
        </w:rPr>
        <w:t>members.</w:t>
      </w:r>
    </w:p>
    <w:p>
      <w:pPr>
        <w:spacing w:after="0" w:line="210"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and the rights of Post under the 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 of directors) will be filled by (i) the affirmative vote of a majority of the remaining directors, even if less than a quorum, (ii) at a special meeting of the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color w:val="auto"/>
        </w:rPr>
        <w:t>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183"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u w:val="single" w:color="auto"/>
          <w:color w:val="auto"/>
        </w:rPr>
        <w:t>Classified Board of Directors</w:t>
      </w:r>
      <w:r>
        <w:rPr>
          <w:rFonts w:ascii="Arial" w:cs="Arial" w:eastAsia="Arial" w:hAnsi="Arial"/>
          <w:sz w:val="17"/>
          <w:szCs w:val="17"/>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With respect to the members of the Board in office immediately after consummation of this offering,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79" w:lineRule="exact"/>
        <w:rPr>
          <w:sz w:val="20"/>
          <w:szCs w:val="20"/>
          <w:color w:val="auto"/>
        </w:rPr>
      </w:pPr>
    </w:p>
    <w:p>
      <w:pPr>
        <w:ind w:left="220" w:right="160" w:firstLine="440"/>
        <w:spacing w:after="0" w:line="291" w:lineRule="auto"/>
        <w:rPr>
          <w:sz w:val="20"/>
          <w:szCs w:val="20"/>
          <w:color w:val="auto"/>
        </w:rPr>
      </w:pPr>
      <w:r>
        <w:rPr>
          <w:rFonts w:ascii="Arial" w:cs="Arial" w:eastAsia="Arial" w:hAnsi="Arial"/>
          <w:sz w:val="16"/>
          <w:szCs w:val="16"/>
          <w:u w:val="single" w:color="auto"/>
          <w:color w:val="auto"/>
        </w:rPr>
        <w:t>Authorized but Unissued Shares</w:t>
      </w:r>
      <w:r>
        <w:rPr>
          <w:rFonts w:ascii="Arial" w:cs="Arial" w:eastAsia="Arial" w:hAnsi="Arial"/>
          <w:sz w:val="16"/>
          <w:szCs w:val="16"/>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65"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u w:val="single" w:color="auto"/>
          <w:color w:val="auto"/>
        </w:rPr>
        <w:t>Business Combinations with Interested Stockholders</w:t>
      </w:r>
      <w:r>
        <w:rPr>
          <w:rFonts w:ascii="Arial" w:cs="Arial" w:eastAsia="Arial" w:hAnsi="Arial"/>
          <w:sz w:val="17"/>
          <w:szCs w:val="17"/>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certain transferees designated by Post (including any such person who is granted a proxy by, or enters into a voting agreement with, Post pursuant to the amended and restated limited liability company agreement) will not be deemed to be “interested stockholders,” regardless of the percentage of our voting stock owned by them, and accordingly will not be subject to such restrictions.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220" w:right="260" w:firstLine="440"/>
        <w:spacing w:after="0" w:line="279" w:lineRule="auto"/>
        <w:rPr>
          <w:sz w:val="20"/>
          <w:szCs w:val="20"/>
          <w:color w:val="auto"/>
        </w:rPr>
      </w:pPr>
      <w:r>
        <w:rPr>
          <w:rFonts w:ascii="Arial" w:cs="Arial" w:eastAsia="Arial" w:hAnsi="Arial"/>
          <w:sz w:val="17"/>
          <w:szCs w:val="17"/>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 certificate of incorporation may be amended in accordance with and upon the vote prescribed by Delaware law, except that:</w:t>
      </w:r>
    </w:p>
    <w:p>
      <w:pPr>
        <w:spacing w:after="0" w:line="76" w:lineRule="exact"/>
        <w:rPr>
          <w:sz w:val="20"/>
          <w:szCs w:val="20"/>
          <w:color w:val="auto"/>
        </w:rPr>
      </w:pPr>
    </w:p>
    <w:p>
      <w:pPr>
        <w:ind w:left="1180" w:right="120" w:hanging="538"/>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holders of our Class A common stock and our Class B common stock will each be entitled to vote separately upon any amendment to our amended and restated certificate of incorporation (including by</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0" w:right="100"/>
        <w:spacing w:after="0" w:line="277" w:lineRule="auto"/>
        <w:rPr>
          <w:sz w:val="20"/>
          <w:szCs w:val="20"/>
          <w:color w:val="auto"/>
        </w:rPr>
      </w:pPr>
      <w:r>
        <w:rPr>
          <w:rFonts w:ascii="Arial" w:cs="Arial" w:eastAsia="Arial" w:hAnsi="Arial"/>
          <w:sz w:val="18"/>
          <w:szCs w:val="18"/>
          <w:color w:val="auto"/>
        </w:rPr>
        <w:t>merger, consolidation, reorganization or similar event) that would alter or change the powers, preferences or special rights of the shares of such class of common stock in a manner that affects them adversely.</w:t>
      </w:r>
    </w:p>
    <w:p>
      <w:pPr>
        <w:spacing w:after="0" w:line="75" w:lineRule="exact"/>
        <w:rPr>
          <w:sz w:val="20"/>
          <w:szCs w:val="20"/>
          <w:color w:val="auto"/>
        </w:rPr>
      </w:pPr>
    </w:p>
    <w:p>
      <w:pPr>
        <w:ind w:left="1180" w:right="780" w:hanging="538"/>
        <w:spacing w:after="0" w:line="311"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Section 11 of our amended and restated certificate of incorporation (relating to indemnification) may be amended (or a provision inconsistent with Section 11 adopted) only upon the affirmative vote of not less than 85% of all of the voting power of all of the outstanding shares of our common stock then entitled to vote in the election of directors, voting together as a single class.</w:t>
      </w:r>
    </w:p>
    <w:p>
      <w:pPr>
        <w:spacing w:after="0" w:line="148"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a majority of all of the members of our Board of Directors may amend, alter, change or repeal any provision of our amended and restated bylaws, except that our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 restated bylaws upon the affirmative vote of a majority of all of the voting power of the Company entitled to vote thereon, except that the stockholders will not have the power to amend, alter, change or repeal any provision of the bylaws relating to their amendment in any manner that alters our Board of Directors’ power to amend, alter, change or repeal the bylaws.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220" w:right="160" w:firstLine="440"/>
        <w:spacing w:after="0" w:line="341"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30" w:lineRule="exact"/>
        <w:rPr>
          <w:sz w:val="20"/>
          <w:szCs w:val="20"/>
          <w:color w:val="auto"/>
        </w:rPr>
      </w:pPr>
    </w:p>
    <w:p>
      <w:pPr>
        <w:ind w:left="1180" w:hanging="538"/>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220" w:right="40" w:firstLine="440"/>
        <w:spacing w:after="0" w:line="269"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listed on the NYSE under the symbol “BRBR”.</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completion of this offering, the transfer agent and registrar for our Class A common stock will be Computershare Trust Company, N.A.</w:t>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240" w:top="459" w:right="5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60" w:lineRule="exact"/>
        <w:rPr>
          <w:sz w:val="20"/>
          <w:szCs w:val="20"/>
          <w:color w:val="auto"/>
        </w:rPr>
      </w:pPr>
    </w:p>
    <w:p>
      <w:pPr>
        <w:ind w:left="220" w:right="440" w:firstLine="440"/>
        <w:spacing w:after="0" w:line="311" w:lineRule="auto"/>
        <w:rPr>
          <w:sz w:val="20"/>
          <w:szCs w:val="20"/>
          <w:color w:val="auto"/>
        </w:rPr>
      </w:pPr>
      <w:r>
        <w:rPr>
          <w:rFonts w:ascii="Arial" w:cs="Arial" w:eastAsia="Arial" w:hAnsi="Arial"/>
          <w:sz w:val="16"/>
          <w:szCs w:val="16"/>
          <w:color w:val="auto"/>
        </w:rPr>
        <w:t>All of the shares of Class A common stock (or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w:t>
      </w:r>
    </w:p>
    <w:p>
      <w:pPr>
        <w:spacing w:after="0" w:line="35" w:lineRule="exact"/>
        <w:rPr>
          <w:sz w:val="20"/>
          <w:szCs w:val="20"/>
          <w:color w:val="auto"/>
        </w:rPr>
      </w:pPr>
    </w:p>
    <w:p>
      <w:pPr>
        <w:ind w:left="220" w:right="80"/>
        <w:spacing w:after="0" w:line="281" w:lineRule="auto"/>
        <w:rPr>
          <w:sz w:val="20"/>
          <w:szCs w:val="20"/>
          <w:color w:val="auto"/>
        </w:rPr>
      </w:pPr>
      <w:r>
        <w:rPr>
          <w:rFonts w:ascii="Arial" w:cs="Arial" w:eastAsia="Arial" w:hAnsi="Arial"/>
          <w:sz w:val="16"/>
          <w:szCs w:val="16"/>
          <w:color w:val="auto"/>
        </w:rPr>
        <w:t>BellRing Brands, Inc. and Post. Post will hold BellRing Brands, LLC Units equal to % of the economic interest in BellRing Brands, LLC (or %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Pursuant to the terms of the amended and restated limited liability company agreement, the holders of BellRing Brands, LLC Units (other than us) may from time to time redeem their BellRing Brands, LLC Units for, at the option of BellRing Brands, LLC (as determined by its Board of Managers), (i) shares of our Class A common stock on a one-for-one equivalent basis or (ii) cash (based on the market price of the shares of our Class A common stock), subject to customary redemption rate adjustments for stock splits, stock dividends and reclassifications. The share of BellRing Brands, Inc. Class B common stock will be initially owned by Post and may only be transferred to affiliates of</w:t>
      </w:r>
    </w:p>
    <w:p>
      <w:pPr>
        <w:spacing w:after="0" w:line="3" w:lineRule="exact"/>
        <w:rPr>
          <w:sz w:val="20"/>
          <w:szCs w:val="20"/>
          <w:color w:val="auto"/>
        </w:rPr>
      </w:pPr>
    </w:p>
    <w:p>
      <w:pPr>
        <w:ind w:left="220" w:right="460"/>
        <w:spacing w:after="0" w:line="260" w:lineRule="auto"/>
        <w:rPr>
          <w:sz w:val="20"/>
          <w:szCs w:val="20"/>
          <w:color w:val="auto"/>
        </w:rPr>
      </w:pPr>
      <w:r>
        <w:rPr>
          <w:rFonts w:ascii="Arial" w:cs="Arial" w:eastAsia="Arial" w:hAnsi="Arial"/>
          <w:sz w:val="18"/>
          <w:szCs w:val="18"/>
          <w:color w:val="auto"/>
        </w:rPr>
        <w:t>Post (other than us). The shares of our Class A common stock issuable upon redemption of BellRing Brands, LLC Units held by Post would be considered “restricted securities,” as that term is defined in Rule 144 at the time of this offering.</w:t>
      </w:r>
    </w:p>
    <w:p>
      <w:pPr>
        <w:spacing w:after="0" w:line="185"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20" w:right="40" w:firstLine="440"/>
        <w:spacing w:after="0" w:line="287"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For more information, see “Underwriting (Conflicts of Interest)”. As a result of these contractual restrictions, shares of our Class A common stock and the other securities subject to lock-up agreements will not be eligible for sale until these agreements expire or the restrictions are waived by the underwriters.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 &amp; 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firstLine="440"/>
        <w:spacing w:after="0" w:line="311" w:lineRule="auto"/>
        <w:rPr>
          <w:sz w:val="20"/>
          <w:szCs w:val="20"/>
          <w:color w:val="auto"/>
        </w:rPr>
      </w:pPr>
      <w:r>
        <w:rPr>
          <w:rFonts w:ascii="Arial" w:cs="Arial" w:eastAsia="Arial" w:hAnsi="Arial"/>
          <w:sz w:val="16"/>
          <w:szCs w:val="16"/>
          <w:color w:val="auto"/>
        </w:rPr>
        <w:t>In addition, we will agree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 with the grant or exercise of stock based equity awards. The underwriters may, at any time, waive these restrictions.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who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non-affiliated person who has beneficially owned the shares proposed to be sold for at least one year, including the holding period of any prior owner other than an affiliate of us, will be entitled to sell these shares without limitation.</w:t>
      </w:r>
    </w:p>
    <w:p>
      <w:pPr>
        <w:spacing w:after="0" w:line="176"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5" w:lineRule="exact"/>
        <w:rPr>
          <w:sz w:val="20"/>
          <w:szCs w:val="20"/>
          <w:color w:val="auto"/>
        </w:rPr>
      </w:pPr>
    </w:p>
    <w:p>
      <w:pPr>
        <w:ind w:left="1180" w:right="40" w:hanging="539"/>
        <w:spacing w:after="0" w:line="263" w:lineRule="auto"/>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shares of our Class A common stock then outstanding, which will equal approximately shares immediately after this offering (assuming the underwriters do not elect to exercise their over-allotment option to purchase additional shares of our Class A common stock); or</w:t>
      </w:r>
    </w:p>
    <w:p>
      <w:pPr>
        <w:spacing w:after="0" w:line="88" w:lineRule="exact"/>
        <w:rPr>
          <w:sz w:val="20"/>
          <w:szCs w:val="20"/>
          <w:color w:val="auto"/>
        </w:rPr>
      </w:pPr>
    </w:p>
    <w:p>
      <w:pPr>
        <w:ind w:left="1180" w:right="140" w:hanging="538"/>
        <w:spacing w:after="0" w:line="277"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20" w:right="300" w:firstLine="440"/>
        <w:spacing w:after="0" w:line="275" w:lineRule="auto"/>
        <w:rPr>
          <w:sz w:val="20"/>
          <w:szCs w:val="20"/>
          <w:color w:val="auto"/>
        </w:rPr>
      </w:pPr>
      <w:r>
        <w:rPr>
          <w:rFonts w:ascii="Arial" w:cs="Arial" w:eastAsia="Arial" w:hAnsi="Arial"/>
          <w:sz w:val="17"/>
          <w:szCs w:val="17"/>
          <w:color w:val="auto"/>
        </w:rPr>
        <w:t>We intend to file with the SEC a registration statement on Form S-8 covering the shares of our Class A common stock that will be reserved for issuance under the BellRing Brands, Inc. 2019 Long-Term Incentive Plan.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BellRing Brands, Inc. 2019 Long-Term Incentive Plan will be eligible for sale by the recipient in the public market, subject to the lock-up agreements and Rule 144 restrictions described above.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On the date this offering is completed,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supply chain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nine months ended June 30, 2019 and 2018 and Note 10 of “Notes to Combined Financial Statements” for the three fiscal years ended September 30, 2018 included in this prospectus.</w:t>
      </w:r>
    </w:p>
    <w:p>
      <w:pPr>
        <w:spacing w:after="0" w:line="191"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We also will enter into certain agreements with Post in connection with this offering and relating to our relationship with Post after this offering, which are described below.</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enter into the following agreements with Post relating to this offering and our relationship with Post after this offering:</w:t>
      </w:r>
    </w:p>
    <w:p>
      <w:pPr>
        <w:spacing w:after="0" w:line="130" w:lineRule="exact"/>
        <w:rPr>
          <w:sz w:val="20"/>
          <w:szCs w:val="20"/>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master services agreement.</w:t>
      </w:r>
    </w:p>
    <w:p>
      <w:pPr>
        <w:spacing w:after="0" w:line="225"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The material terms to be included in each of these agreements are summarized below. The summary of each such agreement is qualified by reference in its entirety to the full text of the applicable agreement, each of which are or will be filed as an exhibit to the registration statement of which this prospectus is a part.</w:t>
      </w:r>
    </w:p>
    <w:p>
      <w:pPr>
        <w:spacing w:after="0" w:line="183" w:lineRule="exact"/>
        <w:rPr>
          <w:sz w:val="20"/>
          <w:szCs w:val="20"/>
          <w:color w:val="auto"/>
        </w:rPr>
      </w:pPr>
    </w:p>
    <w:p>
      <w:pPr>
        <w:ind w:left="220" w:right="160" w:firstLine="440"/>
        <w:spacing w:after="0" w:line="256"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will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among BellRing Brands, Inc., BellRing Brands, LLC and its subsidiaries, and Post and its subsidiaries (other than us), regarding the principal transactions required to effect the formation transactions and this offering, and will govern the relationship between Post and us after this offering. For a description of the formation transactions, see “Prospectus Summary—Formation Transactions.”</w:t>
      </w:r>
    </w:p>
    <w:p>
      <w:pPr>
        <w:spacing w:after="0" w:line="191"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5"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 on the date this offering is completed:</w:t>
      </w:r>
    </w:p>
    <w:p>
      <w:pPr>
        <w:spacing w:after="0" w:line="75" w:lineRule="exact"/>
        <w:rPr>
          <w:sz w:val="20"/>
          <w:szCs w:val="20"/>
          <w:color w:val="auto"/>
        </w:rPr>
      </w:pPr>
    </w:p>
    <w:p>
      <w:pPr>
        <w:ind w:left="1180" w:right="200" w:hanging="538"/>
        <w:spacing w:after="0" w:line="311" w:lineRule="auto"/>
        <w:tabs>
          <w:tab w:leader="none" w:pos="1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60" w:hanging="538"/>
        <w:spacing w:after="0" w:line="259"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 and</w:t>
      </w:r>
    </w:p>
    <w:p>
      <w:pPr>
        <w:spacing w:after="0" w:line="91" w:lineRule="exact"/>
        <w:rPr>
          <w:rFonts w:ascii="Arial" w:cs="Arial" w:eastAsia="Arial" w:hAnsi="Arial"/>
          <w:sz w:val="18"/>
          <w:szCs w:val="18"/>
          <w:color w:val="auto"/>
        </w:rPr>
      </w:pPr>
    </w:p>
    <w:p>
      <w:pPr>
        <w:ind w:left="1180" w:right="240" w:hanging="538"/>
        <w:spacing w:after="0" w:line="273" w:lineRule="auto"/>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independent liabilities of BellRing Brands, Inc. which are not otherwise included in the BellRing Brands, LLC Liabilities (such liabilities are referred to as the “BellRing Brands, Inc. Liabilities”), the BellRing Brands, LLC Assets and the BellRing Brands, LLC Liabilities (such assets and liabilities, other than the BellRing Brands, Inc. Liabilities,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w:t>
      </w:r>
    </w:p>
    <w:p>
      <w:pPr>
        <w:spacing w:after="0" w:line="177"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6" w:lineRule="exact"/>
        <w:rPr>
          <w:sz w:val="20"/>
          <w:szCs w:val="20"/>
          <w:color w:val="auto"/>
        </w:rPr>
      </w:pPr>
    </w:p>
    <w:p>
      <w:pPr>
        <w:ind w:left="220" w:right="440" w:firstLine="440"/>
        <w:spacing w:after="0" w:line="263"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3"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1"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220" w:right="220" w:firstLine="440"/>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consummation of this offering.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3" w:lineRule="exact"/>
        <w:rPr>
          <w:sz w:val="20"/>
          <w:szCs w:val="20"/>
          <w:color w:val="auto"/>
        </w:rPr>
      </w:pPr>
    </w:p>
    <w:p>
      <w:pPr>
        <w:jc w:val="both"/>
        <w:ind w:left="220" w:right="40" w:firstLine="440"/>
        <w:spacing w:after="0" w:line="311" w:lineRule="auto"/>
        <w:rPr>
          <w:sz w:val="20"/>
          <w:szCs w:val="20"/>
          <w:color w:val="auto"/>
        </w:rPr>
      </w:pPr>
      <w:r>
        <w:rPr>
          <w:rFonts w:ascii="Arial" w:cs="Arial" w:eastAsia="Arial" w:hAnsi="Arial"/>
          <w:sz w:val="16"/>
          <w:szCs w:val="16"/>
          <w:i w:val="1"/>
          <w:iCs w:val="1"/>
          <w:color w:val="auto"/>
        </w:rPr>
        <w:t xml:space="preserve">Financial Reporting Covenants; Auditors and Audits; Annual Financial Statements and Accounting. </w:t>
      </w:r>
      <w:r>
        <w:rPr>
          <w:rFonts w:ascii="Arial" w:cs="Arial" w:eastAsia="Arial" w:hAnsi="Arial"/>
          <w:sz w:val="16"/>
          <w:szCs w:val="16"/>
          <w:color w:val="auto"/>
        </w:rPr>
        <w:t>Under the master transaction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BellRing Brands, Inc. and BellRing Brands, LLC will agree that, until such time as Post is no longer required to include, for any fiscal year presented in any Form 10-K of Post, the consolidated results of operations and financial position of BellRing Brands, Inc. or any of its subsidiaries or to</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account for its investment in BellRing Brands, Inc. or any of its subsidiaries under the equity method of accounting, among other things (all references to “BellRing Brands, Inc. and its subsidiaries” include BellRing Brands, LLC and its subsidiaries, as applicable):</w:t>
      </w:r>
    </w:p>
    <w:p>
      <w:pPr>
        <w:spacing w:after="0" w:line="75" w:lineRule="exact"/>
        <w:rPr>
          <w:sz w:val="20"/>
          <w:szCs w:val="20"/>
          <w:color w:val="auto"/>
        </w:rPr>
      </w:pPr>
    </w:p>
    <w:p>
      <w:pPr>
        <w:ind w:left="1180" w:hanging="538"/>
        <w:spacing w:after="0" w:line="255"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6" w:lineRule="exact"/>
        <w:rPr>
          <w:rFonts w:ascii="Arial" w:cs="Arial" w:eastAsia="Arial" w:hAnsi="Arial"/>
          <w:sz w:val="18"/>
          <w:szCs w:val="18"/>
          <w:color w:val="auto"/>
        </w:rPr>
      </w:pPr>
    </w:p>
    <w:p>
      <w:pPr>
        <w:ind w:left="1180" w:hanging="538"/>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1180" w:right="160" w:hanging="538"/>
        <w:spacing w:after="0" w:line="341"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30" w:lineRule="exact"/>
        <w:rPr>
          <w:rFonts w:ascii="Arial" w:cs="Arial" w:eastAsia="Arial" w:hAnsi="Arial"/>
          <w:sz w:val="16"/>
          <w:szCs w:val="16"/>
          <w:color w:val="auto"/>
        </w:rPr>
      </w:pPr>
    </w:p>
    <w:p>
      <w:pPr>
        <w:jc w:val="both"/>
        <w:ind w:left="1180" w:right="40" w:hanging="538"/>
        <w:spacing w:after="0" w:line="279"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NYSE (or such other national security exchange on which the Class A common stock is listed) and other public filings, press releases and public and private offering documents;</w:t>
      </w:r>
    </w:p>
    <w:p>
      <w:pPr>
        <w:spacing w:after="0" w:line="75" w:lineRule="exact"/>
        <w:rPr>
          <w:rFonts w:ascii="Arial" w:cs="Arial" w:eastAsia="Arial" w:hAnsi="Arial"/>
          <w:sz w:val="17"/>
          <w:szCs w:val="17"/>
          <w:color w:val="auto"/>
        </w:rPr>
      </w:pPr>
    </w:p>
    <w:p>
      <w:pPr>
        <w:ind w:left="1180" w:hanging="538"/>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jc w:val="both"/>
        <w:ind w:left="1180" w:right="40" w:hanging="538"/>
        <w:spacing w:after="0" w:line="341"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public filings;</w:t>
      </w:r>
    </w:p>
    <w:p>
      <w:pPr>
        <w:spacing w:after="0" w:line="30" w:lineRule="exact"/>
        <w:rPr>
          <w:rFonts w:ascii="Arial" w:cs="Arial" w:eastAsia="Arial" w:hAnsi="Arial"/>
          <w:sz w:val="16"/>
          <w:szCs w:val="16"/>
          <w:color w:val="auto"/>
        </w:rPr>
      </w:pPr>
    </w:p>
    <w:p>
      <w:pPr>
        <w:ind w:left="1180" w:right="100" w:hanging="538"/>
        <w:spacing w:after="0" w:line="301"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61" w:lineRule="exact"/>
        <w:rPr>
          <w:rFonts w:ascii="Arial" w:cs="Arial" w:eastAsia="Arial" w:hAnsi="Arial"/>
          <w:sz w:val="16"/>
          <w:szCs w:val="16"/>
          <w:color w:val="auto"/>
        </w:rPr>
      </w:pPr>
    </w:p>
    <w:p>
      <w:pPr>
        <w:ind w:left="1180" w:right="260" w:hanging="538"/>
        <w:spacing w:after="0" w:line="263"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8" w:lineRule="exact"/>
        <w:rPr>
          <w:rFonts w:ascii="Arial" w:cs="Arial" w:eastAsia="Arial" w:hAnsi="Arial"/>
          <w:sz w:val="18"/>
          <w:szCs w:val="18"/>
          <w:color w:val="auto"/>
        </w:rPr>
      </w:pPr>
    </w:p>
    <w:p>
      <w:pPr>
        <w:ind w:left="1180" w:right="80" w:hanging="538"/>
        <w:spacing w:after="0" w:line="259"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1" w:lineRule="exact"/>
        <w:rPr>
          <w:rFonts w:ascii="Arial" w:cs="Arial" w:eastAsia="Arial" w:hAnsi="Arial"/>
          <w:sz w:val="18"/>
          <w:szCs w:val="18"/>
          <w:color w:val="auto"/>
        </w:rPr>
      </w:pPr>
    </w:p>
    <w:p>
      <w:pPr>
        <w:ind w:left="1180" w:hanging="538"/>
        <w:spacing w:after="0" w:line="256"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80" w:firstLine="440"/>
        <w:spacing w:after="0" w:line="301"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The master transaction agreement will provide for cross-indemnities principally designed to place financial responsibility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liabilities of our business with us and financial 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62" w:lineRule="exact"/>
        <w:rPr>
          <w:sz w:val="20"/>
          <w:szCs w:val="20"/>
          <w:color w:val="auto"/>
        </w:rPr>
      </w:pPr>
    </w:p>
    <w:p>
      <w:pPr>
        <w:ind w:left="1180" w:right="80" w:hanging="538"/>
        <w:spacing w:after="0" w:line="263"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Inc. Liabilities and the BellRing Brands, LLC Liabilities and, in the case of Post, would include the Post Liabilities) and the other ancillary agreements;</w:t>
      </w:r>
    </w:p>
    <w:p>
      <w:pPr>
        <w:spacing w:after="0" w:line="88" w:lineRule="exact"/>
        <w:rPr>
          <w:rFonts w:ascii="Arial" w:cs="Arial" w:eastAsia="Arial" w:hAnsi="Arial"/>
          <w:sz w:val="18"/>
          <w:szCs w:val="18"/>
          <w:color w:val="auto"/>
        </w:rPr>
      </w:pPr>
    </w:p>
    <w:p>
      <w:pPr>
        <w:ind w:left="1180" w:right="160" w:hanging="538"/>
        <w:spacing w:after="0" w:line="263"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failure of BellRing Brands, Inc., BellRing Brands, LLC or Post to pay, perform or otherwise promptly discharge any of the BellRing Brands, Inc. Liabilities, the BellRing Brands, LLC Liabilities or the Post Liabilities, respectively, in accordance with their terms, whether prior to, at or after the consummation of this offering;</w:t>
      </w:r>
    </w:p>
    <w:p>
      <w:pPr>
        <w:spacing w:after="0" w:line="88" w:lineRule="exact"/>
        <w:rPr>
          <w:rFonts w:ascii="Arial" w:cs="Arial" w:eastAsia="Arial" w:hAnsi="Arial"/>
          <w:sz w:val="18"/>
          <w:szCs w:val="18"/>
          <w:color w:val="auto"/>
        </w:rPr>
      </w:pPr>
    </w:p>
    <w:p>
      <w:pPr>
        <w:ind w:left="1180" w:right="340" w:hanging="538"/>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1180" w:right="300" w:hanging="538"/>
        <w:spacing w:after="0" w:line="263"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3" w:lineRule="exact"/>
        <w:rPr>
          <w:sz w:val="20"/>
          <w:szCs w:val="20"/>
          <w:color w:val="auto"/>
        </w:rPr>
      </w:pPr>
    </w:p>
    <w:p>
      <w:pPr>
        <w:ind w:left="220" w:right="140" w:firstLine="440"/>
        <w:spacing w:after="0" w:line="287"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spacing w:after="0" w:line="2" w:lineRule="exact"/>
        <w:rPr>
          <w:sz w:val="20"/>
          <w:szCs w:val="20"/>
          <w:color w:val="auto"/>
        </w:rPr>
      </w:pPr>
    </w:p>
    <w:p>
      <w:pPr>
        <w:ind w:left="220" w:hanging="10"/>
        <w:spacing w:after="0" w:line="268" w:lineRule="auto"/>
        <w:tabs>
          <w:tab w:leader="none" w:pos="475"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or proxy statements following this offering to the extent (A) such information pertains to us or our business and (B) Post has provided prior written notice to us that such information will be included in one or more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Post or any of its subsidiaries (other than us), including as a result of any misstatement or omission of any information by Post to us).</w:t>
      </w:r>
    </w:p>
    <w:p>
      <w:pPr>
        <w:spacing w:after="0" w:line="182"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and (2) provided by Post to us specifically for inclusion in BellRing Brands, Inc.’s annual, quarterly or current reports or proxy statements following this offering to the extent (A) such information pertains to (x) Post or (y) Post’s business (for the avoidance of doubt, other than our business) or (B) BellRing Brands, Inc. has provided written notice to Post that such information will be included in one or more of its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us, including as a result of any misstatement or omission of any information by us to Post).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225"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Under the master transaction agreement, we will pay all costs, fees and expenses incurred in connection with this offering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 transactions (other than costs, fees and expenses relating to the Post bridge loan as described below), or, upon the request of Post, will reimburse Post or its subsidiaries (other than us) with respect to any such costs, fees and expenses previously paid by Post or its subsidiaries (other than us). BellRing Brands, LLC will, and will cause its subsidiaries to, pay all principal and interest under the Post bridge loan; provided, however, that costs, fees and expenses incurred prior to this offering in connection with obtaining the Post bridge loan will be borne solely by Post and its subsidiaries (other than us).</w:t>
      </w:r>
    </w:p>
    <w:p>
      <w:pPr>
        <w:spacing w:after="0" w:line="191"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Following the completion of this offering, BellRing Brands, LLC will, and will cause its subsidiaries to, pay to Post an amount equal to the value of all cash and cash equivalents, in each case determined in accordance with GAAP, held by BellRing Brands, LLC and its subsidiaries as of immediately prior to the consummation of this offering.</w:t>
      </w:r>
    </w:p>
    <w:p>
      <w:pPr>
        <w:spacing w:after="0" w:line="183" w:lineRule="exact"/>
        <w:rPr>
          <w:sz w:val="20"/>
          <w:szCs w:val="20"/>
          <w:color w:val="auto"/>
        </w:rPr>
      </w:pPr>
    </w:p>
    <w:p>
      <w:pPr>
        <w:ind w:left="220" w:right="60" w:firstLine="440"/>
        <w:spacing w:after="0" w:line="341"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5" w:lineRule="exact"/>
        <w:rPr>
          <w:sz w:val="20"/>
          <w:szCs w:val="20"/>
          <w:color w:val="auto"/>
        </w:rPr>
      </w:pPr>
    </w:p>
    <w:p>
      <w:pPr>
        <w:jc w:val="both"/>
        <w:ind w:left="220" w:right="580" w:firstLine="440"/>
        <w:spacing w:after="0" w:line="263"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3"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employee matters agreement with Post. The employee matters agreement will cover a wide range of compensation and benefit matters, including the following:</w:t>
      </w:r>
    </w:p>
    <w:p>
      <w:pPr>
        <w:spacing w:after="0" w:line="88" w:lineRule="exact"/>
        <w:rPr>
          <w:sz w:val="20"/>
          <w:szCs w:val="20"/>
          <w:color w:val="auto"/>
        </w:rPr>
      </w:pPr>
    </w:p>
    <w:p>
      <w:pPr>
        <w:ind w:left="1180" w:right="200" w:hanging="538"/>
        <w:spacing w:after="0" w:line="259"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will continue participating in certain Post employee benefit plans and programs, with such participation to cease December 31, 2019 unless otherwise determined by Post. Effective January 1, 2020, we will establish and adopt certain replacement employee benefit plans, including our own 401(k) plan, and permit and facilitate the participation in such plans by our eligible employees (and their eligible dependents and beneficiaries);</w:t>
      </w:r>
    </w:p>
    <w:p>
      <w:pPr>
        <w:spacing w:after="0" w:line="91" w:lineRule="exact"/>
        <w:rPr>
          <w:rFonts w:ascii="Arial" w:cs="Arial" w:eastAsia="Arial" w:hAnsi="Arial"/>
          <w:sz w:val="18"/>
          <w:szCs w:val="18"/>
          <w:color w:val="auto"/>
        </w:rPr>
      </w:pPr>
    </w:p>
    <w:p>
      <w:pPr>
        <w:ind w:left="1180" w:right="40" w:hanging="538"/>
        <w:spacing w:after="0" w:line="296" w:lineRule="auto"/>
        <w:tabs>
          <w:tab w:leader="none" w:pos="11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BellRing Brands, LLC will be responsible for any liabilities associated with the participation by our employees, former employees and their dependents and beneficiaries in the Post Holdings, Inc. Health and Welfare Benefit Plan prior to terminating their participation in such plan, and should we or any of our subsidiaries adopt a nonqualified deferred compensation plan, we, or the applicable subsidiary, will assume all liabilities associated with payment of account balances attributable to our employees or former employees under the Post Holdings, Inc. Deferred Compensation Plan for Key Employees and the Post Holdings, Inc. Executive Savings Investment Plan;</w:t>
      </w:r>
    </w:p>
    <w:p>
      <w:pPr>
        <w:spacing w:after="0" w:line="65" w:lineRule="exact"/>
        <w:rPr>
          <w:rFonts w:ascii="Arial" w:cs="Arial" w:eastAsia="Arial" w:hAnsi="Arial"/>
          <w:sz w:val="16"/>
          <w:szCs w:val="16"/>
          <w:color w:val="auto"/>
        </w:rPr>
      </w:pPr>
    </w:p>
    <w:p>
      <w:pPr>
        <w:ind w:left="1180" w:right="60" w:hanging="538"/>
        <w:spacing w:after="0" w:line="25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as otherwise provided in the employee matters agreement, BellRing Brands, LLC will, or will cause its subsidiaries, to assume or retain, to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our former employees and their dependents and beneficiaries; provided, that if any employee or former employee to which any such liability relates is or was an employee exclusively of BellRing Brands, Inc. at the time such liability arose, BellRing Brands, Inc. will pay, perform, fulfill and discharge such liability in due course and in full; and</w:t>
      </w:r>
    </w:p>
    <w:p>
      <w:pPr>
        <w:spacing w:after="0" w:line="98" w:lineRule="exact"/>
        <w:rPr>
          <w:rFonts w:ascii="Arial" w:cs="Arial" w:eastAsia="Arial" w:hAnsi="Arial"/>
          <w:sz w:val="18"/>
          <w:szCs w:val="18"/>
          <w:color w:val="auto"/>
        </w:rPr>
      </w:pPr>
    </w:p>
    <w:p>
      <w:pPr>
        <w:ind w:left="1180" w:right="20" w:hanging="538"/>
        <w:spacing w:after="0" w:line="307" w:lineRule="auto"/>
        <w:tabs>
          <w:tab w:leader="none" w:pos="1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will establish a non-qualified deferred compensation plan for eligible members of the BellRing Brands, Inc. board of directors effective January 1, 2020, and permit and facilitate the participation in such plan by eligible directors of BellRing Brands, Inc.</w:t>
      </w:r>
    </w:p>
    <w:p>
      <w:pPr>
        <w:spacing w:after="0" w:line="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Additionally, under the employee matters agreement, we will use commercially reasonable efforts to maintain effective registration statements with the SEC with respect to the BellRing Brands, Inc. 2019 Long-Term Incentive Plan or any successor plan, and any equity awards issued thereunder. Restricted stock unit awards and nonqualified stock option awards issued to employees of BellRing Brands, LLC or its subsidiaries (or their predecessors) under certain Post long-term incentive plans which remain unsettled or outstanding as of the date of this offering, and any such awards issued to our employees after the date of this offering, will (i) vest or continue to vest and be settled or forfeited according to their terms, or (ii) later, if legally permissible as determined by Post and the Post board of directors or its corporate governance and compensation committee and agreed to by the BellRing Brands, Inc. board of directors, be converted into awards issued under the BellRing Brands, Inc. 2019 Long-Term Incentive Plan or any successor thereto.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Post’s long-term incentive plans and any applicable award agreements thereunder. BellRing Brands, LLC and its subsidiaries will bear the monthly actual expense and the employer related payroll expense of any such outstanding awards while outstanding and due to their settlement or exercise.</w:t>
      </w:r>
    </w:p>
    <w:p>
      <w:pPr>
        <w:spacing w:after="0" w:line="170" w:lineRule="exact"/>
        <w:rPr>
          <w:sz w:val="20"/>
          <w:szCs w:val="20"/>
          <w:color w:val="auto"/>
        </w:rPr>
      </w:pPr>
    </w:p>
    <w:p>
      <w:pPr>
        <w:ind w:left="220" w:right="40" w:firstLine="440"/>
        <w:spacing w:after="0" w:line="296" w:lineRule="auto"/>
        <w:rPr>
          <w:sz w:val="20"/>
          <w:szCs w:val="20"/>
          <w:color w:val="auto"/>
        </w:rPr>
      </w:pPr>
      <w:r>
        <w:rPr>
          <w:rFonts w:ascii="Arial" w:cs="Arial" w:eastAsia="Arial" w:hAnsi="Arial"/>
          <w:sz w:val="16"/>
          <w:szCs w:val="16"/>
          <w:color w:val="auto"/>
        </w:rPr>
        <w:t>We and Post may terminate the employee matters agreement by mutual consent, and Post may terminate the employee matters agreement in the event of a change of control of Post, or a change of control of BellRing Brands, Inc. or the sale of all or substantially all of its consolidated assets. In the event that BellRing Brands, Inc. directly or indirectly acquires or creates a subsidiary which is not otherwise a direct or indirect subsidiary of BellRing Brands, LLC and which employs employees, Post, BellRing Brands, Inc. and BellRing Brands, LLC will re-negotiate the employee matters agreement in good faith in order to, among other items, reflect that such new subsidiary will be responsible for liabilities associated with its employees.</w:t>
      </w:r>
    </w:p>
    <w:p>
      <w:pPr>
        <w:spacing w:after="0" w:line="160" w:lineRule="exact"/>
        <w:rPr>
          <w:sz w:val="20"/>
          <w:szCs w:val="20"/>
          <w:color w:val="auto"/>
        </w:rPr>
      </w:pPr>
    </w:p>
    <w:p>
      <w:pPr>
        <w:ind w:left="220" w:right="280" w:firstLine="440"/>
        <w:spacing w:after="0" w:line="279" w:lineRule="auto"/>
        <w:rPr>
          <w:sz w:val="20"/>
          <w:szCs w:val="20"/>
          <w:color w:val="auto"/>
        </w:rPr>
      </w:pPr>
      <w:r>
        <w:rPr>
          <w:rFonts w:ascii="Arial" w:cs="Arial" w:eastAsia="Arial" w:hAnsi="Arial"/>
          <w:sz w:val="17"/>
          <w:szCs w:val="17"/>
          <w:b w:val="1"/>
          <w:bCs w:val="1"/>
          <w:i w:val="1"/>
          <w:iCs w:val="1"/>
          <w:color w:val="auto"/>
        </w:rPr>
        <w:t xml:space="preserve">Investor Rights Agreement. </w:t>
      </w:r>
      <w:r>
        <w:rPr>
          <w:rFonts w:ascii="Arial" w:cs="Arial" w:eastAsia="Arial" w:hAnsi="Arial"/>
          <w:sz w:val="17"/>
          <w:szCs w:val="17"/>
          <w:color w:val="auto"/>
        </w:rPr>
        <w:t>As part of the formation transactions and this offering, BellRing Brands, Inc. will enter into the investor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Post. The investor rights agreement will provide Post with certain demand, shelf and piggyback registration rights with respect to its shares of BellRing Brands, Inc. Class A common stock and also will provide Post with certain governance rights, depending on the percentage of the total voting power of BellRing Brands, Inc. outstanding common stock held by Post.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0" w:lineRule="exact"/>
        <w:rPr>
          <w:sz w:val="20"/>
          <w:szCs w:val="20"/>
          <w:color w:val="auto"/>
        </w:rPr>
      </w:pPr>
    </w:p>
    <w:p>
      <w:pPr>
        <w:ind w:left="1180" w:right="520" w:hanging="538"/>
        <w:spacing w:after="0" w:line="341"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30" w:lineRule="exact"/>
        <w:rPr>
          <w:rFonts w:ascii="Arial" w:cs="Arial" w:eastAsia="Arial" w:hAnsi="Arial"/>
          <w:sz w:val="16"/>
          <w:szCs w:val="16"/>
          <w:color w:val="auto"/>
        </w:rPr>
      </w:pPr>
    </w:p>
    <w:p>
      <w:pPr>
        <w:ind w:left="1180" w:right="320" w:hanging="538"/>
        <w:spacing w:after="0" w:line="307" w:lineRule="auto"/>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once we are eligible to do so, Post and its affiliates will have the right to cause us to file and have declared effective a shelf registration statement on Form S-3 with respect to all of their shares of BellRing Brands, Inc. Class A common stock; and</w:t>
      </w:r>
    </w:p>
    <w:p>
      <w:pPr>
        <w:spacing w:after="0" w:line="52" w:lineRule="exact"/>
        <w:rPr>
          <w:rFonts w:ascii="Arial" w:cs="Arial" w:eastAsia="Arial" w:hAnsi="Arial"/>
          <w:sz w:val="17"/>
          <w:szCs w:val="17"/>
          <w:color w:val="auto"/>
        </w:rPr>
      </w:pPr>
    </w:p>
    <w:p>
      <w:pPr>
        <w:ind w:left="1180" w:hanging="538"/>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ind w:left="220" w:right="80" w:firstLine="440"/>
        <w:spacing w:after="0" w:line="296"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investor rights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60"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As of the completion of this offering, our Board of Directors will have members, divided into three classes. The investor rights agreement will provide that Post, subject to applicable corporate governance rules of the SEC and the NYSE (which may require Post to designate independent directors), will have the right to</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designate: (i) a majority of the directors (and if the number of directors is even, one director more than 50% of the number of directors) if the votes that may be cast by Post under our amended and restated certificate of incorporation are more than 50% of the total voting power of our outstanding common stock, (ii) one less than a majority of the directors (and if the number of directors is even, 50% of the number of directors) if the votes that may be cast by Post under our amended and restated certificate of incorporation are more than 25% but 50% or less of the total voting power of our outstanding common stock and (iii) one-third of the directors (rounded down to the nearest whole number)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If a vacancy is created on our Board of Directors as a result of the death, disability, retirement, resignation or removal of a director who was designated by Post, Post will have the right to designate such person’s replacement. For so long as the votes that may be cast by Post under our amended and restated certificate of incorporation are 25% or more of the outstanding BellRing Brands, Inc. common stock, Post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and will use reasonable best efforts to cause such person to be elected as a director.</w:t>
      </w:r>
    </w:p>
    <w:p>
      <w:pPr>
        <w:spacing w:after="0" w:line="171" w:lineRule="exact"/>
        <w:rPr>
          <w:sz w:val="20"/>
          <w:szCs w:val="20"/>
          <w:color w:val="auto"/>
        </w:rPr>
      </w:pPr>
    </w:p>
    <w:p>
      <w:pPr>
        <w:ind w:left="220" w:right="720" w:firstLine="440"/>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166" w:lineRule="exact"/>
        <w:rPr>
          <w:sz w:val="20"/>
          <w:szCs w:val="20"/>
          <w:color w:val="auto"/>
        </w:rPr>
      </w:pPr>
    </w:p>
    <w:p>
      <w:pPr>
        <w:ind w:left="220" w:firstLine="440"/>
        <w:spacing w:after="0" w:line="260" w:lineRule="auto"/>
        <w:rPr>
          <w:sz w:val="20"/>
          <w:szCs w:val="20"/>
          <w:color w:val="auto"/>
        </w:rPr>
      </w:pPr>
      <w:r>
        <w:rPr>
          <w:rFonts w:ascii="Arial" w:cs="Arial" w:eastAsia="Arial" w:hAnsi="Arial"/>
          <w:sz w:val="18"/>
          <w:szCs w:val="18"/>
          <w:b w:val="1"/>
          <w:bCs w:val="1"/>
          <w:i w:val="1"/>
          <w:iCs w:val="1"/>
          <w:color w:val="auto"/>
        </w:rPr>
        <w:t>Amended and Restated Limited Liability Company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formation transactions and this offering, BellRing Brands,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and BellRing Brands, LLC will enter into 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186" w:lineRule="exact"/>
        <w:rPr>
          <w:sz w:val="20"/>
          <w:szCs w:val="20"/>
          <w:color w:val="auto"/>
        </w:rPr>
      </w:pPr>
    </w:p>
    <w:p>
      <w:pPr>
        <w:ind w:left="220" w:right="200" w:firstLine="440"/>
        <w:spacing w:after="0" w:line="286" w:lineRule="auto"/>
        <w:rPr>
          <w:sz w:val="20"/>
          <w:szCs w:val="20"/>
          <w:color w:val="auto"/>
        </w:rPr>
      </w:pPr>
      <w:r>
        <w:rPr>
          <w:rFonts w:ascii="Arial" w:cs="Arial" w:eastAsia="Arial" w:hAnsi="Arial"/>
          <w:sz w:val="16"/>
          <w:szCs w:val="16"/>
          <w:i w:val="1"/>
          <w:iCs w:val="1"/>
          <w:color w:val="auto"/>
        </w:rPr>
        <w:t>Reorganization</w:t>
      </w:r>
      <w:r>
        <w:rPr>
          <w:rFonts w:ascii="Arial" w:cs="Arial" w:eastAsia="Arial" w:hAnsi="Arial"/>
          <w:sz w:val="16"/>
          <w:szCs w:val="16"/>
          <w:color w:val="auto"/>
        </w:rPr>
        <w:t>. As part of the formation transactions, BellRing Brands, LLC will establish two new classes of its common units, a voting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w:t>
      </w:r>
    </w:p>
    <w:p>
      <w:pPr>
        <w:spacing w:after="0" w:line="1" w:lineRule="exact"/>
        <w:rPr>
          <w:sz w:val="20"/>
          <w:szCs w:val="20"/>
          <w:color w:val="auto"/>
        </w:rPr>
      </w:pPr>
    </w:p>
    <w:p>
      <w:pPr>
        <w:ind w:left="220" w:right="100"/>
        <w:spacing w:after="0" w:line="253" w:lineRule="auto"/>
        <w:rPr>
          <w:sz w:val="20"/>
          <w:szCs w:val="20"/>
          <w:color w:val="auto"/>
        </w:rPr>
      </w:pPr>
      <w:r>
        <w:rPr>
          <w:rFonts w:ascii="Arial" w:cs="Arial" w:eastAsia="Arial" w:hAnsi="Arial"/>
          <w:sz w:val="18"/>
          <w:szCs w:val="18"/>
          <w:color w:val="auto"/>
        </w:rPr>
        <w:t>reclassified into BellRing Brands, LLC Units in connection with the formation transactions. In connection with the formation transactions and this offering, additional BellRing Brands, LLC Units will be issued to BellRing Brands, Inc. as described under “Prospectus Summary—Formation Transactions.” The Board of Managers may cause BellRing Brands, LLC to issue from time to time such additional units or other equity securities as it may determine.</w:t>
      </w:r>
    </w:p>
    <w:p>
      <w:pPr>
        <w:spacing w:after="0" w:line="192" w:lineRule="exact"/>
        <w:rPr>
          <w:sz w:val="20"/>
          <w:szCs w:val="20"/>
          <w:color w:val="auto"/>
        </w:rPr>
      </w:pPr>
    </w:p>
    <w:p>
      <w:pPr>
        <w:ind w:left="220" w:right="60" w:firstLine="440"/>
        <w:spacing w:after="0" w:line="269"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not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259" w:lineRule="auto"/>
        <w:rPr>
          <w:sz w:val="20"/>
          <w:szCs w:val="20"/>
          <w:color w:val="auto"/>
        </w:rPr>
      </w:pPr>
      <w:r>
        <w:rPr>
          <w:rFonts w:ascii="Arial" w:cs="Arial" w:eastAsia="Arial" w:hAnsi="Arial"/>
          <w:sz w:val="18"/>
          <w:szCs w:val="18"/>
          <w:color w:val="auto"/>
        </w:rPr>
        <w:t>common stock (for so long as Post or its affiliates (other than us) directly own more than 50% of the BellRing Brands, LLC Units as set forth in this prospectus) and the investor rights agreement, which will give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186"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other BellRing Brands, LLC Unit.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3" w:lineRule="exact"/>
        <w:rPr>
          <w:sz w:val="20"/>
          <w:szCs w:val="20"/>
          <w:color w:val="auto"/>
        </w:rPr>
      </w:pPr>
    </w:p>
    <w:p>
      <w:pPr>
        <w:jc w:val="both"/>
        <w:ind w:left="220" w:right="140" w:firstLine="440"/>
        <w:spacing w:after="0" w:line="301"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6"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will provide,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obligations of BellRing Brands, Inc.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If and to the extent any such reimbursements constitute gross income to BellRing Brands, Inc. or any of its affiliates, such amounts will be treated as “guaranteed payments” within the meaning of Code Section 707(c) and will not be treated as distributions for purposes of computing the capital accounts of BellRing Brands, LLC’s members.</w:t>
      </w:r>
    </w:p>
    <w:p>
      <w:pPr>
        <w:spacing w:after="0" w:line="182"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provided, that the net proceeds BellRing Brands, Inc. receives with respect to the corresponding economic company security, if any, must be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69" w:lineRule="auto"/>
        <w:rPr>
          <w:sz w:val="20"/>
          <w:szCs w:val="20"/>
          <w:color w:val="auto"/>
        </w:rPr>
      </w:pPr>
      <w:r>
        <w:rPr>
          <w:rFonts w:ascii="Arial" w:cs="Arial" w:eastAsia="Arial" w:hAnsi="Arial"/>
          <w:sz w:val="17"/>
          <w:szCs w:val="17"/>
          <w:color w:val="auto"/>
        </w:rPr>
        <w:t>concurrently contributed to BellRing Brands, LLC, subject to certain exceptions; provided further, that if BellRing Brands, Inc.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BellRing Brands, Inc. is not required to contribute such net proceeds to BellRing Brands, LLC.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83" w:lineRule="exact"/>
        <w:rPr>
          <w:sz w:val="20"/>
          <w:szCs w:val="20"/>
          <w:color w:val="auto"/>
        </w:rPr>
      </w:pPr>
    </w:p>
    <w:p>
      <w:pPr>
        <w:ind w:left="220" w:right="60" w:firstLine="440"/>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5"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Class A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for so long as Post holds at least 10% of the BellRing Brands, LLC Units.</w:t>
      </w:r>
    </w:p>
    <w:p>
      <w:pPr>
        <w:spacing w:after="0" w:line="177"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i w:val="1"/>
          <w:iCs w:val="1"/>
          <w:color w:val="auto"/>
        </w:rPr>
        <w:t>Transfer of BellRing Brands, LLC Units</w:t>
      </w:r>
      <w:r>
        <w:rPr>
          <w:rFonts w:ascii="Arial" w:cs="Arial" w:eastAsia="Arial" w:hAnsi="Arial"/>
          <w:sz w:val="16"/>
          <w:szCs w:val="16"/>
          <w:color w:val="auto"/>
        </w:rPr>
        <w:t>. No member of BellRing Brands, LLC may directly or indirectly transfer all or any part of its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62" w:lineRule="exact"/>
        <w:rPr>
          <w:sz w:val="20"/>
          <w:szCs w:val="20"/>
          <w:color w:val="auto"/>
        </w:rPr>
      </w:pPr>
    </w:p>
    <w:p>
      <w:pPr>
        <w:ind w:left="1180" w:right="260" w:hanging="538"/>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pursuant to a tender offer, share exchange offer, issuer bid, take-over bid, recapitalization or similar transaction with respect to Class A common stock or a merger, consolidation or other business combination of BellRing Brands, Inc.;</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by Post to another person;</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in connection with a redemption of BellRing Brands, LLC Units (as described below under “—Redemption Rights”);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transfers of restricted securities (as defined in the investor rights agreement) in accordance with the investor rights agreement;</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480" w:hanging="538"/>
        <w:spacing w:after="0" w:line="263"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by Post in connection with any distribution of its beneficial retained interest in BellRing Brands, LLC to its shareholders (including transfers to a subsidiary of Post in connection therewith (whether or not accompanied by a merger of such subsidiary with BellRing Brands, Inc. or any of its subsidiaries)); and</w:t>
      </w:r>
    </w:p>
    <w:p>
      <w:pPr>
        <w:spacing w:after="0" w:line="88" w:lineRule="exact"/>
        <w:rPr>
          <w:rFonts w:ascii="Arial" w:cs="Arial" w:eastAsia="Arial" w:hAnsi="Arial"/>
          <w:sz w:val="18"/>
          <w:szCs w:val="18"/>
          <w:color w:val="auto"/>
        </w:rPr>
      </w:pPr>
    </w:p>
    <w:p>
      <w:pPr>
        <w:ind w:left="1180" w:hanging="538"/>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transfer of shares of our Class A common stock.</w:t>
      </w:r>
    </w:p>
    <w:p>
      <w:pPr>
        <w:spacing w:after="0" w:line="225"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in either case,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w:t>
      </w:r>
    </w:p>
    <w:p>
      <w:pPr>
        <w:spacing w:after="0" w:line="1" w:lineRule="exact"/>
        <w:rPr>
          <w:sz w:val="20"/>
          <w:szCs w:val="20"/>
          <w:color w:val="auto"/>
        </w:rPr>
      </w:pPr>
    </w:p>
    <w:p>
      <w:pPr>
        <w:ind w:left="220" w:right="20" w:hanging="10"/>
        <w:spacing w:after="0" w:line="273" w:lineRule="auto"/>
        <w:tabs>
          <w:tab w:leader="none" w:pos="4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pursuant to a tender offer, share exchange offer, issuer bid, take-over bid, recapitalization or similar transaction with respect to Class A common stock or a merger, consolidation or other business combination of BellRing Brands, Inc., (ii) as part of a redemption of BellRing Brands, LLC Units, (iii) of “registrable securities” (as defined in the investor rights agreement) in accordance with the investor rights agreement, (iv) as part of any distribution of its beneficial retained interest in BellRing Brands, LLC to its shareholders or (v) of shares of our Class A common stock.</w:t>
      </w:r>
    </w:p>
    <w:p>
      <w:pPr>
        <w:spacing w:after="0" w:line="175"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5" w:lineRule="exact"/>
        <w:rPr>
          <w:sz w:val="20"/>
          <w:szCs w:val="20"/>
          <w:color w:val="auto"/>
        </w:rPr>
      </w:pPr>
    </w:p>
    <w:p>
      <w:pPr>
        <w:ind w:left="1180" w:right="120" w:hanging="538"/>
        <w:spacing w:after="0" w:line="263"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8" w:lineRule="exact"/>
        <w:rPr>
          <w:rFonts w:ascii="Arial" w:cs="Arial" w:eastAsia="Arial" w:hAnsi="Arial"/>
          <w:sz w:val="18"/>
          <w:szCs w:val="18"/>
          <w:color w:val="auto"/>
        </w:rPr>
      </w:pPr>
    </w:p>
    <w:p>
      <w:pPr>
        <w:ind w:left="1180" w:right="40" w:hanging="538"/>
        <w:spacing w:after="0" w:line="259"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1" w:lineRule="exact"/>
        <w:rPr>
          <w:rFonts w:ascii="Arial" w:cs="Arial" w:eastAsia="Arial" w:hAnsi="Arial"/>
          <w:sz w:val="18"/>
          <w:szCs w:val="18"/>
          <w:color w:val="auto"/>
        </w:rPr>
      </w:pPr>
    </w:p>
    <w:p>
      <w:pPr>
        <w:ind w:left="1180" w:right="140" w:hanging="538"/>
        <w:spacing w:after="0" w:line="296" w:lineRule="auto"/>
        <w:tabs>
          <w:tab w:leader="none" w:pos="1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156" w:lineRule="exact"/>
        <w:rPr>
          <w:sz w:val="20"/>
          <w:szCs w:val="20"/>
          <w:color w:val="auto"/>
        </w:rPr>
      </w:pPr>
    </w:p>
    <w:p>
      <w:pPr>
        <w:ind w:left="220" w:right="20" w:firstLine="440"/>
        <w:spacing w:after="0" w:line="294" w:lineRule="auto"/>
        <w:rPr>
          <w:sz w:val="20"/>
          <w:szCs w:val="20"/>
          <w:color w:val="auto"/>
        </w:rPr>
      </w:pPr>
      <w:r>
        <w:rPr>
          <w:rFonts w:ascii="Arial" w:cs="Arial" w:eastAsia="Arial" w:hAnsi="Arial"/>
          <w:sz w:val="16"/>
          <w:szCs w:val="16"/>
          <w:i w:val="1"/>
          <w:iCs w:val="1"/>
          <w:color w:val="auto"/>
        </w:rPr>
        <w:t>Redemption Rights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Each member (other than us) will have the right to cause BellRing Brands, LLC to redeem its BellRing Brands, LLC Units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at BellRing Brands, LLC’s option (as determined by its Board of Managers), (i) shares of our Class A common stock or (ii)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63" w:lineRule="exact"/>
        <w:rPr>
          <w:sz w:val="20"/>
          <w:szCs w:val="20"/>
          <w:color w:val="auto"/>
        </w:rPr>
      </w:pPr>
    </w:p>
    <w:p>
      <w:pPr>
        <w:ind w:left="220" w:right="160" w:firstLine="440"/>
        <w:spacing w:after="0" w:line="279"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their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80"/>
        <w:spacing w:after="0" w:line="277" w:lineRule="auto"/>
        <w:rPr>
          <w:sz w:val="20"/>
          <w:szCs w:val="20"/>
          <w:color w:val="auto"/>
        </w:rPr>
      </w:pPr>
      <w:r>
        <w:rPr>
          <w:rFonts w:ascii="Arial" w:cs="Arial" w:eastAsia="Arial" w:hAnsi="Arial"/>
          <w:sz w:val="18"/>
          <w:szCs w:val="18"/>
          <w:color w:val="auto"/>
        </w:rPr>
        <w:t>claims, damages or liabilities incurred by reason of any act or omission performed or omitted by such covered person in good faith on behalf of BellRing Brands, LLC.</w:t>
      </w:r>
    </w:p>
    <w:p>
      <w:pPr>
        <w:spacing w:after="0" w:line="170" w:lineRule="exact"/>
        <w:rPr>
          <w:sz w:val="20"/>
          <w:szCs w:val="20"/>
          <w:color w:val="auto"/>
        </w:rPr>
      </w:pPr>
    </w:p>
    <w:p>
      <w:pPr>
        <w:ind w:left="220" w:right="160" w:firstLine="440"/>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5" w:lineRule="exact"/>
        <w:rPr>
          <w:sz w:val="20"/>
          <w:szCs w:val="20"/>
          <w:color w:val="auto"/>
        </w:rPr>
      </w:pPr>
    </w:p>
    <w:p>
      <w:pPr>
        <w:ind w:left="220" w:right="140" w:firstLine="440"/>
        <w:spacing w:after="0" w:line="307"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7"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i w:val="1"/>
          <w:iCs w:val="1"/>
          <w:color w:val="auto"/>
        </w:rPr>
        <w:t xml:space="preserve">Amendments. </w:t>
      </w:r>
      <w:r>
        <w:rPr>
          <w:rFonts w:ascii="Arial" w:cs="Arial" w:eastAsia="Arial" w:hAnsi="Arial"/>
          <w:sz w:val="17"/>
          <w:szCs w:val="17"/>
          <w:color w:val="auto"/>
        </w:rPr>
        <w:t>The amended and restated limited liability company agreement may not be amended without the prior written consent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Managers and of members holding a majority in interest of BellRing Brands, LLC Units, except that the Board of Managers, acting alone, may amend the amended and restated limited liability company agreement (i) to reflect the admission of new members or transfers of units, as provided by and in accordance with the terms of the amended and restated limited liability company agreement, (ii) to effect any subdivisions or combinations of units made in compliance with the amended and restated limited liability company agreement and (iii) to issue additional BellRing Brands, LLC Units or any new class of units in accordance with the terms of the amended and restated limited liability company agreement.</w:t>
      </w:r>
    </w:p>
    <w:p>
      <w:pPr>
        <w:spacing w:after="0" w:line="177"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w:t>
      </w:r>
    </w:p>
    <w:p>
      <w:pPr>
        <w:spacing w:after="0" w:line="191" w:lineRule="exact"/>
        <w:rPr>
          <w:sz w:val="20"/>
          <w:szCs w:val="20"/>
          <w:color w:val="auto"/>
        </w:rPr>
      </w:pPr>
    </w:p>
    <w:p>
      <w:pPr>
        <w:ind w:left="220" w:right="40" w:firstLine="440"/>
        <w:spacing w:after="0" w:line="287" w:lineRule="auto"/>
        <w:rPr>
          <w:sz w:val="20"/>
          <w:szCs w:val="20"/>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Post (or certain of its transferees or assignees) may redeem BellRing Brands, LLC Units for, at the option of BellRing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Brands, LLC (as determined by its Board of Managers), shares of our Class A common stock or cash pursuant to the amended and restated limited liability company agreement. See “—Amended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share of the tax basis of BellRing Brands, LLC’s assets that otherwise would not have been available to us.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66"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Upon the closing of this offering, BellRing Brands, Inc. will enter into the tax receivable agreement with Post and BellRing Brands, LLC. Under the tax receivable agreement, we will be required to make cash payments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84" w:lineRule="auto"/>
        <w:rPr>
          <w:sz w:val="20"/>
          <w:szCs w:val="20"/>
          <w:color w:val="auto"/>
        </w:rPr>
      </w:pPr>
      <w:r>
        <w:rPr>
          <w:rFonts w:ascii="Arial" w:cs="Arial" w:eastAsia="Arial" w:hAnsi="Arial"/>
          <w:sz w:val="16"/>
          <w:szCs w:val="16"/>
          <w:color w:val="auto"/>
        </w:rPr>
        <w:t>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Any payments made by us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to the tax receivable agreement. BellRing Brands, LLC will have in effect an election under Section 754 of the Code effective for each taxable year in which a redemption of BellRing Brands, LLC Units for shares of our Class A common stock or cash occurs. Payments under the tax receivable agreement are not conditioned on Post’s continued ownership of BellRing Brands, LLC Units or our Class A common stock or Class B common stock after this offering. The rights of Post under the tax receivable agreement are assignable to transferees of Post’s BellRing Brands, LLC Units (other than us as transferee pursuant to subsequent redemptions of the transferred BellRing Brands, LLC Units).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We expect to benefit from the remaining 15% of tax benefits, if any, that we may realize (or in some cases, are deemed to realize). The payment obligations under the tax receivable agreement are obligations of BellRing Brands, Inc. and not of BellRing Brands, LLC.</w:t>
      </w:r>
    </w:p>
    <w:p>
      <w:pPr>
        <w:spacing w:after="0" w:line="176"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5" w:lineRule="exact"/>
        <w:rPr>
          <w:sz w:val="20"/>
          <w:szCs w:val="20"/>
          <w:color w:val="auto"/>
        </w:rPr>
      </w:pPr>
    </w:p>
    <w:p>
      <w:pPr>
        <w:ind w:left="1180" w:right="80" w:hanging="538"/>
        <w:spacing w:after="0" w:line="263"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in connection with this offering and at the time of redemptions</w:t>
      </w:r>
      <w:r>
        <w:rPr>
          <w:rFonts w:ascii="Arial" w:cs="Arial" w:eastAsia="Arial" w:hAnsi="Arial"/>
          <w:sz w:val="18"/>
          <w:szCs w:val="18"/>
          <w:color w:val="auto"/>
        </w:rPr>
        <w:t>—the basis adjustments,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any related increase in any tax deductions, is directly related to the price of shares of our Class A common stock at the time of the closing of this offering and each redemption;</w:t>
      </w:r>
    </w:p>
    <w:p>
      <w:pPr>
        <w:spacing w:after="0" w:line="88" w:lineRule="exact"/>
        <w:rPr>
          <w:rFonts w:ascii="Arial" w:cs="Arial" w:eastAsia="Arial" w:hAnsi="Arial"/>
          <w:sz w:val="18"/>
          <w:szCs w:val="18"/>
          <w:color w:val="auto"/>
        </w:rPr>
      </w:pPr>
    </w:p>
    <w:p>
      <w:pPr>
        <w:ind w:left="1180" w:right="80" w:hanging="538"/>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the timing of any redemptions</w:t>
      </w:r>
      <w:r>
        <w:rPr>
          <w:rFonts w:ascii="Arial" w:cs="Arial" w:eastAsia="Arial" w:hAnsi="Arial"/>
          <w:sz w:val="18"/>
          <w:szCs w:val="18"/>
          <w:color w:val="auto"/>
        </w:rPr>
        <w:t>—for instance, the increase in any tax deductions will vary depending on the fair value, which may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180" w:right="480" w:hanging="538"/>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are taxable</w:t>
      </w:r>
      <w:r>
        <w:rPr>
          <w:rFonts w:ascii="Arial" w:cs="Arial" w:eastAsia="Arial" w:hAnsi="Arial"/>
          <w:sz w:val="18"/>
          <w:szCs w:val="18"/>
          <w:color w:val="auto"/>
        </w:rPr>
        <w:t>—if a redemption is not taxable for any reason, increased tax deductions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75" w:lineRule="exact"/>
        <w:rPr>
          <w:rFonts w:ascii="Arial" w:cs="Arial" w:eastAsia="Arial" w:hAnsi="Arial"/>
          <w:sz w:val="18"/>
          <w:szCs w:val="18"/>
          <w:color w:val="auto"/>
        </w:rPr>
      </w:pPr>
    </w:p>
    <w:p>
      <w:pPr>
        <w:ind w:left="1180" w:hanging="538"/>
        <w:spacing w:after="0" w:line="293" w:lineRule="auto"/>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200" w:hanging="538"/>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any future changes in federal tax laws</w:t>
      </w:r>
      <w:r>
        <w:rPr>
          <w:rFonts w:ascii="Arial" w:cs="Arial" w:eastAsia="Arial" w:hAnsi="Arial"/>
          <w:sz w:val="18"/>
          <w:szCs w:val="18"/>
          <w:color w:val="auto"/>
        </w:rPr>
        <w:t>—if future changes in federal tax laws result in changes in the amount and timing of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changes to interest expense limitations); and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any future changes in federal corporate income tax rates.</w:t>
      </w:r>
    </w:p>
    <w:p>
      <w:pPr>
        <w:spacing w:after="0" w:line="225" w:lineRule="exact"/>
        <w:rPr>
          <w:sz w:val="20"/>
          <w:szCs w:val="20"/>
          <w:color w:val="auto"/>
        </w:rPr>
      </w:pPr>
    </w:p>
    <w:p>
      <w:pPr>
        <w:ind w:left="220" w:right="20" w:firstLine="440"/>
        <w:spacing w:after="0" w:line="287"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(using assumed state and local tax rates on a base equal to the U.S. federal taxable income of BellRing Brands, Inc.) to the amount of such taxes that we would have been required to pay had there been no basis adjustments, or disproportionate allocations of tax benefits to BellRing Brands, Inc. as a result of Section 704(c) of the Code, and had the tax receivable agreement not been entered into. The tax receivable agreement will generally apply to each of our taxable years, beginning with the first taxable year ending after the consummation of this offering. There is no maximum term for the tax receivable agreement; however, the tax receivable agreement may be voluntarily terminated by a majority of our independent directors pursuant to an early termination procedure and will be terminated upon the occurrence of certain mergers, asset sales, other forms of business combination or other changes of control (but specifically excluding any distributions by Post of its retained beneficial interest in BellRing Brands, LLC by means of a spin-off to its shareholders) or our material breach of our material obligations under the tax receivable agreement, and in each case we will be obligated to pay Post (and its transferees and assignees) an agreed upon amount equal to the estimated present value of the remaining payments to be made under the tax receivable agreement (calculated based on certain assumptions, including regarding tax rates and utilization of the basis adjustments).</w:t>
      </w:r>
    </w:p>
    <w:p>
      <w:pPr>
        <w:spacing w:after="0" w:line="170"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 – including tax-free “spin-off” or “split-off” transactions (which are not expected to result in adjustments to the tax basis of the assets of BellRing Brands, LLC). Post (or its transferees or assignees) may nevertheless determine to engage in redemptions or exchanges in its sole discretion.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65" w:lineRule="exact"/>
        <w:rPr>
          <w:sz w:val="20"/>
          <w:szCs w:val="20"/>
          <w:color w:val="auto"/>
        </w:rPr>
      </w:pPr>
    </w:p>
    <w:p>
      <w:pPr>
        <w:ind w:left="220" w:right="140" w:firstLine="440"/>
        <w:spacing w:after="0" w:line="279"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Post (or its assignees or transferees)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70"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The tax receivable agreement will provide that, upon a merger, asset sale or other form of business combination or certain other changes of control or if, at any time, a majority of our independent directors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As a result of the foregoing, we would be required to make an immediate cash payment equal to the estimated present value of the anticipated future tax benefits that are the subject of the tax receivable agreement (using a discount rate equal to the lesser of 6.5% per annum, compounded annually, and LIBOR plus 300 basis points), which payment may be made significantly in advance of the actual realization, if</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291" w:lineRule="auto"/>
        <w:rPr>
          <w:sz w:val="20"/>
          <w:szCs w:val="20"/>
          <w:color w:val="auto"/>
        </w:rPr>
      </w:pPr>
      <w:r>
        <w:rPr>
          <w:rFonts w:ascii="Arial" w:cs="Arial" w:eastAsia="Arial" w:hAnsi="Arial"/>
          <w:sz w:val="16"/>
          <w:szCs w:val="16"/>
          <w:color w:val="auto"/>
        </w:rPr>
        <w:t>any, of those future tax benefits and, therefore, we could be required to make payments under the tax receivable agreement that are greater than the specified percentage of the actual tax benefits we ultimately realize.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Such obligations under the tax receivable agreement, however, would not arise if Post distributes its beneficial retained interest in BellRing Brands, LLC by means of a spin-off to its shareholders. For an illustration of the amount, based upon certain assumptions, that would be payable by BellRing Brands, Inc. under the tax receivable agreement if a majority of our independent directors were to elect to terminate the tax receivable agreement immediately after this offering, see “Unaudited Pro Forma Condensed Consolidated Financial Information.”</w:t>
      </w:r>
    </w:p>
    <w:p>
      <w:pPr>
        <w:spacing w:after="0" w:line="165"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If the outcome of any such challenge would reasonably be expected to materially affect a recipient’s payments under the tax receivable agreement, then we will not be permitted to settle or to fail to contest such challenge without the consent (not to be unreasonably withheld or delayed) of Post (and its transferees and assignees), and any such restrictions will apply for as long as the tax receivable agreement remains in effect.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86" w:lineRule="exact"/>
        <w:rPr>
          <w:sz w:val="20"/>
          <w:szCs w:val="20"/>
          <w:color w:val="auto"/>
        </w:rPr>
      </w:pPr>
    </w:p>
    <w:p>
      <w:pPr>
        <w:ind w:left="220" w:right="160" w:firstLine="440"/>
        <w:spacing w:after="0" w:line="296"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w:t>
      </w:r>
    </w:p>
    <w:p>
      <w:pPr>
        <w:spacing w:after="0" w:line="160" w:lineRule="exact"/>
        <w:rPr>
          <w:sz w:val="20"/>
          <w:szCs w:val="20"/>
          <w:color w:val="auto"/>
        </w:rPr>
      </w:pPr>
    </w:p>
    <w:p>
      <w:pPr>
        <w:ind w:left="220" w:right="80" w:firstLine="440"/>
        <w:spacing w:after="0" w:line="286"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its ownership of BellRing Brands, LLC Units, and will have no independent means of generating revenue or cash flow. We expect that BellRing Brands, LLC will make distributions pro rata to holders of BellRing Brands, LLC Units in an amount sufficient to allow us to pay our tax obligations in respect of taxable income allocated to us from BellRing Brands, LLC, any payments due under the tax receivable agreement and our operating expenses, which could be significant.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If BellRing Brands, LLC does not distribute sufficient funds for us to pay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256" w:lineRule="auto"/>
        <w:rPr>
          <w:sz w:val="20"/>
          <w:szCs w:val="20"/>
          <w:color w:val="auto"/>
        </w:rPr>
      </w:pPr>
      <w:r>
        <w:rPr>
          <w:rFonts w:ascii="Arial" w:cs="Arial" w:eastAsia="Arial" w:hAnsi="Arial"/>
          <w:sz w:val="18"/>
          <w:szCs w:val="18"/>
          <w:color w:val="auto"/>
        </w:rPr>
        <w:t>our operating expenses, including taxes and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could result in the acceleration of payments due under the tax receivable agreement.</w:t>
      </w:r>
    </w:p>
    <w:p>
      <w:pPr>
        <w:spacing w:after="0" w:line="191" w:lineRule="exact"/>
        <w:rPr>
          <w:sz w:val="20"/>
          <w:szCs w:val="20"/>
          <w:color w:val="auto"/>
        </w:rPr>
      </w:pPr>
    </w:p>
    <w:p>
      <w:pPr>
        <w:ind w:left="220" w:right="40" w:firstLine="440"/>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0" w:lineRule="exact"/>
        <w:rPr>
          <w:sz w:val="20"/>
          <w:szCs w:val="20"/>
          <w:color w:val="auto"/>
        </w:rPr>
      </w:pPr>
    </w:p>
    <w:p>
      <w:pPr>
        <w:ind w:left="2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Inc. and BellRing Brands, LLC will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 matters agreement 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6"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consolidated, combined, unitary or separate tax returns of BellRing Brands, LLC or any of its subsidiaries as determined under the tax matters agreement. In the event that BellRing Brands, Inc. is included in any consolidated, combined or unitary tax return of Post or any of its subsidiaries, then to the extent Post is required to pay any taxes of BellRing Brands, Inc. that are not otherwise attributable to BellRing Brands, LLC or its subsidiaries, or any separate tax attributes of Post or its subsidiaries (other than us) are used to offset such taxes, Post and BellRing Brands, Inc. will be responsible for such taxes as if BellRing Brands, Inc. were BellRing Brands, LLC.</w:t>
      </w:r>
    </w:p>
    <w:p>
      <w:pPr>
        <w:spacing w:after="0" w:line="164"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Under the tax matters agreement, for so long as BellRing Brands, LLC or any of its subsidiaries are includable in any consolidated income tax return required to be filed by Post, Post will maintain separate calculations of the separate taxes and tax attributes of BellRing Brands, LLC and its subsidiaries, on the one hand, and Post and each person required to join in a tax return on a consolidated, combined or unitary basis (other than BellRing Brands, LLC and its subsidiaries), on the other hand. To the extent that BellRing Brands, LLC or any of its subsidiaries are required to be included in any consolidated income tax return required to be filed by Post, Post will prepare and file (or cause to be prepared and filed) each such return and will pay or cause to be paid all taxes due in respect thereof. In such event, BellRing Brands, LLC will pay to Post an amount of any taxes attributable to BellRing Brands, LLC and its subsidiaries that are actually paid by Post in respect of any</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71" w:lineRule="auto"/>
        <w:rPr>
          <w:sz w:val="20"/>
          <w:szCs w:val="20"/>
          <w:color w:val="auto"/>
        </w:rPr>
      </w:pPr>
      <w:r>
        <w:rPr>
          <w:rFonts w:ascii="Arial" w:cs="Arial" w:eastAsia="Arial" w:hAnsi="Arial"/>
          <w:sz w:val="17"/>
          <w:szCs w:val="17"/>
          <w:color w:val="auto"/>
        </w:rPr>
        <w:t>such return, subject to certain offsets or additional payments relating to tax liability that is reduced by separate tax attributes of one group or another to the extent the tax liability for a later tax period is greater than it would have been had such separate tax attribute not been used to reduce tax liability in a prior tax period. In the event of an audit of Post, on the one hand, or BellRing Brands, LLC or any of its subsidiaries, on the other hand, the entity being audited will notify the other party of, and keep it reasonably informed with respect to, the portion of such audit the outcome of which is reasonably expected to affect the other party’s rights and obligations under the tax matters agreement. The other party will have the right to participate in (but not control) and to monitor any such portion of such audit at its own expense, and the audited party will not settle or fail to contest any issue reasonably expected to materially affect the other party’s rights or obligations under the agreement without the other party’s prior written consent, such consent not to be unreasonably withheld, conditioned or delayed.</w:t>
      </w:r>
    </w:p>
    <w:p>
      <w:pPr>
        <w:spacing w:after="0" w:line="177" w:lineRule="exact"/>
        <w:rPr>
          <w:sz w:val="20"/>
          <w:szCs w:val="20"/>
          <w:color w:val="auto"/>
        </w:rPr>
      </w:pPr>
    </w:p>
    <w:p>
      <w:pPr>
        <w:jc w:val="both"/>
        <w:ind w:left="220" w:right="1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Master Services Agreement. </w:t>
      </w:r>
      <w:r>
        <w:rPr>
          <w:rFonts w:ascii="Arial" w:cs="Arial" w:eastAsia="Arial" w:hAnsi="Arial"/>
          <w:sz w:val="18"/>
          <w:szCs w:val="18"/>
          <w:color w:val="auto"/>
        </w:rPr>
        <w:t>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master services agreement with Post, pursuant to which we and Post currently expect that Post will provide some combination of the following services, among others, to us following completion of this offering:</w:t>
      </w:r>
    </w:p>
    <w:p>
      <w:pPr>
        <w:spacing w:after="0" w:line="88" w:lineRule="exact"/>
        <w:rPr>
          <w:sz w:val="20"/>
          <w:szCs w:val="20"/>
          <w:color w:val="auto"/>
        </w:rPr>
      </w:pPr>
    </w:p>
    <w:p>
      <w:pPr>
        <w:ind w:left="1180" w:right="600" w:hanging="538"/>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leasing/subleasing of office and/or data center space;</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220" w:right="40" w:firstLine="440"/>
        <w:spacing w:after="0" w:line="289" w:lineRule="auto"/>
        <w:rPr>
          <w:sz w:val="20"/>
          <w:szCs w:val="20"/>
          <w:color w:val="auto"/>
        </w:rPr>
      </w:pPr>
      <w:r>
        <w:rPr>
          <w:rFonts w:ascii="Arial" w:cs="Arial" w:eastAsia="Arial" w:hAnsi="Arial"/>
          <w:sz w:val="16"/>
          <w:szCs w:val="16"/>
          <w:color w:val="auto"/>
        </w:rPr>
        <w:t>The charges for these services will be agreed upon prior to the completion of this offering. In general, the services to be provided by Post will begin on the date of the completion of this offering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BellRing Brands, Inc. or the sale of all or substantially all of the consolidated assets of Post or BellRing Brands, Inc., (ii) any services provided to a subsidiary of BellRing Brands, Inc. in the event of a change of control of the subsidiary or the sale of all or substantially all of its assets, (iii) any services provided to a business line or operating division of BellRing Brands, Inc. or its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220" w:right="80" w:firstLine="440"/>
        <w:spacing w:after="0" w:line="275" w:lineRule="auto"/>
        <w:rPr>
          <w:sz w:val="20"/>
          <w:szCs w:val="20"/>
          <w:color w:val="auto"/>
        </w:rPr>
      </w:pPr>
      <w:r>
        <w:rPr>
          <w:rFonts w:ascii="Arial" w:cs="Arial" w:eastAsia="Arial" w:hAnsi="Arial"/>
          <w:sz w:val="17"/>
          <w:szCs w:val="17"/>
          <w:color w:val="auto"/>
        </w:rPr>
        <w:t>Upon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5"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8" w:lineRule="exact"/>
        <w:rPr>
          <w:sz w:val="20"/>
          <w:szCs w:val="20"/>
          <w:color w:val="auto"/>
        </w:rPr>
      </w:pPr>
    </w:p>
    <w:p>
      <w:pPr>
        <w:ind w:left="1180" w:right="220" w:hanging="538"/>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360" w:hanging="538"/>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240" w:top="459" w:right="5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w:t>
      </w:r>
    </w:p>
    <w:p>
      <w:pPr>
        <w:spacing w:after="0" w:line="210" w:lineRule="exact"/>
        <w:rPr>
          <w:sz w:val="20"/>
          <w:szCs w:val="20"/>
          <w:color w:val="auto"/>
        </w:rPr>
      </w:pPr>
    </w:p>
    <w:p>
      <w:pPr>
        <w:ind w:left="220" w:right="180" w:firstLine="440"/>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6"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5" w:lineRule="exact"/>
        <w:rPr>
          <w:sz w:val="20"/>
          <w:szCs w:val="20"/>
          <w:color w:val="auto"/>
        </w:rPr>
      </w:pPr>
    </w:p>
    <w:p>
      <w:pPr>
        <w:ind w:left="1180" w:hanging="538"/>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1180" w:right="240" w:hanging="538"/>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1180" w:right="360" w:hanging="538"/>
        <w:spacing w:after="0" w:line="290" w:lineRule="auto"/>
        <w:tabs>
          <w:tab w:leader="none" w:pos="11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w:t>
      </w:r>
    </w:p>
    <w:p>
      <w:pPr>
        <w:spacing w:after="0" w:line="1" w:lineRule="exact"/>
        <w:rPr>
          <w:rFonts w:ascii="Arial" w:cs="Arial" w:eastAsia="Arial" w:hAnsi="Arial"/>
          <w:sz w:val="16"/>
          <w:szCs w:val="16"/>
          <w:color w:val="auto"/>
        </w:rPr>
      </w:pPr>
    </w:p>
    <w:p>
      <w:pPr>
        <w:ind w:left="1180" w:right="340" w:firstLine="2"/>
        <w:spacing w:after="0" w:line="260" w:lineRule="auto"/>
        <w:tabs>
          <w:tab w:leader="none" w:pos="143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for U.S. federal income tax purposes.</w:t>
      </w:r>
    </w:p>
    <w:p>
      <w:pPr>
        <w:spacing w:after="0" w:line="185" w:lineRule="exact"/>
        <w:rPr>
          <w:sz w:val="20"/>
          <w:szCs w:val="20"/>
          <w:color w:val="auto"/>
        </w:rPr>
      </w:pPr>
    </w:p>
    <w:p>
      <w:pPr>
        <w:ind w:left="220" w:right="340" w:firstLine="440"/>
        <w:spacing w:after="0" w:line="311"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8"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3"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20" w:right="40" w:firstLine="440"/>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4"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spacing w:after="0" w:line="2" w:lineRule="exact"/>
        <w:rPr>
          <w:sz w:val="20"/>
          <w:szCs w:val="20"/>
          <w:color w:val="auto"/>
        </w:rPr>
      </w:pPr>
    </w:p>
    <w:p>
      <w:pPr>
        <w:ind w:left="220" w:right="200" w:hanging="10"/>
        <w:spacing w:after="0" w:line="271" w:lineRule="auto"/>
        <w:tabs>
          <w:tab w:leader="none" w:pos="47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7" w:lineRule="exact"/>
        <w:rPr>
          <w:sz w:val="20"/>
          <w:szCs w:val="20"/>
          <w:color w:val="auto"/>
        </w:rPr>
      </w:pPr>
    </w:p>
    <w:p>
      <w:pPr>
        <w:ind w:left="220" w:right="40" w:firstLine="440"/>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24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8" w:lineRule="exact"/>
        <w:rPr>
          <w:sz w:val="20"/>
          <w:szCs w:val="20"/>
          <w:color w:val="auto"/>
        </w:rPr>
      </w:pPr>
    </w:p>
    <w:p>
      <w:pPr>
        <w:ind w:left="1180" w:hanging="538"/>
        <w:spacing w:after="0" w:line="277"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180" w:right="160" w:hanging="538"/>
        <w:spacing w:after="0" w:line="277"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180" w:right="160" w:hanging="538"/>
        <w:spacing w:after="0" w:line="263"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3"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3"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6" w:lineRule="exact"/>
        <w:rPr>
          <w:sz w:val="20"/>
          <w:szCs w:val="20"/>
          <w:color w:val="auto"/>
        </w:rPr>
      </w:pPr>
    </w:p>
    <w:p>
      <w:pPr>
        <w:ind w:left="220" w:right="280" w:firstLine="440"/>
        <w:spacing w:after="0" w:line="296"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7" w:lineRule="exact"/>
        <w:rPr>
          <w:sz w:val="20"/>
          <w:szCs w:val="20"/>
          <w:color w:val="auto"/>
        </w:rPr>
      </w:pPr>
    </w:p>
    <w:p>
      <w:pPr>
        <w:ind w:left="1180" w:hanging="538"/>
        <w:spacing w:after="0"/>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1" w:lineRule="exact"/>
        <w:rPr>
          <w:rFonts w:ascii="Arial" w:cs="Arial" w:eastAsia="Arial" w:hAnsi="Arial"/>
          <w:sz w:val="17"/>
          <w:szCs w:val="17"/>
          <w:color w:val="auto"/>
        </w:rPr>
      </w:pPr>
    </w:p>
    <w:p>
      <w:pPr>
        <w:ind w:left="1180" w:hanging="538"/>
        <w:spacing w:after="0" w:line="341" w:lineRule="auto"/>
        <w:tabs>
          <w:tab w:leader="none" w:pos="11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5" w:lineRule="exact"/>
        <w:rPr>
          <w:sz w:val="20"/>
          <w:szCs w:val="20"/>
          <w:color w:val="auto"/>
        </w:rPr>
      </w:pPr>
    </w:p>
    <w:p>
      <w:pPr>
        <w:ind w:left="220" w:right="160" w:firstLine="440"/>
        <w:spacing w:after="0" w:line="311"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8" w:lineRule="exact"/>
        <w:rPr>
          <w:sz w:val="20"/>
          <w:szCs w:val="20"/>
          <w:color w:val="auto"/>
        </w:rPr>
      </w:pPr>
    </w:p>
    <w:p>
      <w:pPr>
        <w:jc w:val="both"/>
        <w:ind w:left="220" w:right="120" w:firstLine="44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20" w:right="220" w:firstLine="440"/>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Citigroup Global Markets Inc., J.P. Morgan Securities LLC and Goldman Sachs &amp; Co. LLC are acting as representatives, have severally agreed to purchase, and we have agreed to sell to them, severally, the number of shares of Class A common stock indicated below:</w:t>
      </w:r>
    </w:p>
    <w:p>
      <w:pPr>
        <w:spacing w:after="0" w:line="192" w:lineRule="exact"/>
        <w:rPr>
          <w:sz w:val="20"/>
          <w:szCs w:val="20"/>
          <w:color w:val="auto"/>
        </w:rPr>
      </w:pPr>
    </w:p>
    <w:tbl>
      <w:tblPr>
        <w:tblLayout w:type="fixed"/>
        <w:tblInd w:w="422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480" w:type="dxa"/>
            <w:vAlign w:val="bottom"/>
          </w:tcPr>
          <w:p>
            <w:pPr>
              <w:jc w:val="center"/>
              <w:ind w:left="1648"/>
              <w:spacing w:after="0"/>
              <w:rPr>
                <w:sz w:val="20"/>
                <w:szCs w:val="20"/>
                <w:color w:val="auto"/>
              </w:rPr>
            </w:pPr>
            <w:r>
              <w:rPr>
                <w:rFonts w:ascii="Arial" w:cs="Arial" w:eastAsia="Arial" w:hAnsi="Arial"/>
                <w:sz w:val="14"/>
                <w:szCs w:val="14"/>
                <w:b w:val="1"/>
                <w:bCs w:val="1"/>
                <w:color w:val="auto"/>
                <w:w w:val="91"/>
              </w:rPr>
              <w:t>Number of Shares of Class A</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480" w:type="dxa"/>
            <w:vAlign w:val="bottom"/>
          </w:tcPr>
          <w:p>
            <w:pPr>
              <w:jc w:val="center"/>
              <w:ind w:left="1668"/>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-8890</wp:posOffset>
            </wp:positionV>
            <wp:extent cx="524256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42560" cy="14541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Evercore Group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Rabo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5715</wp:posOffset>
            </wp:positionV>
            <wp:extent cx="524256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4256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5715</wp:posOffset>
            </wp:positionV>
            <wp:extent cx="11220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14605</wp:posOffset>
            </wp:positionV>
            <wp:extent cx="11220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31750</wp:posOffset>
            </wp:positionV>
            <wp:extent cx="11220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259"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3" w:lineRule="exact"/>
        <w:rPr>
          <w:sz w:val="20"/>
          <w:szCs w:val="20"/>
          <w:color w:val="auto"/>
        </w:rPr>
      </w:pPr>
    </w:p>
    <w:p>
      <w:pPr>
        <w:ind w:left="220" w:right="240" w:firstLine="440"/>
        <w:spacing w:after="0" w:line="290"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spacing w:after="0" w:line="1" w:lineRule="exact"/>
        <w:rPr>
          <w:sz w:val="20"/>
          <w:szCs w:val="20"/>
          <w:color w:val="auto"/>
        </w:rPr>
      </w:pPr>
    </w:p>
    <w:p>
      <w:pPr>
        <w:ind w:left="220" w:right="20" w:hanging="10"/>
        <w:spacing w:after="0" w:line="255" w:lineRule="auto"/>
        <w:tabs>
          <w:tab w:leader="none" w:pos="6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Certain of the underwriters may offer and sell the Class A common stock through one or more of their respective affiliates or selling agents.</w:t>
      </w:r>
    </w:p>
    <w:p>
      <w:pPr>
        <w:spacing w:after="0" w:line="189"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show the per share and total public offering price, underwriting discounts and commissions, and proceeds before expenses to</w:t>
      </w:r>
    </w:p>
    <w:p>
      <w:pPr>
        <w:spacing w:after="0" w:line="46" w:lineRule="exact"/>
        <w:rPr>
          <w:sz w:val="20"/>
          <w:szCs w:val="20"/>
          <w:color w:val="auto"/>
        </w:rPr>
      </w:pPr>
    </w:p>
    <w:p>
      <w:pPr>
        <w:ind w:left="220" w:right="100"/>
        <w:spacing w:after="0" w:line="260" w:lineRule="auto"/>
        <w:rPr>
          <w:sz w:val="20"/>
          <w:szCs w:val="20"/>
          <w:color w:val="auto"/>
        </w:rPr>
      </w:pPr>
      <w:r>
        <w:rPr>
          <w:rFonts w:ascii="Arial" w:cs="Arial" w:eastAsia="Arial" w:hAnsi="Arial"/>
          <w:sz w:val="18"/>
          <w:szCs w:val="18"/>
          <w:color w:val="auto"/>
        </w:rPr>
        <w:t>us. Such amounts are shown assuming both no exercise and full exercise of the underwriters’ option to purchase up to an additional shares of Class A common stock.</w:t>
      </w:r>
    </w:p>
    <w:p>
      <w:pPr>
        <w:spacing w:after="0" w:line="19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 Share</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No Exercise</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or FINRA, up to $ .</w:t>
      </w:r>
    </w:p>
    <w:p>
      <w:pPr>
        <w:spacing w:after="0" w:line="183" w:lineRule="exact"/>
        <w:rPr>
          <w:sz w:val="20"/>
          <w:szCs w:val="20"/>
          <w:color w:val="auto"/>
        </w:rPr>
      </w:pPr>
    </w:p>
    <w:p>
      <w:pPr>
        <w:jc w:val="both"/>
        <w:ind w:left="220" w:right="14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 of the total number of shares of Class A common stock offered by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have our Class A common stock approved for listing on the NYSE under the trading symbol “BRBR”.</w:t>
      </w:r>
    </w:p>
    <w:p>
      <w:pPr>
        <w:spacing w:after="0" w:line="225" w:lineRule="exact"/>
        <w:rPr>
          <w:sz w:val="20"/>
          <w:szCs w:val="20"/>
          <w:color w:val="auto"/>
        </w:rPr>
      </w:pPr>
    </w:p>
    <w:p>
      <w:pPr>
        <w:jc w:val="both"/>
        <w:ind w:left="220" w:right="120" w:firstLine="440"/>
        <w:spacing w:after="0" w:line="287"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spacing w:after="0" w:line="2" w:lineRule="exact"/>
        <w:rPr>
          <w:sz w:val="20"/>
          <w:szCs w:val="20"/>
          <w:color w:val="auto"/>
        </w:rPr>
      </w:pPr>
    </w:p>
    <w:p>
      <w:pPr>
        <w:ind w:left="220" w:right="180" w:hanging="10"/>
        <w:spacing w:after="0" w:line="260" w:lineRule="auto"/>
        <w:tabs>
          <w:tab w:leader="none" w:pos="5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90" w:lineRule="exact"/>
        <w:rPr>
          <w:rFonts w:ascii="Arial" w:cs="Arial" w:eastAsia="Arial" w:hAnsi="Arial"/>
          <w:sz w:val="18"/>
          <w:szCs w:val="18"/>
          <w:color w:val="auto"/>
        </w:rPr>
      </w:pPr>
    </w:p>
    <w:p>
      <w:pPr>
        <w:ind w:left="1180" w:right="80" w:hanging="538"/>
        <w:spacing w:after="0" w:line="263"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8" w:lineRule="exact"/>
        <w:rPr>
          <w:rFonts w:ascii="Arial" w:cs="Arial" w:eastAsia="Arial" w:hAnsi="Arial"/>
          <w:sz w:val="18"/>
          <w:szCs w:val="18"/>
          <w:color w:val="auto"/>
        </w:rPr>
      </w:pPr>
    </w:p>
    <w:p>
      <w:pPr>
        <w:ind w:left="1180" w:right="340" w:hanging="538"/>
        <w:spacing w:after="0" w:line="277"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180" w:right="160" w:hanging="538"/>
        <w:spacing w:after="0" w:line="277"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20" w:right="6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6" w:lineRule="exact"/>
        <w:rPr>
          <w:sz w:val="20"/>
          <w:szCs w:val="20"/>
          <w:color w:val="auto"/>
        </w:rPr>
      </w:pPr>
    </w:p>
    <w:p>
      <w:pPr>
        <w:jc w:val="both"/>
        <w:ind w:left="220" w:right="620" w:firstLine="440"/>
        <w:spacing w:after="0" w:line="341" w:lineRule="auto"/>
        <w:rPr>
          <w:sz w:val="20"/>
          <w:szCs w:val="20"/>
          <w:color w:val="auto"/>
        </w:rPr>
      </w:pPr>
      <w:r>
        <w:rPr>
          <w:rFonts w:ascii="Arial" w:cs="Arial" w:eastAsia="Arial" w:hAnsi="Arial"/>
          <w:sz w:val="16"/>
          <w:szCs w:val="16"/>
          <w:color w:val="auto"/>
        </w:rPr>
        <w:t>The restrictions in the immediately preceding paragraph do not apply to our directors, officers or other holders of our outstanding Class A common stock or other securities who are parties to the lock-up agreements in certain circumstances including, but not limited to, the following:</w:t>
      </w:r>
    </w:p>
    <w:p>
      <w:pPr>
        <w:spacing w:after="0" w:line="30" w:lineRule="exact"/>
        <w:rPr>
          <w:sz w:val="20"/>
          <w:szCs w:val="20"/>
          <w:color w:val="auto"/>
        </w:rPr>
      </w:pPr>
    </w:p>
    <w:p>
      <w:pPr>
        <w:ind w:left="5580" w:right="2320" w:hanging="4938"/>
        <w:spacing w:after="0" w:line="449" w:lineRule="auto"/>
        <w:tabs>
          <w:tab w:leader="none" w:pos="11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distributions of common stock or BellRing Brands, LLC Units to a party’s limited partners or stockholders; 174</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20" w:hanging="538"/>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transfers of common stock or BellRing Brands, LLC Units to any trust for the direct or indirect benefit of the party or his or her immediate family;</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w:t>
      </w:r>
    </w:p>
    <w:p>
      <w:pPr>
        <w:spacing w:after="0" w:line="141" w:lineRule="exact"/>
        <w:rPr>
          <w:rFonts w:ascii="Arial" w:cs="Arial" w:eastAsia="Arial" w:hAnsi="Arial"/>
          <w:sz w:val="17"/>
          <w:szCs w:val="17"/>
          <w:color w:val="auto"/>
        </w:rPr>
      </w:pPr>
    </w:p>
    <w:p>
      <w:pPr>
        <w:jc w:val="both"/>
        <w:ind w:left="1180" w:right="160" w:hanging="538"/>
        <w:spacing w:after="0" w:line="263"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surrenders of common stock or BellRing Brands, LLC Units to the Company in payment of the exercise price of any options to purchase common stock or BellRing Brands, LLC Units, or withholdings in respect of tax obligations of common stock or BellRing Brands, LLC Units which were issuable upon such exercise;</w:t>
      </w:r>
    </w:p>
    <w:p>
      <w:pPr>
        <w:spacing w:after="0" w:line="88" w:lineRule="exact"/>
        <w:rPr>
          <w:rFonts w:ascii="Arial" w:cs="Arial" w:eastAsia="Arial" w:hAnsi="Arial"/>
          <w:sz w:val="18"/>
          <w:szCs w:val="18"/>
          <w:color w:val="auto"/>
        </w:rPr>
      </w:pPr>
    </w:p>
    <w:p>
      <w:pPr>
        <w:ind w:left="1180" w:right="600" w:hanging="538"/>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sales or dispositions of shares of common stock solely for the purpose of sufficiently covering tax obligations which arise from the exercise or vesting of stock options or restricted stock units;</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offers and sales of common stock pursuant to this offering;</w:t>
      </w:r>
    </w:p>
    <w:p>
      <w:pPr>
        <w:spacing w:after="0" w:line="130" w:lineRule="exact"/>
        <w:rPr>
          <w:rFonts w:ascii="Arial" w:cs="Arial" w:eastAsia="Arial" w:hAnsi="Arial"/>
          <w:sz w:val="18"/>
          <w:szCs w:val="18"/>
          <w:color w:val="auto"/>
        </w:rPr>
      </w:pPr>
    </w:p>
    <w:p>
      <w:pPr>
        <w:ind w:left="1180" w:right="100" w:hanging="538"/>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recapitalization of the Company’s capital stock into shares of Class A common stock and one share of Class B common stock, and the redemption of BellRing Brands, LLC Units in exchange for shares of Class A common stock;</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transfers of common stock or BellRing Brands, LLC Units acquired in open market transactions after the completion of this offering; or</w:t>
      </w:r>
    </w:p>
    <w:p>
      <w:pPr>
        <w:spacing w:after="0" w:line="153" w:lineRule="exact"/>
        <w:rPr>
          <w:rFonts w:ascii="Arial" w:cs="Arial" w:eastAsia="Arial" w:hAnsi="Arial"/>
          <w:sz w:val="16"/>
          <w:szCs w:val="16"/>
          <w:color w:val="auto"/>
        </w:rPr>
      </w:pPr>
    </w:p>
    <w:p>
      <w:pPr>
        <w:ind w:left="1180" w:right="420" w:hanging="538"/>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offers or transfers of common stock pursuant to a bona fide third-party tender offer, merger, consolidation or similar transaction to all holders of the Company’s capital stock involving a change of control of the Company.</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lock-up restrictions described above do not apply to us with respect to certain transactions, including issuances (or contemplated issuances) of common stock (including securities convertible into or exercisable or exchangeable for common stock) in connection with an acquisition or strategic or minority investment transaction.</w:t>
      </w:r>
    </w:p>
    <w:p>
      <w:pPr>
        <w:spacing w:after="0" w:line="183" w:lineRule="exact"/>
        <w:rPr>
          <w:sz w:val="20"/>
          <w:szCs w:val="20"/>
          <w:color w:val="auto"/>
        </w:rPr>
      </w:pPr>
    </w:p>
    <w:p>
      <w:pPr>
        <w:ind w:left="220" w:firstLine="440"/>
        <w:spacing w:after="0" w:line="284" w:lineRule="auto"/>
        <w:rPr>
          <w:sz w:val="20"/>
          <w:szCs w:val="20"/>
          <w:color w:val="auto"/>
        </w:rPr>
      </w:pPr>
      <w:r>
        <w:rPr>
          <w:rFonts w:ascii="Arial" w:cs="Arial" w:eastAsia="Arial" w:hAnsi="Arial"/>
          <w:sz w:val="16"/>
          <w:szCs w:val="16"/>
          <w:color w:val="auto"/>
        </w:rPr>
        <w:t>Morgan Stanley &amp; Co. LLC, Citigroup Global Markets Inc., J.P. Morgan Securities LLC and Goldman Sachs &amp; Co. LLC, in their sole discretion, may release the common stock and other securities subject to the lock-up agreements described above in whole or in part at any time.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w:t>
      </w:r>
    </w:p>
    <w:p>
      <w:pPr>
        <w:spacing w:after="0" w:line="3" w:lineRule="exact"/>
        <w:rPr>
          <w:sz w:val="20"/>
          <w:szCs w:val="20"/>
          <w:color w:val="auto"/>
        </w:rPr>
      </w:pPr>
    </w:p>
    <w:p>
      <w:pPr>
        <w:ind w:left="220" w:right="100" w:hanging="10"/>
        <w:spacing w:after="0" w:line="255" w:lineRule="auto"/>
        <w:tabs>
          <w:tab w:leader="none" w:pos="4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89" w:lineRule="exact"/>
        <w:rPr>
          <w:sz w:val="20"/>
          <w:szCs w:val="20"/>
          <w:color w:val="auto"/>
        </w:rPr>
      </w:pPr>
    </w:p>
    <w:p>
      <w:pPr>
        <w:ind w:left="220" w:right="40" w:firstLine="440"/>
        <w:spacing w:after="0" w:line="271" w:lineRule="auto"/>
        <w:rPr>
          <w:sz w:val="20"/>
          <w:szCs w:val="20"/>
          <w:color w:val="auto"/>
        </w:rPr>
      </w:pPr>
      <w:r>
        <w:rPr>
          <w:rFonts w:ascii="Arial" w:cs="Arial" w:eastAsia="Arial" w:hAnsi="Arial"/>
          <w:sz w:val="17"/>
          <w:szCs w:val="17"/>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also may sell shares in excess of the option to purchase additional shares, creating a naked short position. The underwriters must close out any naked short position by purchasing shares in the open market. A</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24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20" w:firstLine="440"/>
        <w:spacing w:after="0" w:line="284" w:lineRule="auto"/>
        <w:rPr>
          <w:sz w:val="20"/>
          <w:szCs w:val="20"/>
          <w:color w:val="auto"/>
        </w:rPr>
      </w:pPr>
      <w:r>
        <w:rPr>
          <w:rFonts w:ascii="Arial" w:cs="Arial" w:eastAsia="Arial" w:hAnsi="Arial"/>
          <w:sz w:val="16"/>
          <w:szCs w:val="16"/>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w:t>
      </w:r>
    </w:p>
    <w:p>
      <w:pPr>
        <w:spacing w:after="0" w:line="3" w:lineRule="exact"/>
        <w:rPr>
          <w:sz w:val="20"/>
          <w:szCs w:val="20"/>
          <w:color w:val="auto"/>
        </w:rPr>
      </w:pPr>
    </w:p>
    <w:p>
      <w:pPr>
        <w:ind w:left="220" w:right="260"/>
        <w:spacing w:after="0" w:line="264" w:lineRule="auto"/>
        <w:rPr>
          <w:sz w:val="20"/>
          <w:szCs w:val="20"/>
          <w:color w:val="auto"/>
        </w:rPr>
      </w:pPr>
      <w:r>
        <w:rPr>
          <w:rFonts w:ascii="Arial" w:cs="Arial" w:eastAsia="Arial" w:hAnsi="Arial"/>
          <w:sz w:val="17"/>
          <w:szCs w:val="17"/>
          <w:color w:val="auto"/>
        </w:rPr>
        <w:t>prospectus forms a part. has agreed to act as qualified independent underwriter for the offering and to undertake the legal responsibilities and liabilities of an underwriter under the Securities Act, specifically including those inherent in Section 11 of the Securities Act. We will agree to</w:t>
      </w:r>
    </w:p>
    <w:p>
      <w:pPr>
        <w:spacing w:after="0" w:line="2" w:lineRule="exact"/>
        <w:rPr>
          <w:sz w:val="20"/>
          <w:szCs w:val="20"/>
          <w:color w:val="auto"/>
        </w:rPr>
      </w:pPr>
    </w:p>
    <w:p>
      <w:pPr>
        <w:ind w:left="220" w:right="60"/>
        <w:spacing w:after="0" w:line="253" w:lineRule="auto"/>
        <w:rPr>
          <w:sz w:val="20"/>
          <w:szCs w:val="20"/>
          <w:color w:val="auto"/>
        </w:rPr>
      </w:pPr>
      <w:r>
        <w:rPr>
          <w:rFonts w:ascii="Arial" w:cs="Arial" w:eastAsia="Arial" w:hAnsi="Arial"/>
          <w:sz w:val="18"/>
          <w:szCs w:val="18"/>
          <w:color w:val="auto"/>
        </w:rPr>
        <w:t>indemnify against liabilities incurred in connection with acting as qualified independent underwriter, including liabilities under the Securities Act. Moreover, none of Morgan Stanley &amp; Co. LLC, Citigroup Global Markets 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20" w:right="4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6" w:lineRule="exact"/>
        <w:rPr>
          <w:sz w:val="20"/>
          <w:szCs w:val="20"/>
          <w:color w:val="auto"/>
        </w:rPr>
      </w:pPr>
    </w:p>
    <w:p>
      <w:pPr>
        <w:ind w:left="220" w:right="200" w:firstLine="440"/>
        <w:spacing w:after="0" w:line="275"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color w:val="auto"/>
        </w:rPr>
        <w:t>views in respect of such securities or instruments and may at any time hold, or recommend to clients that they acquire, long or short positions in such securities and instruments.</w:t>
      </w:r>
    </w:p>
    <w:p>
      <w:pPr>
        <w:spacing w:after="0" w:line="170"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Furthermore, affiliates of Morgan Stanley &amp; Co. LLC, Citigroup Global Markets Inc., J.P. Morgan Securities LLC, Goldman Sachs &amp; Co. LLC, BofA Securities, Inc., Barclays Capital Inc., BMO Capital Markets Corp., Credit Suisse Securities (USA) LLC, SunTrust Robinson Humphrey, Inc., Wells Fargo Securities, LLC, Nomura Securities International, Inc., Rabo Securities USA, Inc. and UBS Securities LLC, each of which is acting as an underwriter in this offering, will act as joint lead arrangers or co-managers under a new term loan facility and a revolving credit facility that we expect to enter in connection with this offering.</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20" w:right="6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of our Class A common stock was determined through negotiations among us, Post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Post nor the underwriters can assure investors that an active trading market for the shares will develop, or that after the offering the shares will trade in the public market at or above the initial public offering price.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20" w:right="300" w:firstLine="440"/>
        <w:spacing w:after="0" w:line="311"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4" w:lineRule="exact"/>
        <w:rPr>
          <w:sz w:val="20"/>
          <w:szCs w:val="20"/>
          <w:color w:val="auto"/>
        </w:rPr>
      </w:pPr>
    </w:p>
    <w:p>
      <w:pPr>
        <w:ind w:left="1180" w:hanging="538"/>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1180" w:right="240" w:hanging="538"/>
        <w:spacing w:after="0" w:line="277"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220" w:right="60" w:firstLine="440"/>
        <w:spacing w:after="0" w:line="296"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color w:val="auto"/>
        </w:rPr>
        <w:t>In the U.K., this prospectus is only addressed to and directed at qualified investors who are: (i) investment professionals falling within Article 19(5) of the Financial Services and Markets Act 2000 (Financial Promotion)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Order 2005 (the “Order”); or (ii) high-net-worth entities and other persons to whom it may lawfully be communicated, falling within Article 49(2)(a) to</w:t>
      </w:r>
    </w:p>
    <w:p>
      <w:pPr>
        <w:spacing w:after="0" w:line="46" w:lineRule="exact"/>
        <w:rPr>
          <w:sz w:val="20"/>
          <w:szCs w:val="20"/>
          <w:color w:val="auto"/>
        </w:rPr>
      </w:pPr>
    </w:p>
    <w:p>
      <w:pPr>
        <w:ind w:left="220" w:hanging="10"/>
        <w:spacing w:after="0" w:line="255" w:lineRule="auto"/>
        <w:tabs>
          <w:tab w:leader="none" w:pos="4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20" w:right="6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60" w:lineRule="exact"/>
        <w:rPr>
          <w:sz w:val="20"/>
          <w:szCs w:val="20"/>
          <w:color w:val="auto"/>
        </w:rPr>
      </w:pPr>
    </w:p>
    <w:p>
      <w:pPr>
        <w:ind w:left="220" w:right="160" w:firstLine="440"/>
        <w:spacing w:after="0" w:line="256"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20" w:right="26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6" w:lineRule="exact"/>
        <w:rPr>
          <w:sz w:val="20"/>
          <w:szCs w:val="20"/>
          <w:color w:val="auto"/>
        </w:rPr>
      </w:pPr>
    </w:p>
    <w:p>
      <w:pPr>
        <w:jc w:val="both"/>
        <w:ind w:left="220" w:right="180" w:firstLine="440"/>
        <w:spacing w:after="0" w:line="263"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0"/>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6" w:lineRule="exact"/>
        <w:rPr>
          <w:sz w:val="20"/>
          <w:szCs w:val="20"/>
          <w:color w:val="auto"/>
        </w:rPr>
      </w:pPr>
    </w:p>
    <w:p>
      <w:pPr>
        <w:ind w:left="2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6"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20" w:right="220" w:firstLine="440"/>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87" w:lineRule="auto"/>
        <w:rPr>
          <w:sz w:val="20"/>
          <w:szCs w:val="20"/>
          <w:color w:val="auto"/>
        </w:rPr>
      </w:pPr>
      <w:r>
        <w:rPr>
          <w:rFonts w:ascii="Arial" w:cs="Arial" w:eastAsia="Arial" w:hAnsi="Arial"/>
          <w:sz w:val="16"/>
          <w:szCs w:val="16"/>
          <w:color w:val="auto"/>
        </w:rPr>
        <w:t>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2" w:lineRule="exact"/>
        <w:rPr>
          <w:sz w:val="20"/>
          <w:szCs w:val="20"/>
          <w:color w:val="auto"/>
        </w:rPr>
      </w:pPr>
    </w:p>
    <w:p>
      <w:pPr>
        <w:ind w:left="220" w:right="320" w:hanging="10"/>
        <w:spacing w:after="0" w:line="260" w:lineRule="auto"/>
        <w:tabs>
          <w:tab w:leader="none" w:pos="5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5"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that is a trust (where the trustee is not an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six months after that trust has acquired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shares under Section 275 of the SFA, except: (i) to an institutional investor under Section 274 of the SFA or to a relevant person (as defined in</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Section 275(2) of the SFA); (ii) where such transfer arises from an offer that is made on terms that such rights or interest are acquired for consideration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securities or other assets); (iii) where no consideration is or will be given for the transfer; (iv) where the transfer is by operation of law; (v) as specified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Section 276(7) of the SFA; or (vi) as specified in Regulation 32.</w:t>
      </w:r>
    </w:p>
    <w:p>
      <w:pPr>
        <w:spacing w:after="0" w:line="210" w:lineRule="exact"/>
        <w:rPr>
          <w:sz w:val="20"/>
          <w:szCs w:val="20"/>
          <w:color w:val="auto"/>
        </w:rPr>
      </w:pPr>
    </w:p>
    <w:p>
      <w:pPr>
        <w:ind w:left="220" w:right="60" w:firstLine="440"/>
        <w:spacing w:after="0" w:line="279" w:lineRule="auto"/>
        <w:rPr>
          <w:sz w:val="20"/>
          <w:szCs w:val="20"/>
          <w:color w:val="auto"/>
        </w:rPr>
      </w:pPr>
      <w:r>
        <w:rPr>
          <w:rFonts w:ascii="Arial" w:cs="Arial" w:eastAsia="Arial" w:hAnsi="Arial"/>
          <w:sz w:val="17"/>
          <w:szCs w:val="17"/>
          <w:color w:val="auto"/>
        </w:rPr>
        <w:t>Solely for the purposes of its obligations pursuant to Sections 309B(1)(a) and 309B(1)(c) of the SFA, the Company has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20" w:right="20" w:firstLine="440"/>
        <w:spacing w:after="0" w:line="311"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20" w:right="460" w:firstLine="440"/>
        <w:spacing w:after="0" w:line="263" w:lineRule="auto"/>
        <w:rPr>
          <w:sz w:val="20"/>
          <w:szCs w:val="20"/>
          <w:color w:val="auto"/>
        </w:rPr>
      </w:pPr>
      <w:r>
        <w:rPr>
          <w:rFonts w:ascii="Arial" w:cs="Arial" w:eastAsia="Arial" w:hAnsi="Arial"/>
          <w:sz w:val="18"/>
          <w:szCs w:val="18"/>
          <w:color w:val="auto"/>
        </w:rPr>
        <w:t>The balance sheet of BellRing Brands, Inc. as of August 7, 2019 included in this prospectus has been so included in reliance on the report of PricewaterhouseCoopers LLP, an independent registered public accounting firm, given on the authority of said firm as experts in auditing and accounting.</w:t>
      </w:r>
    </w:p>
    <w:p>
      <w:pPr>
        <w:spacing w:after="0" w:line="183"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93" w:lineRule="exact"/>
        <w:rPr>
          <w:sz w:val="20"/>
          <w:szCs w:val="20"/>
          <w:color w:val="auto"/>
        </w:rPr>
      </w:pPr>
    </w:p>
    <w:p>
      <w:pPr>
        <w:jc w:val="both"/>
        <w:ind w:left="220" w:right="200" w:firstLine="440"/>
        <w:spacing w:after="0" w:line="263"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3"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audited combined financial statements and the notes thereto certified by an independent public accounting firm.</w:t>
      </w:r>
    </w:p>
    <w:p>
      <w:pPr>
        <w:spacing w:after="0" w:line="186" w:lineRule="exact"/>
        <w:rPr>
          <w:sz w:val="20"/>
          <w:szCs w:val="20"/>
          <w:color w:val="auto"/>
        </w:rPr>
      </w:pPr>
    </w:p>
    <w:p>
      <w:pPr>
        <w:jc w:val="center"/>
        <w:ind w:left="300" w:right="600"/>
        <w:spacing w:after="0" w:line="449" w:lineRule="auto"/>
        <w:rPr>
          <w:sz w:val="20"/>
          <w:szCs w:val="20"/>
          <w:color w:val="auto"/>
        </w:rPr>
      </w:pPr>
      <w:r>
        <w:rPr>
          <w:rFonts w:ascii="Arial" w:cs="Arial" w:eastAsia="Arial" w:hAnsi="Arial"/>
          <w:sz w:val="18"/>
          <w:szCs w:val="18"/>
          <w:color w:val="auto"/>
        </w:rPr>
        <w:t>We also maintain an internet website at www.bellring.com. Information on or accessible through our website is not part of this prospectus. 181</w:t>
      </w:r>
    </w:p>
    <w:p>
      <w:pPr>
        <w:sectPr>
          <w:pgSz w:w="11900" w:h="16838" w:orient="portrait"/>
          <w:cols w:equalWidth="0" w:num="1">
            <w:col w:w="11200"/>
          </w:cols>
          <w:pgMar w:left="24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4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40" w:type="dxa"/>
            <w:vAlign w:val="bottom"/>
            <w:gridSpan w:val="14"/>
          </w:tcPr>
          <w:p>
            <w:pPr>
              <w:spacing w:after="0" w:line="189" w:lineRule="exact"/>
              <w:rPr>
                <w:rFonts w:ascii="Arial" w:cs="Arial" w:eastAsia="Arial" w:hAnsi="Arial"/>
                <w:sz w:val="18"/>
                <w:szCs w:val="18"/>
                <w:color w:val="0000EE"/>
              </w:rPr>
            </w:pPr>
            <w:hyperlink w:anchor="page195">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Balance Sheet as of August 7, 2019</w:t>
              </w:r>
            </w:hyperlink>
          </w:p>
        </w:tc>
        <w:tc>
          <w:tcPr>
            <w:tcW w:w="63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Notes to Balance Sheet</w:t>
              </w:r>
            </w:hyperlink>
          </w:p>
        </w:tc>
        <w:tc>
          <w:tcPr>
            <w:tcW w:w="800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4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4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4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40" w:type="dxa"/>
            <w:vAlign w:val="bottom"/>
            <w:gridSpan w:val="14"/>
          </w:tcPr>
          <w:p>
            <w:pPr>
              <w:spacing w:after="0" w:line="189" w:lineRule="exact"/>
              <w:rPr>
                <w:rFonts w:ascii="Arial" w:cs="Arial" w:eastAsia="Arial" w:hAnsi="Arial"/>
                <w:sz w:val="18"/>
                <w:szCs w:val="18"/>
                <w:color w:val="0000EE"/>
              </w:rPr>
            </w:pPr>
            <w:hyperlink w:anchor="page198">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1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Combined Statements of Operations and Comprehensive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00">
              <w:r>
                <w:rPr>
                  <w:rFonts w:ascii="Arial" w:cs="Arial" w:eastAsia="Arial" w:hAnsi="Arial"/>
                  <w:sz w:val="18"/>
                  <w:szCs w:val="18"/>
                  <w:color w:val="0000EE"/>
                  <w:w w:val="87"/>
                </w:rPr>
                <w:t>Combined Balance Sheets</w:t>
              </w:r>
            </w:hyperlink>
          </w:p>
        </w:tc>
        <w:tc>
          <w:tcPr>
            <w:tcW w:w="2780" w:type="dxa"/>
            <w:vAlign w:val="bottom"/>
            <w:tcBorders>
              <w:top w:val="single" w:sz="8" w:color="0000EE"/>
            </w:tcBorders>
            <w:gridSpan w:val="10"/>
          </w:tcPr>
          <w:p>
            <w:pPr>
              <w:spacing w:after="0"/>
              <w:rPr>
                <w:sz w:val="17"/>
                <w:szCs w:val="17"/>
                <w:color w:val="auto"/>
              </w:rPr>
            </w:pPr>
          </w:p>
        </w:tc>
        <w:tc>
          <w:tcPr>
            <w:tcW w:w="58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01">
              <w:r>
                <w:rPr>
                  <w:rFonts w:ascii="Arial" w:cs="Arial" w:eastAsia="Arial" w:hAnsi="Arial"/>
                  <w:sz w:val="18"/>
                  <w:szCs w:val="18"/>
                  <w:color w:val="0000EE"/>
                  <w:w w:val="88"/>
                </w:rPr>
                <w:t>Combined Statements of Cash Flows</w:t>
              </w:r>
            </w:hyperlink>
          </w:p>
        </w:tc>
        <w:tc>
          <w:tcPr>
            <w:tcW w:w="78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0540" w:type="dxa"/>
            <w:vAlign w:val="bottom"/>
            <w:gridSpan w:val="1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Notes to Combined Financial Statements</w:t>
              </w:r>
            </w:hyperlink>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26"/>
        </w:trPr>
        <w:tc>
          <w:tcPr>
            <w:tcW w:w="1054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40" w:type="dxa"/>
            <w:vAlign w:val="bottom"/>
            <w:gridSpan w:val="14"/>
          </w:tcPr>
          <w:p>
            <w:pPr>
              <w:spacing w:after="0"/>
              <w:rPr>
                <w:sz w:val="20"/>
                <w:szCs w:val="20"/>
                <w:color w:val="auto"/>
              </w:rPr>
            </w:pPr>
            <w:r>
              <w:rPr>
                <w:rFonts w:ascii="Arial" w:cs="Arial" w:eastAsia="Arial" w:hAnsi="Arial"/>
                <w:sz w:val="18"/>
                <w:szCs w:val="18"/>
                <w:b w:val="1"/>
                <w:bCs w:val="1"/>
                <w:color w:val="auto"/>
              </w:rPr>
              <w:t>Nine Months Ended June 30, 2019 and 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40" w:type="dxa"/>
            <w:vAlign w:val="bottom"/>
            <w:gridSpan w:val="14"/>
          </w:tcPr>
          <w:p>
            <w:pPr>
              <w:spacing w:after="0" w:line="189" w:lineRule="exact"/>
              <w:rPr>
                <w:rFonts w:ascii="Arial" w:cs="Arial" w:eastAsia="Arial" w:hAnsi="Arial"/>
                <w:sz w:val="18"/>
                <w:szCs w:val="18"/>
                <w:color w:val="0000EE"/>
              </w:rPr>
            </w:pPr>
            <w:hyperlink w:anchor="page218">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Condensed Combined Balance Sheets</w:t>
              </w:r>
            </w:hyperlink>
          </w:p>
        </w:tc>
        <w:tc>
          <w:tcPr>
            <w:tcW w:w="5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272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14"/>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Condensed Combined Statements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
        </w:trPr>
        <w:tc>
          <w:tcPr>
            <w:tcW w:w="3500" w:type="dxa"/>
            <w:vAlign w:val="bottom"/>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14"/>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Notes to Condensed Combined Financial Statements</w:t>
              </w:r>
            </w:hyperlink>
          </w:p>
        </w:tc>
        <w:tc>
          <w:tcPr>
            <w:tcW w:w="61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16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220" w:right="20" w:firstLine="440"/>
        <w:spacing w:after="0" w:line="311" w:lineRule="auto"/>
        <w:rPr>
          <w:sz w:val="20"/>
          <w:szCs w:val="20"/>
          <w:color w:val="auto"/>
        </w:rPr>
      </w:pPr>
      <w:r>
        <w:rPr>
          <w:rFonts w:ascii="Arial" w:cs="Arial" w:eastAsia="Arial" w:hAnsi="Arial"/>
          <w:sz w:val="16"/>
          <w:szCs w:val="16"/>
          <w:color w:val="auto"/>
        </w:rPr>
        <w:t>We have audited the accompanying balance sheet of BellRing Brands, Inc. (the “Company”) as of August 7, 2019, including the related notes (collectively referred to as the “financial statement”). In our opinion, the financial statement presents fairly, in all material respects, the financial position of the Company as of August 7, 2019 in conformity with accounting principles generally accepted in the United States of America.</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left="220" w:right="260" w:firstLine="440"/>
        <w:spacing w:after="0" w:line="341" w:lineRule="auto"/>
        <w:rPr>
          <w:sz w:val="20"/>
          <w:szCs w:val="20"/>
          <w:color w:val="auto"/>
        </w:rPr>
      </w:pPr>
      <w:r>
        <w:rPr>
          <w:rFonts w:ascii="Arial" w:cs="Arial" w:eastAsia="Arial" w:hAnsi="Arial"/>
          <w:sz w:val="16"/>
          <w:szCs w:val="16"/>
          <w:color w:val="auto"/>
        </w:rPr>
        <w:t>We conducted our audit of this financial statement in accordance with the standards of the PCAOB. Those standards require that we plan and perform the audit to obtain reasonable assurance about whether the financial statement is free of material misstatement, whether due to error or fraud.</w:t>
      </w:r>
    </w:p>
    <w:p>
      <w:pPr>
        <w:spacing w:after="0" w:line="125"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8, 2019</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2019.</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BELLRING BRANDS, INC.</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BALANCE SHEET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jc w:val="center"/>
              <w:ind w:left="225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August 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Balance Sheet.</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BellRing Brands, Inc. (the “Corporation”) was formed as a Delaware corporation on March 20, 2019 for the purpose of completing a public offering and related transactions in order to carry on the Active Nutrition business of Post Holdings, Inc. The Corporation had no operations through the submission date.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220" w:right="160" w:firstLine="440"/>
        <w:spacing w:after="0" w:line="263"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20" w:right="400" w:firstLine="44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83"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5, 2019</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2018.</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11"/>
          </w:tcPr>
          <w:p>
            <w:pPr>
              <w:jc w:val="right"/>
              <w:ind w:right="320"/>
              <w:spacing w:after="0"/>
              <w:rPr>
                <w:sz w:val="20"/>
                <w:szCs w:val="20"/>
                <w:color w:val="auto"/>
              </w:rPr>
            </w:pPr>
            <w:r>
              <w:rPr>
                <w:rFonts w:ascii="Arial" w:cs="Arial" w:eastAsia="Arial" w:hAnsi="Arial"/>
                <w:sz w:val="14"/>
                <w:szCs w:val="14"/>
                <w:b w:val="1"/>
                <w:bCs w:val="1"/>
                <w:color w:val="auto"/>
                <w:w w:val="99"/>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165.8</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341.5</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583.2</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56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7"/>
        </w:trPr>
        <w:tc>
          <w:tcPr>
            <w:tcW w:w="9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5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453.1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485.4</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9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484.4</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560.4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583.2</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11"/>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earnings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Non-cash allocated expense from parent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8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(increase) in 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80"/>
              <w:spacing w:after="0"/>
              <w:rPr>
                <w:sz w:val="20"/>
                <w:szCs w:val="20"/>
                <w:color w:val="auto"/>
              </w:rPr>
            </w:pPr>
            <w:r>
              <w:rPr>
                <w:rFonts w:ascii="Arial" w:cs="Arial" w:eastAsia="Arial" w:hAnsi="Arial"/>
                <w:sz w:val="18"/>
                <w:szCs w:val="18"/>
                <w:color w:val="auto"/>
              </w:rPr>
              <w:t>Increase in 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80"/>
              <w:spacing w:after="0"/>
              <w:rPr>
                <w:sz w:val="20"/>
                <w:szCs w:val="20"/>
                <w:color w:val="auto"/>
              </w:rPr>
            </w:pPr>
            <w:r>
              <w:rPr>
                <w:rFonts w:ascii="Arial" w:cs="Arial" w:eastAsia="Arial" w:hAnsi="Arial"/>
                <w:sz w:val="18"/>
                <w:szCs w:val="18"/>
                <w:color w:val="auto"/>
              </w:rPr>
              <w:t>Increase (decrease) in non-current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Investment</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5"/>
              </w:rPr>
              <w:t>Loss</w:t>
            </w: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intend to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7" w:lineRule="exact"/>
        <w:rPr>
          <w:sz w:val="20"/>
          <w:szCs w:val="20"/>
          <w:color w:val="auto"/>
        </w:rPr>
      </w:pPr>
    </w:p>
    <w:p>
      <w:pPr>
        <w:ind w:left="220" w:right="240" w:firstLine="440"/>
        <w:spacing w:after="0" w:line="263"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6"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6"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6" w:lineRule="exact"/>
        <w:rPr>
          <w:sz w:val="20"/>
          <w:szCs w:val="20"/>
          <w:color w:val="auto"/>
        </w:rPr>
      </w:pPr>
    </w:p>
    <w:p>
      <w:pPr>
        <w:ind w:left="220" w:right="40" w:firstLine="440"/>
        <w:spacing w:after="0" w:line="296" w:lineRule="auto"/>
        <w:rPr>
          <w:sz w:val="20"/>
          <w:szCs w:val="20"/>
          <w:color w:val="auto"/>
        </w:rPr>
      </w:pPr>
      <w:r>
        <w:rPr>
          <w:rFonts w:ascii="Arial" w:cs="Arial" w:eastAsia="Arial" w:hAnsi="Arial"/>
          <w:sz w:val="16"/>
          <w:szCs w:val="16"/>
          <w:i w:val="1"/>
          <w:iCs w:val="1"/>
          <w:color w:val="auto"/>
        </w:rPr>
        <w:t>Use of Estimates and Allocations</w:t>
      </w:r>
      <w:r>
        <w:rPr>
          <w:rFonts w:ascii="Arial" w:cs="Arial" w:eastAsia="Arial" w:hAnsi="Arial"/>
          <w:sz w:val="16"/>
          <w:szCs w:val="16"/>
          <w:color w:val="auto"/>
        </w:rPr>
        <w:t>—The combined financial statements of the Company are prepared in conformity with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60"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spacing w:after="0" w:line="341"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220" w:right="240" w:firstLine="440"/>
        <w:spacing w:after="0" w:line="275"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5"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3"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5" w:lineRule="exact"/>
        <w:rPr>
          <w:sz w:val="20"/>
          <w:szCs w:val="20"/>
          <w:color w:val="auto"/>
        </w:rPr>
      </w:pPr>
    </w:p>
    <w:p>
      <w:pPr>
        <w:jc w:val="center"/>
        <w:ind w:right="160"/>
        <w:spacing w:after="0" w:line="341"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5" w:lineRule="exact"/>
        <w:rPr>
          <w:sz w:val="20"/>
          <w:szCs w:val="20"/>
          <w:color w:val="auto"/>
        </w:rPr>
      </w:pPr>
    </w:p>
    <w:p>
      <w:pPr>
        <w:ind w:left="220" w:right="60" w:firstLine="440"/>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7"/>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7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09"/>
        </w:trPr>
        <w:tc>
          <w:tcPr>
            <w:tcW w:w="9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9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9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900" w:firstLine="440"/>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center"/>
              <w:ind w:left="274"/>
              <w:spacing w:after="0"/>
              <w:rPr>
                <w:sz w:val="20"/>
                <w:szCs w:val="20"/>
                <w:color w:val="auto"/>
              </w:rPr>
            </w:pPr>
            <w:r>
              <w:rPr>
                <w:rFonts w:ascii="Arial" w:cs="Arial" w:eastAsia="Arial" w:hAnsi="Arial"/>
                <w:sz w:val="14"/>
                <w:szCs w:val="14"/>
                <w:b w:val="1"/>
                <w:bCs w:val="1"/>
                <w:color w:val="auto"/>
                <w:w w:val="91"/>
              </w:rPr>
              <w:t>September 30, 2018</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6260" w:type="dxa"/>
            <w:vAlign w:val="bottom"/>
          </w:tcPr>
          <w:p>
            <w:pPr>
              <w:spacing w:after="0"/>
              <w:rPr>
                <w:sz w:val="10"/>
                <w:szCs w:val="10"/>
                <w:color w:val="auto"/>
              </w:rPr>
            </w:pPr>
          </w:p>
        </w:tc>
        <w:tc>
          <w:tcPr>
            <w:tcW w:w="8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880" w:type="dxa"/>
            <w:vAlign w:val="bottom"/>
            <w:tcBorders>
              <w:top w:val="single" w:sz="8" w:color="auto"/>
            </w:tcBorders>
            <w:gridSpan w:val="3"/>
          </w:tcPr>
          <w:p>
            <w:pPr>
              <w:jc w:val="center"/>
              <w:ind w:right="261"/>
              <w:spacing w:after="0" w:line="119" w:lineRule="exact"/>
              <w:rPr>
                <w:sz w:val="20"/>
                <w:szCs w:val="20"/>
                <w:color w:val="auto"/>
              </w:rPr>
            </w:pPr>
            <w:r>
              <w:rPr>
                <w:rFonts w:ascii="Arial" w:cs="Arial" w:eastAsia="Arial" w:hAnsi="Arial"/>
                <w:sz w:val="13"/>
                <w:szCs w:val="13"/>
                <w:b w:val="1"/>
                <w:bCs w:val="1"/>
                <w:color w:val="auto"/>
                <w:w w:val="97"/>
              </w:rPr>
              <w:t>Accum.</w:t>
            </w: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61"/>
              <w:spacing w:after="0" w:line="119" w:lineRule="exact"/>
              <w:rPr>
                <w:sz w:val="20"/>
                <w:szCs w:val="20"/>
                <w:color w:val="auto"/>
              </w:rPr>
            </w:pPr>
            <w:r>
              <w:rPr>
                <w:rFonts w:ascii="Arial" w:cs="Arial" w:eastAsia="Arial" w:hAnsi="Arial"/>
                <w:sz w:val="13"/>
                <w:szCs w:val="13"/>
                <w:b w:val="1"/>
                <w:bCs w:val="1"/>
                <w:color w:val="auto"/>
                <w:w w:val="97"/>
              </w:rPr>
              <w:t>Accum.</w:t>
            </w:r>
          </w:p>
        </w:tc>
        <w:tc>
          <w:tcPr>
            <w:tcW w:w="50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6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7"/>
              </w:rPr>
              <w:t>Amort.</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0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Amort.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(54.0)</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$(42.5)</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Trademarks and brands</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213.4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1"/>
              <w:spacing w:after="0"/>
              <w:rPr>
                <w:sz w:val="20"/>
                <w:szCs w:val="20"/>
                <w:color w:val="auto"/>
              </w:rPr>
            </w:pPr>
            <w:r>
              <w:rPr>
                <w:rFonts w:ascii="Arial" w:cs="Arial" w:eastAsia="Arial" w:hAnsi="Arial"/>
                <w:sz w:val="18"/>
                <w:szCs w:val="18"/>
                <w:color w:val="auto"/>
              </w:rPr>
              <w:t>(50.1)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213.4</w:t>
            </w:r>
          </w:p>
        </w:tc>
        <w:tc>
          <w:tcPr>
            <w:tcW w:w="940" w:type="dxa"/>
            <w:vAlign w:val="bottom"/>
            <w:gridSpan w:val="3"/>
          </w:tcPr>
          <w:p>
            <w:pPr>
              <w:jc w:val="right"/>
              <w:ind w:right="201"/>
              <w:spacing w:after="0"/>
              <w:rPr>
                <w:sz w:val="20"/>
                <w:szCs w:val="20"/>
                <w:color w:val="auto"/>
              </w:rPr>
            </w:pPr>
            <w:r>
              <w:rPr>
                <w:rFonts w:ascii="Arial" w:cs="Arial" w:eastAsia="Arial" w:hAnsi="Arial"/>
                <w:sz w:val="18"/>
                <w:szCs w:val="18"/>
                <w:color w:val="auto"/>
              </w:rPr>
              <w:t>(39.3)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174.1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94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23"/>
        </w:trPr>
        <w:tc>
          <w:tcPr>
            <w:tcW w:w="6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341.5</w:t>
            </w:r>
          </w:p>
        </w:tc>
        <w:tc>
          <w:tcPr>
            <w:tcW w:w="6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900" w:firstLine="440"/>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220" w:right="60" w:firstLine="440"/>
        <w:spacing w:after="0" w:line="275"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5"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220" w:right="180" w:firstLine="440"/>
        <w:spacing w:after="0" w:line="29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60" w:lineRule="exact"/>
        <w:rPr>
          <w:sz w:val="20"/>
          <w:szCs w:val="20"/>
          <w:color w:val="auto"/>
        </w:rPr>
      </w:pPr>
    </w:p>
    <w:p>
      <w:pPr>
        <w:ind w:left="220" w:right="300" w:firstLine="44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6" w:lineRule="exact"/>
        <w:rPr>
          <w:sz w:val="20"/>
          <w:szCs w:val="20"/>
          <w:color w:val="auto"/>
        </w:rPr>
      </w:pPr>
    </w:p>
    <w:p>
      <w:pPr>
        <w:ind w:left="220" w:right="240" w:firstLine="440"/>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5"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301"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6"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20" w:right="220" w:firstLine="440"/>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3"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83"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256"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5" w:lineRule="exact"/>
        <w:rPr>
          <w:sz w:val="20"/>
          <w:szCs w:val="20"/>
          <w:color w:val="auto"/>
        </w:rPr>
      </w:pPr>
    </w:p>
    <w:p>
      <w:pPr>
        <w:ind w:left="220" w:right="20" w:firstLine="440"/>
        <w:spacing w:after="0" w:line="296"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3"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200"/>
          </w:cols>
          <w:pgMar w:left="240" w:top="459" w:right="459" w:bottom="1440" w:gutter="0" w:footer="0" w:header="0"/>
        </w:sectPr>
      </w:pP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-119380</wp:posOffset>
            </wp:positionV>
            <wp:extent cx="6989445"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Charge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wp:posOffset>
            </wp:positionV>
            <wp:extent cx="6989445"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Cash payments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Non-cash charges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-119380</wp:posOffset>
            </wp:positionV>
            <wp:extent cx="6989445"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expected restructuring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6989445"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Cumulative incurred to date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61" w:hanging="161"/>
        <w:spacing w:after="0"/>
        <w:tabs>
          <w:tab w:leader="none" w:pos="16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01"/>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1" w:lineRule="exact"/>
        <w:rPr>
          <w:rFonts w:ascii="Arial" w:cs="Arial" w:eastAsia="Arial" w:hAnsi="Arial"/>
          <w:sz w:val="18"/>
          <w:szCs w:val="18"/>
          <w:color w:val="auto"/>
        </w:rPr>
      </w:pPr>
    </w:p>
    <w:p>
      <w:pPr>
        <w:ind w:left="101"/>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1" w:lineRule="exact"/>
        <w:rPr>
          <w:rFonts w:ascii="Arial" w:cs="Arial" w:eastAsia="Arial" w:hAnsi="Arial"/>
          <w:sz w:val="18"/>
          <w:szCs w:val="18"/>
          <w:color w:val="auto"/>
        </w:rPr>
      </w:pPr>
    </w:p>
    <w:p>
      <w:pPr>
        <w:ind w:left="22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82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482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43" w:lineRule="exact"/>
        <w:rPr>
          <w:sz w:val="20"/>
          <w:szCs w:val="20"/>
          <w:color w:val="auto"/>
        </w:rPr>
      </w:pPr>
    </w:p>
    <w:p>
      <w:pPr>
        <w:ind w:left="161" w:hanging="161"/>
        <w:spacing w:after="0"/>
        <w:tabs>
          <w:tab w:leader="none" w:pos="16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61"/>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82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482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99" w:space="720"/>
            <w:col w:w="481"/>
          </w:cols>
          <w:pgMar w:left="240" w:top="459" w:right="459" w:bottom="1440" w:gutter="0" w:footer="0" w:header="0"/>
          <w:type w:val="continuous"/>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220" w:right="660" w:firstLine="440"/>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320" w:type="dxa"/>
            <w:vAlign w:val="bottom"/>
          </w:tcPr>
          <w:p>
            <w:pPr>
              <w:ind w:left="42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Goodwill (gross)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1034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1034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5"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91"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firstLine="440"/>
        <w:spacing w:after="0" w:line="296"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1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1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818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right="60" w:firstLine="440"/>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120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r>
      <w:tr>
        <w:trPr>
          <w:trHeight w:val="209"/>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240" w:hanging="430"/>
        <w:spacing w:after="0" w:line="263"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500" w:firstLine="440"/>
        <w:spacing w:after="0" w:line="307"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w w:val="91"/>
              </w:rPr>
              <w:t>September 30, 2017</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73"/>
              </w:rPr>
              <w:t>Assets</w:t>
            </w:r>
          </w:p>
        </w:tc>
        <w:tc>
          <w:tcPr>
            <w:tcW w:w="26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2"/>
                <w:szCs w:val="12"/>
                <w:color w:val="auto"/>
              </w:rPr>
            </w:pPr>
          </w:p>
        </w:tc>
        <w:tc>
          <w:tcPr>
            <w:tcW w:w="3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Assets</w:t>
            </w:r>
          </w:p>
        </w:tc>
        <w:tc>
          <w:tcPr>
            <w:tcW w:w="26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2"/>
                <w:szCs w:val="12"/>
                <w:color w:val="auto"/>
              </w:rPr>
            </w:pPr>
          </w:p>
        </w:tc>
        <w:tc>
          <w:tcPr>
            <w:tcW w:w="3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0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60" w:type="dxa"/>
            <w:vAlign w:val="bottom"/>
            <w:gridSpan w:val="2"/>
          </w:tcPr>
          <w:p>
            <w:pPr>
              <w:jc w:val="right"/>
              <w:ind w:right="4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(32.6)</w:t>
            </w: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 deferred taxes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220" w:right="160" w:firstLine="440"/>
        <w:spacing w:after="0" w:line="296" w:lineRule="auto"/>
        <w:rPr>
          <w:sz w:val="20"/>
          <w:szCs w:val="20"/>
          <w:color w:val="auto"/>
        </w:rPr>
      </w:pPr>
      <w:r>
        <w:rPr>
          <w:rFonts w:ascii="Arial" w:cs="Arial" w:eastAsia="Arial" w:hAnsi="Arial"/>
          <w:sz w:val="16"/>
          <w:szCs w:val="16"/>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8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220" w:type="dxa"/>
            <w:vAlign w:val="bottom"/>
          </w:tcPr>
          <w:p>
            <w:pPr>
              <w:spacing w:after="0"/>
              <w:rPr>
                <w:sz w:val="24"/>
                <w:szCs w:val="24"/>
                <w:color w:val="auto"/>
              </w:rPr>
            </w:pPr>
          </w:p>
        </w:tc>
        <w:tc>
          <w:tcPr>
            <w:tcW w:w="9780" w:type="dxa"/>
            <w:vAlign w:val="bottom"/>
            <w:gridSpan w:val="2"/>
          </w:tcPr>
          <w:p>
            <w:pPr>
              <w:ind w:left="440"/>
              <w:spacing w:after="0"/>
              <w:rPr>
                <w:sz w:val="20"/>
                <w:szCs w:val="20"/>
                <w:color w:val="auto"/>
              </w:rPr>
            </w:pPr>
            <w:r>
              <w:rPr>
                <w:rFonts w:ascii="Arial" w:cs="Arial" w:eastAsia="Arial" w:hAnsi="Arial"/>
                <w:sz w:val="18"/>
                <w:szCs w:val="18"/>
                <w:color w:val="auto"/>
                <w:w w:val="97"/>
              </w:rPr>
              <w:t>Unrecognized tax benefits activity for the years ended September 30, 2018 and 2017 is presented in the following table:</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Reductions for tax positions taken in prior years</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Settlements with tax authorities/statute expirations</w:t>
            </w:r>
          </w:p>
        </w:tc>
        <w:tc>
          <w:tcPr>
            <w:tcW w:w="7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Reductions for tax positions taken in prior years</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Settlements with tax authorities/statute expirations</w:t>
            </w:r>
          </w:p>
        </w:tc>
        <w:tc>
          <w:tcPr>
            <w:tcW w:w="7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20" w:right="280" w:firstLine="440"/>
        <w:spacing w:after="0" w:line="307"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7"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209"/>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Rent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70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55" w:lineRule="exact"/>
        <w:rPr>
          <w:sz w:val="20"/>
          <w:szCs w:val="20"/>
          <w:color w:val="auto"/>
        </w:rPr>
      </w:pPr>
    </w:p>
    <w:p>
      <w:pPr>
        <w:ind w:left="640" w:right="40" w:hanging="430"/>
        <w:spacing w:after="0" w:line="27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45"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Trade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$84.9</w:t>
            </w: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Raw materials and supplies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$24.9</w:t>
            </w: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products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Trade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$56.9</w:t>
            </w: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cash overdrafts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58.7</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legal settlements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$17.5</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and promotion</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Income and other taxes payable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52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5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Balance, end of year</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$4.6, $4.4 and $3.6 for the years ended September 30, 2018, 2017 and 2016, respectively, and are included in “Selling, general and administrative expenses” in the Combined Statements of Operations and Comprehensive Income. All allocated costs are included in “Change in net parent investment” within financing activities on the Combined Statements of Cash</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40"/>
        <w:spacing w:after="0" w:line="301" w:lineRule="auto"/>
        <w:rPr>
          <w:sz w:val="20"/>
          <w:szCs w:val="20"/>
          <w:color w:val="auto"/>
        </w:rPr>
      </w:pPr>
      <w:r>
        <w:rPr>
          <w:rFonts w:ascii="Arial" w:cs="Arial" w:eastAsia="Arial" w:hAnsi="Arial"/>
          <w:sz w:val="16"/>
          <w:szCs w:val="16"/>
          <w:color w:val="auto"/>
        </w:rPr>
        <w:t>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6"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20" w:right="140" w:firstLine="440"/>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0"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0" w:lineRule="exact"/>
        <w:rPr>
          <w:sz w:val="20"/>
          <w:szCs w:val="20"/>
          <w:color w:val="auto"/>
        </w:rPr>
      </w:pPr>
    </w:p>
    <w:p>
      <w:pPr>
        <w:ind w:left="220" w:right="500" w:firstLine="440"/>
        <w:spacing w:after="0" w:line="341"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5"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80"/>
          </w:cols>
          <w:pgMar w:left="24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220" w:right="100" w:firstLine="440"/>
        <w:spacing w:after="0" w:line="290" w:lineRule="auto"/>
        <w:rPr>
          <w:sz w:val="20"/>
          <w:szCs w:val="20"/>
          <w:color w:val="auto"/>
        </w:rPr>
      </w:pPr>
      <w:r>
        <w:rPr>
          <w:rFonts w:ascii="Arial" w:cs="Arial" w:eastAsia="Arial" w:hAnsi="Arial"/>
          <w:sz w:val="16"/>
          <w:szCs w:val="16"/>
          <w:color w:val="auto"/>
        </w:rPr>
        <w:t>The Company’s employees participated in Post’s 2012 Long-Term Incentive Plan (the “2012 Plan”) and Post’s 2016 Long-Term Incentive Plan (the “2016 Plan”). The following disclosures reflect the details of Post’s stock-based compensation plans and are not reflective of the Company’s stock-based compensation subsequent to the initial public offering of BellRing Brands, Inc. common stock. On February 3, 2012, Post established the 2012 Plan, which permitted the issuance of various stock-based compensation awards of up to 6.5 million shares of Post’s common stock. On January 28, 2016, Post established the 2016 Plan, which permitted the issuance of stock-based compensation awards of up to 2.4 million shares of Post’s common stock, which includes shares remaining to be issued under the 2012 Plan which were transfered to the 2016 Plan upon its establishment. Awards issued under the 2012 Plan and 2016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164"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4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0"/>
              </w:rPr>
              <w:t>Stock Options</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Price Per</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Term in Years</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45.36</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248,206</w:t>
            </w:r>
          </w:p>
        </w:tc>
        <w:tc>
          <w:tcPr>
            <w:tcW w:w="5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80.04</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(128,999)</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45.12</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(6,667)</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71.32</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5.63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  218.6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47.32</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43.67</w:t>
            </w: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5.24</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160" w:firstLine="440"/>
        <w:spacing w:after="0" w:line="296"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060" w:type="dxa"/>
            <w:vAlign w:val="bottom"/>
            <w:gridSpan w:val="3"/>
          </w:tcPr>
          <w:p>
            <w:pPr>
              <w:jc w:val="right"/>
              <w:ind w:right="360"/>
              <w:spacing w:after="0"/>
              <w:rPr>
                <w:sz w:val="20"/>
                <w:szCs w:val="20"/>
                <w:color w:val="auto"/>
              </w:rPr>
            </w:pPr>
            <w:r>
              <w:rPr>
                <w:rFonts w:ascii="Arial" w:cs="Arial" w:eastAsia="Arial" w:hAnsi="Arial"/>
                <w:sz w:val="18"/>
                <w:szCs w:val="18"/>
                <w:color w:val="auto"/>
              </w:rPr>
              <w:t>30.7%</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dividends</w:t>
            </w:r>
          </w:p>
        </w:tc>
        <w:tc>
          <w:tcPr>
            <w:tcW w:w="406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$28.52</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$24.80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$20.22</w:t>
            </w:r>
          </w:p>
        </w:tc>
      </w:tr>
    </w:tbl>
    <w:p>
      <w:pPr>
        <w:spacing w:after="0" w:line="201" w:lineRule="exact"/>
        <w:rPr>
          <w:sz w:val="20"/>
          <w:szCs w:val="20"/>
          <w:color w:val="auto"/>
        </w:rPr>
      </w:pPr>
    </w:p>
    <w:p>
      <w:pPr>
        <w:ind w:left="220" w:right="380" w:firstLine="440"/>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6"/>
              </w:rPr>
              <w:t>Restricted</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Stock Units</w:t>
            </w: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Granted</w:t>
            </w:r>
          </w:p>
        </w:tc>
        <w:tc>
          <w:tcPr>
            <w:tcW w:w="6120" w:type="dxa"/>
            <w:vAlign w:val="bottom"/>
            <w:gridSpan w:val="3"/>
          </w:tcPr>
          <w:p>
            <w:pPr>
              <w:jc w:val="right"/>
              <w:ind w:right="520"/>
              <w:spacing w:after="0"/>
              <w:rPr>
                <w:sz w:val="20"/>
                <w:szCs w:val="20"/>
                <w:color w:val="auto"/>
              </w:rPr>
            </w:pPr>
            <w:r>
              <w:rPr>
                <w:rFonts w:ascii="Arial" w:cs="Arial" w:eastAsia="Arial" w:hAnsi="Arial"/>
                <w:sz w:val="18"/>
                <w:szCs w:val="18"/>
                <w:color w:val="auto"/>
              </w:rPr>
              <w:t>478,325</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6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(213,824)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8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(52,673)</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20" w:type="dxa"/>
            <w:vAlign w:val="bottom"/>
            <w:gridSpan w:val="3"/>
          </w:tcPr>
          <w:p>
            <w:pPr>
              <w:jc w:val="right"/>
              <w:ind w:right="4380"/>
              <w:spacing w:after="0"/>
              <w:rPr>
                <w:sz w:val="20"/>
                <w:szCs w:val="20"/>
                <w:color w:val="auto"/>
              </w:rPr>
            </w:pPr>
            <w:r>
              <w:rPr>
                <w:rFonts w:ascii="Arial" w:cs="Arial" w:eastAsia="Arial" w:hAnsi="Arial"/>
                <w:sz w:val="18"/>
                <w:szCs w:val="18"/>
                <w:color w:val="auto"/>
              </w:rPr>
              <w:t>F-22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20" w:firstLine="440"/>
        <w:spacing w:after="0" w:line="341"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5" w:lineRule="exact"/>
        <w:rPr>
          <w:sz w:val="20"/>
          <w:szCs w:val="20"/>
          <w:color w:val="auto"/>
        </w:rPr>
      </w:pPr>
    </w:p>
    <w:p>
      <w:pPr>
        <w:ind w:left="220" w:right="80" w:firstLine="440"/>
        <w:spacing w:after="0" w:line="275"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4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Cash Settled</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(38,537)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100" w:firstLine="440"/>
        <w:spacing w:after="0" w:line="301"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220" w:right="440" w:firstLine="440"/>
        <w:spacing w:after="0" w:line="263"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3"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220" w:right="220" w:firstLine="440"/>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by product are shown in the following table.</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00" w:type="dxa"/>
            <w:vAlign w:val="bottom"/>
            <w:gridSpan w:val="7"/>
          </w:tcPr>
          <w:p>
            <w:pPr>
              <w:ind w:left="20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35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$469.3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Powders</w:t>
            </w:r>
          </w:p>
        </w:tc>
        <w:tc>
          <w:tcPr>
            <w:tcW w:w="6020" w:type="dxa"/>
            <w:vAlign w:val="bottom"/>
            <w:gridSpan w:val="3"/>
          </w:tcPr>
          <w:p>
            <w:pPr>
              <w:jc w:val="right"/>
              <w:ind w:right="120"/>
              <w:spacing w:after="0"/>
              <w:rPr>
                <w:sz w:val="20"/>
                <w:szCs w:val="20"/>
                <w:color w:val="auto"/>
              </w:rPr>
            </w:pPr>
            <w:r>
              <w:rPr>
                <w:rFonts w:ascii="Arial" w:cs="Arial" w:eastAsia="Arial" w:hAnsi="Arial"/>
                <w:sz w:val="18"/>
                <w:szCs w:val="18"/>
                <w:color w:val="auto"/>
              </w:rPr>
              <w:t>114.9</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116.9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126.3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6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7"/>
        </w:trPr>
        <w:tc>
          <w:tcPr>
            <w:tcW w:w="35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827.5</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574.7</w:t>
            </w:r>
          </w:p>
        </w:tc>
      </w:tr>
      <w:tr>
        <w:trPr>
          <w:trHeight w:val="20"/>
        </w:trPr>
        <w:tc>
          <w:tcPr>
            <w:tcW w:w="3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6020" w:type="dxa"/>
            <w:vAlign w:val="bottom"/>
            <w:gridSpan w:val="3"/>
          </w:tcPr>
          <w:p>
            <w:pPr>
              <w:ind w:left="1820"/>
              <w:spacing w:after="0"/>
              <w:rPr>
                <w:sz w:val="20"/>
                <w:szCs w:val="20"/>
                <w:color w:val="auto"/>
              </w:rPr>
            </w:pPr>
            <w:r>
              <w:rPr>
                <w:rFonts w:ascii="Arial" w:cs="Arial" w:eastAsia="Arial" w:hAnsi="Arial"/>
                <w:sz w:val="18"/>
                <w:szCs w:val="18"/>
                <w:color w:val="auto"/>
              </w:rPr>
              <w:t>F-24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Nine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2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ind w:left="50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218.2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net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LIABILITIES AND PARENT COMPANY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492.8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680"/>
              <w:spacing w:after="0"/>
              <w:rPr>
                <w:sz w:val="20"/>
                <w:szCs w:val="20"/>
                <w:color w:val="auto"/>
              </w:rPr>
            </w:pPr>
            <w:r>
              <w:rPr>
                <w:rFonts w:ascii="Arial" w:cs="Arial" w:eastAsia="Arial" w:hAnsi="Arial"/>
                <w:sz w:val="18"/>
                <w:szCs w:val="18"/>
                <w:b w:val="1"/>
                <w:bCs w:val="1"/>
                <w:color w:val="auto"/>
              </w:rPr>
              <w:t>Total Parent Company Equity</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491.0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Parent Company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597.6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8"/>
              <w:spacing w:after="0"/>
              <w:rPr>
                <w:sz w:val="20"/>
                <w:szCs w:val="20"/>
                <w:color w:val="auto"/>
              </w:rPr>
            </w:pPr>
            <w:r>
              <w:rPr>
                <w:rFonts w:ascii="Arial" w:cs="Arial" w:eastAsia="Arial" w:hAnsi="Arial"/>
                <w:sz w:val="18"/>
                <w:szCs w:val="18"/>
                <w:color w:val="auto"/>
              </w:rPr>
              <w:t>96.4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allocated expense from parent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receivables,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80"/>
              <w:spacing w:after="0"/>
              <w:rPr>
                <w:sz w:val="20"/>
                <w:szCs w:val="20"/>
                <w:color w:val="auto"/>
              </w:rPr>
            </w:pPr>
            <w:r>
              <w:rPr>
                <w:rFonts w:ascii="Arial" w:cs="Arial" w:eastAsia="Arial" w:hAnsi="Arial"/>
                <w:sz w:val="18"/>
                <w:szCs w:val="18"/>
                <w:color w:val="auto"/>
              </w:rPr>
              <w:t>(Increase) decrease in inventories</w:t>
            </w:r>
          </w:p>
        </w:tc>
        <w:tc>
          <w:tcPr>
            <w:tcW w:w="100" w:type="dxa"/>
            <w:vAlign w:val="bottom"/>
          </w:tcPr>
          <w:p>
            <w:pPr>
              <w:spacing w:after="0"/>
              <w:rPr>
                <w:sz w:val="18"/>
                <w:szCs w:val="18"/>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8"/>
                <w:szCs w:val="18"/>
                <w:color w:val="auto"/>
                <w:w w:val="93"/>
              </w:rPr>
              <w:t>(52.4)</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80"/>
              <w:spacing w:after="0"/>
              <w:rPr>
                <w:sz w:val="20"/>
                <w:szCs w:val="20"/>
                <w:color w:val="auto"/>
              </w:rPr>
            </w:pPr>
            <w:r>
              <w:rPr>
                <w:rFonts w:ascii="Arial" w:cs="Arial" w:eastAsia="Arial" w:hAnsi="Arial"/>
                <w:sz w:val="18"/>
                <w:szCs w:val="18"/>
                <w:color w:val="auto"/>
              </w:rPr>
              <w:t>Decrease in other assets</w:t>
            </w:r>
          </w:p>
        </w:tc>
        <w:tc>
          <w:tcPr>
            <w:tcW w:w="100" w:type="dxa"/>
            <w:vAlign w:val="bottom"/>
          </w:tcPr>
          <w:p>
            <w:pPr>
              <w:spacing w:after="0"/>
              <w:rPr>
                <w:sz w:val="18"/>
                <w:szCs w:val="18"/>
                <w:color w:val="auto"/>
              </w:rPr>
            </w:pPr>
          </w:p>
        </w:tc>
        <w:tc>
          <w:tcPr>
            <w:tcW w:w="8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680"/>
              <w:spacing w:after="0"/>
              <w:rPr>
                <w:sz w:val="20"/>
                <w:szCs w:val="20"/>
                <w:color w:val="auto"/>
              </w:rPr>
            </w:pPr>
            <w:r>
              <w:rPr>
                <w:rFonts w:ascii="Arial" w:cs="Arial" w:eastAsia="Arial" w:hAnsi="Arial"/>
                <w:sz w:val="18"/>
                <w:szCs w:val="18"/>
                <w:color w:val="auto"/>
              </w:rPr>
              <w:t>Increase in non-current liabilities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00" w:type="dxa"/>
            <w:vAlign w:val="bottom"/>
          </w:tcPr>
          <w:p>
            <w:pPr>
              <w:spacing w:after="0"/>
              <w:rPr>
                <w:sz w:val="18"/>
                <w:szCs w:val="18"/>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8"/>
                <w:szCs w:val="18"/>
                <w:color w:val="auto"/>
                <w:w w:val="93"/>
              </w:rPr>
              <w:t>(65.0)</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3"/>
              </w:rPr>
              <w:t>(65.0)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millions</w:t>
      </w:r>
      <w:r>
        <w:rPr>
          <w:rFonts w:ascii="Arial" w:cs="Arial" w:eastAsia="Arial" w:hAnsi="Arial"/>
          <w:sz w:val="18"/>
          <w:szCs w:val="18"/>
          <w:color w:val="auto"/>
        </w:rPr>
        <w:t>)</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As Of and For The</w:t>
      </w:r>
    </w:p>
    <w:p>
      <w:pPr>
        <w:jc w:val="center"/>
        <w:ind w:left="9400"/>
        <w:spacing w:after="0" w:line="226" w:lineRule="auto"/>
        <w:rPr>
          <w:sz w:val="20"/>
          <w:szCs w:val="20"/>
          <w:color w:val="auto"/>
        </w:rPr>
      </w:pPr>
      <w:r>
        <w:rPr>
          <w:rFonts w:ascii="Arial" w:cs="Arial" w:eastAsia="Arial" w:hAnsi="Arial"/>
          <w:sz w:val="14"/>
          <w:szCs w:val="14"/>
          <w:b w:val="1"/>
          <w:bCs w:val="1"/>
          <w:color w:val="auto"/>
        </w:rPr>
        <w:t>Nine Months Ended</w:t>
      </w:r>
    </w:p>
    <w:p>
      <w:pPr>
        <w:jc w:val="center"/>
        <w:ind w:left="940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2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Parent Investment</w:t>
            </w: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Beginning of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$ 453.1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Net decrease in net parent investment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680"/>
              <w:spacing w:after="0"/>
              <w:rPr>
                <w:sz w:val="20"/>
                <w:szCs w:val="20"/>
                <w:color w:val="auto"/>
              </w:rPr>
            </w:pPr>
            <w:r>
              <w:rPr>
                <w:rFonts w:ascii="Arial" w:cs="Arial" w:eastAsia="Arial" w:hAnsi="Arial"/>
                <w:sz w:val="18"/>
                <w:szCs w:val="18"/>
                <w:b w:val="1"/>
                <w:bCs w:val="1"/>
                <w:color w:val="auto"/>
              </w:rPr>
              <w:t>Total Parent Company Equity</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$ 491.0</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The Active Nutrition business of Post (herein referred to as “Active Nutrition” or “the Company”)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3"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6"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“Change in net parent investment” within financing activities and on the Condensed Combined Balance Sheets as “Net parent investment.”</w:t>
      </w:r>
    </w:p>
    <w:p>
      <w:pPr>
        <w:spacing w:after="0" w:line="191" w:lineRule="exact"/>
        <w:rPr>
          <w:sz w:val="20"/>
          <w:szCs w:val="20"/>
          <w:color w:val="auto"/>
        </w:rPr>
      </w:pPr>
    </w:p>
    <w:p>
      <w:pPr>
        <w:ind w:left="220" w:right="600" w:firstLine="440"/>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5" w:lineRule="exact"/>
        <w:rPr>
          <w:sz w:val="20"/>
          <w:szCs w:val="20"/>
          <w:color w:val="auto"/>
        </w:rPr>
      </w:pPr>
    </w:p>
    <w:p>
      <w:pPr>
        <w:ind w:left="220" w:right="40" w:firstLine="440"/>
        <w:spacing w:after="0" w:line="270"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cash flows and parent company equity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 Subsequent events have been assessed through the submission date and no events were identified to report or record.</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2—RECENTLY ISSUED AND ADOPTED ACCOUNTING STANDARDS</w:t>
      </w:r>
    </w:p>
    <w:p>
      <w:pPr>
        <w:spacing w:after="0" w:line="121"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Company’s results of operations, financial position, cash flows or parent company equity based on current information.</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68" w:lineRule="auto"/>
        <w:rPr>
          <w:sz w:val="20"/>
          <w:szCs w:val="20"/>
          <w:color w:val="auto"/>
        </w:rPr>
      </w:pPr>
      <w:r>
        <w:rPr>
          <w:rFonts w:ascii="Arial" w:cs="Arial" w:eastAsia="Arial" w:hAnsi="Arial"/>
          <w:sz w:val="17"/>
          <w:szCs w:val="17"/>
          <w:color w:val="auto"/>
        </w:rPr>
        <w:t>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 with early adoption permitted. The Company will adopt these ASUs on October 1, 2019, and it expects to use the modified retrospective method of adoption. The Company has selected a software vendor and is in the process of assessing its lease agreements to identify those that fall within the scope of these ASUs. These ASUs will result in an increase in both assets and liabilities; however, the Company is unable to quantify the impact at this time. In addition, the Company expects to provide expanded disclosures upon adoption to present additional information related to its leasing arrangements.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1"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$5.3 within the statement of operations and comprehensive income. For additional information, refer to Note 3.</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60"/>
        <w:spacing w:after="0" w:line="277" w:lineRule="auto"/>
        <w:rPr>
          <w:sz w:val="20"/>
          <w:szCs w:val="20"/>
          <w:color w:val="auto"/>
        </w:rPr>
      </w:pPr>
      <w:r>
        <w:rPr>
          <w:rFonts w:ascii="Arial" w:cs="Arial" w:eastAsia="Arial" w:hAnsi="Arial"/>
          <w:sz w:val="18"/>
          <w:szCs w:val="18"/>
          <w:color w:val="auto"/>
        </w:rPr>
        <w:t>occur before the customer obtains control of the goods are deemed fulfillment activities and are accounted for as fulfillment costs. The Company’s contracts with customers generally contain one performance obligation.</w:t>
      </w:r>
    </w:p>
    <w:p>
      <w:pPr>
        <w:spacing w:after="0" w:line="170" w:lineRule="exact"/>
        <w:rPr>
          <w:sz w:val="20"/>
          <w:szCs w:val="20"/>
          <w:color w:val="auto"/>
        </w:rPr>
      </w:pPr>
    </w:p>
    <w:p>
      <w:pPr>
        <w:ind w:left="220" w:right="40" w:firstLine="440"/>
        <w:spacing w:after="0" w:line="293" w:lineRule="auto"/>
        <w:rPr>
          <w:sz w:val="20"/>
          <w:szCs w:val="20"/>
          <w:color w:val="auto"/>
        </w:rPr>
      </w:pPr>
      <w:r>
        <w:rPr>
          <w:rFonts w:ascii="Arial" w:cs="Arial" w:eastAsia="Arial" w:hAnsi="Arial"/>
          <w:sz w:val="16"/>
          <w:szCs w:val="16"/>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163" w:lineRule="exact"/>
        <w:rPr>
          <w:sz w:val="20"/>
          <w:szCs w:val="20"/>
          <w:color w:val="auto"/>
        </w:rPr>
      </w:pPr>
    </w:p>
    <w:p>
      <w:pPr>
        <w:ind w:left="220" w:firstLine="440"/>
        <w:spacing w:after="0" w:line="311"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used the modified retrospective transition method of adoption and elected the following practical expedients in accordance with</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ASC Topic 606:</w:t>
      </w:r>
    </w:p>
    <w:p>
      <w:pPr>
        <w:spacing w:after="0" w:line="116" w:lineRule="exact"/>
        <w:rPr>
          <w:sz w:val="20"/>
          <w:szCs w:val="20"/>
          <w:color w:val="auto"/>
        </w:rPr>
      </w:pPr>
    </w:p>
    <w:p>
      <w:pPr>
        <w:ind w:left="1180" w:right="80" w:hanging="538"/>
        <w:spacing w:after="0" w:line="263"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8" w:lineRule="exact"/>
        <w:rPr>
          <w:rFonts w:ascii="Arial" w:cs="Arial" w:eastAsia="Arial" w:hAnsi="Arial"/>
          <w:sz w:val="18"/>
          <w:szCs w:val="18"/>
          <w:color w:val="auto"/>
        </w:rPr>
      </w:pPr>
    </w:p>
    <w:p>
      <w:pPr>
        <w:ind w:left="1180" w:right="340" w:hanging="538"/>
        <w:spacing w:after="0" w:line="277"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promised services.</w:t>
      </w:r>
    </w:p>
    <w:p>
      <w:pPr>
        <w:spacing w:after="0" w:line="75" w:lineRule="exact"/>
        <w:rPr>
          <w:rFonts w:ascii="Arial" w:cs="Arial" w:eastAsia="Arial" w:hAnsi="Arial"/>
          <w:sz w:val="18"/>
          <w:szCs w:val="18"/>
          <w:color w:val="auto"/>
        </w:rPr>
      </w:pPr>
    </w:p>
    <w:p>
      <w:pPr>
        <w:ind w:left="1180" w:right="320" w:hanging="538"/>
        <w:spacing w:after="0" w:line="263"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3"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$5.3 in the nine months ended June 30, 2019 previously classified in “Selling, general, and administrative expenses” were classified as “Net Sales” in the Condensed Combined Statement of Operations and Comprehensive Income.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6" w:lineRule="exact"/>
        <w:rPr>
          <w:sz w:val="20"/>
          <w:szCs w:val="20"/>
          <w:color w:val="auto"/>
        </w:rPr>
      </w:pPr>
    </w:p>
    <w:tbl>
      <w:tblPr>
        <w:tblLayout w:type="fixed"/>
        <w:tblInd w:w="2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ind w:left="360"/>
              <w:spacing w:after="0"/>
              <w:rPr>
                <w:sz w:val="20"/>
                <w:szCs w:val="20"/>
                <w:color w:val="auto"/>
              </w:rPr>
            </w:pPr>
            <w:r>
              <w:rPr>
                <w:rFonts w:ascii="Arial" w:cs="Arial" w:eastAsia="Arial" w:hAnsi="Arial"/>
                <w:sz w:val="13"/>
                <w:szCs w:val="13"/>
                <w:b w:val="1"/>
                <w:bCs w:val="1"/>
                <w:color w:val="auto"/>
                <w:w w:val="93"/>
              </w:rPr>
              <w:t>Nine Months Ended June 30, 2019</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As Reported</w:t>
            </w:r>
          </w:p>
        </w:tc>
        <w:tc>
          <w:tcPr>
            <w:tcW w:w="116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As Reported</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90"/>
              </w:rPr>
              <w:t>Under</w:t>
            </w:r>
          </w:p>
        </w:tc>
        <w:tc>
          <w:tcPr>
            <w:tcW w:w="11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Under Prior</w:t>
            </w: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Impact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6"/>
              </w:rPr>
              <w:t>Topic 606</w:t>
            </w: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Guidance</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Adoption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goods sold</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404.8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97.3</w:t>
            </w: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3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jc w:val="both"/>
        <w:ind w:left="220" w:right="300" w:firstLine="440"/>
        <w:spacing w:after="0" w:line="263" w:lineRule="auto"/>
        <w:rPr>
          <w:sz w:val="20"/>
          <w:szCs w:val="20"/>
          <w:color w:val="auto"/>
        </w:rPr>
      </w:pPr>
      <w:r>
        <w:rPr>
          <w:rFonts w:ascii="Arial" w:cs="Arial" w:eastAsia="Arial" w:hAnsi="Arial"/>
          <w:sz w:val="18"/>
          <w:szCs w:val="18"/>
          <w:color w:val="auto"/>
        </w:rPr>
        <w:t>The following table presents net sales by product. The amounts for the nine months ended June 30, 2019 are presented under ASC Topic 606, “Revenue from Contracts with Customers” and the amounts for the nine months ended June 30, 2018 are presented under ASC Topic 605, “Revenue Recognition.”</w:t>
      </w:r>
    </w:p>
    <w:p>
      <w:pPr>
        <w:spacing w:after="0" w:line="201"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Nine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220" w:type="dxa"/>
        <w:tblCellMar>
          <w:top w:w="0" w:type="dxa"/>
          <w:left w:w="0" w:type="dxa"/>
          <w:bottom w:w="0" w:type="dxa"/>
          <w:right w:w="0" w:type="dxa"/>
        </w:tblCellMar>
      </w:tblPr>
      <w:tr>
        <w:trPr>
          <w:trHeight w:val="142"/>
        </w:trPr>
        <w:tc>
          <w:tcPr>
            <w:tcW w:w="9580" w:type="dxa"/>
            <w:vAlign w:val="bottom"/>
          </w:tcPr>
          <w:p>
            <w:pPr>
              <w:spacing w:after="0"/>
              <w:rPr>
                <w:sz w:val="12"/>
                <w:szCs w:val="12"/>
                <w:color w:val="auto"/>
              </w:rPr>
            </w:pPr>
          </w:p>
        </w:tc>
        <w:tc>
          <w:tcPr>
            <w:tcW w:w="5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9"/>
        </w:trPr>
        <w:tc>
          <w:tcPr>
            <w:tcW w:w="9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 beverages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Powders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87.4</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72.3</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7"/>
        </w:trPr>
        <w:tc>
          <w:tcPr>
            <w:tcW w:w="9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$ 639.9</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$ 607.6</w:t>
            </w:r>
          </w:p>
        </w:tc>
      </w:tr>
      <w:tr>
        <w:trPr>
          <w:trHeight w:val="20"/>
        </w:trPr>
        <w:tc>
          <w:tcPr>
            <w:tcW w:w="9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The effective income tax rate was 23.8% and 15.8% for the nine months ended June 30, 2019 and 2018, respectively. In accordance with ASC Topic 740, “Income Taxes,” the Company records income tax expense for interim periods using the estimated annual effective income tax rate for the full fiscal year adjusted for the impact of discrete items occurring during the interim periods.</w:t>
      </w:r>
    </w:p>
    <w:p>
      <w:pPr>
        <w:spacing w:after="0" w:line="183" w:lineRule="exact"/>
        <w:rPr>
          <w:sz w:val="20"/>
          <w:szCs w:val="20"/>
          <w:color w:val="auto"/>
        </w:rPr>
      </w:pPr>
    </w:p>
    <w:p>
      <w:pPr>
        <w:ind w:left="220" w:right="80" w:firstLine="440"/>
        <w:spacing w:after="0" w:line="269" w:lineRule="auto"/>
        <w:rPr>
          <w:sz w:val="20"/>
          <w:szCs w:val="20"/>
          <w:color w:val="auto"/>
        </w:rPr>
      </w:pPr>
      <w:r>
        <w:rPr>
          <w:rFonts w:ascii="Arial" w:cs="Arial" w:eastAsia="Arial" w:hAnsi="Arial"/>
          <w:sz w:val="17"/>
          <w:szCs w:val="17"/>
          <w:color w:val="auto"/>
        </w:rPr>
        <w:t>The effective income tax rate in the nine months ended June 30, 2018 was impacted by the Tax Cuts and Jobs Act (the “Tax Act”), which was enacted on December 22, 2017. The Tax Act resulted in significant impacts to the Company’s accounting for income taxes, with the most significant of these impacts resulting from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nine months ended June 30, 2018, the Company (i) remeasured its existing deferred tax assets and liabilities considering both the 2018 fiscal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NOTE 6—PROPERTY, NET</w:t>
            </w: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vMerge w:val="continue"/>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7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24"/>
                <w:szCs w:val="24"/>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80" w:type="dxa"/>
            <w:vAlign w:val="bottom"/>
          </w:tcPr>
          <w:p>
            <w:pPr>
              <w:spacing w:after="0"/>
              <w:rPr>
                <w:sz w:val="24"/>
                <w:szCs w:val="24"/>
                <w:color w:val="auto"/>
              </w:rPr>
            </w:pPr>
          </w:p>
        </w:tc>
        <w:tc>
          <w:tcPr>
            <w:tcW w:w="5280" w:type="dxa"/>
            <w:vAlign w:val="bottom"/>
            <w:gridSpan w:val="3"/>
          </w:tcPr>
          <w:p>
            <w:pPr>
              <w:jc w:val="right"/>
              <w:ind w:right="3327"/>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7—INTANGIBLE ASSETS,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subject to amortization are as follows: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June 30, 2019</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w w:val="91"/>
              </w:rPr>
              <w:t>September 30, 2018</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56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(54.0)</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Trademarks/brands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(50.1)</w:t>
            </w:r>
          </w:p>
        </w:tc>
        <w:tc>
          <w:tcPr>
            <w:tcW w:w="56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302.1</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costs, including stock-based compensation expense, as well as costs related to the finance, information technology, legal, human resources, quality,</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supply chain and purchasing functions. Costs for these functions and services performed by Post have been allocated to the Company based on a</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method. Allocated costs were $8.3 and $3.3 for the nine months ended June 30, 2019 and 2018, respectively, and are included in “Selling, general and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administrative expenses” in the Condensed Combined Statements of Operations and Comprehensive Income. Allocated costs include $3.9 of costs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related to the separation of the Company from Post for the nine months ended June 30, 2019. Separation costs of $0.1 were recorded directly by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Company during the nine months ended June 30, 2019, and were included in “selling, general and administrative expenses” in the Condensed Combined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Statements of Operations and Comprehensive Income. All allocated costs are included in “Change in net parent investment” within financing activities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 the Condensed Combined Statements of Cash Flows. It is not practicable to determine the actual expenses that would have been incurred for these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services had the Company operated as a separate entity. Actual costs that would have been incurred had the Company operated as a separate public</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company during the periods presented would depend on a number of factors, including the organizational structure and strategic decisions made in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various areas, such as human resources, legal, finance, information technology and infrastructure, among others. Management considers the allocation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method to be reasonable.</w:t>
      </w:r>
    </w:p>
    <w:p>
      <w:pPr>
        <w:spacing w:after="0" w:line="210"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Financial resources for the Company’s U.S. operations have historically been provided by Post, which has managed cash and cash equivalents on a centralized basis. Under Post’s centralized cash management system, cash requirements are provided directly by Post and cash generated by the Company is generally remitted directly to Post. Transaction systems (e.g. payroll and employee benefits) used to record and account for cash disbursements are generally provided by Post. Cash receipts associated with the U.S. business have been transferred to Post on a daily basis and Post has funded the Company’s cash disbursements. Financial resources for the Company’s international operations have been historically managed by the Company.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color w:val="auto"/>
        </w:rPr>
        <w:t>In March 2013, a complaint was filed on behalf of a putative, nationwide class of consumers against Premier Nutrition Corporation (“Premier Nutrition”) in the U.S. District Court for the Northern District of California</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spacing w:after="0" w:line="263" w:lineRule="auto"/>
        <w:rPr>
          <w:sz w:val="20"/>
          <w:szCs w:val="20"/>
          <w:color w:val="auto"/>
        </w:rPr>
      </w:pPr>
      <w:r>
        <w:rPr>
          <w:rFonts w:ascii="Arial" w:cs="Arial" w:eastAsia="Arial" w:hAnsi="Arial"/>
          <w:sz w:val="18"/>
          <w:szCs w:val="18"/>
          <w:color w:val="auto"/>
        </w:rPr>
        <w:t xml:space="preserve">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dietary supplements were false and misleading. In April 2016, the district court certified a California-only class of consumers in this lawsuit ( this lawsuit is hereinafter referred to as the “California Class Lawsuit”).</w:t>
      </w:r>
    </w:p>
    <w:p>
      <w:pPr>
        <w:spacing w:after="0" w:line="183"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Maryland, Massachusetts, Michigan, New Jersey, New Mexico, New York and Pennsylvania. These additional complaints contain factual allegations similar to the California Class Lawsuit, also seeking monetary damages and injunctive relief.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0"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3" w:lineRule="exact"/>
        <w:rPr>
          <w:sz w:val="20"/>
          <w:szCs w:val="20"/>
          <w:color w:val="auto"/>
        </w:rPr>
      </w:pPr>
    </w:p>
    <w:p>
      <w:pPr>
        <w:ind w:left="220" w:right="440" w:firstLine="440"/>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20" w:right="760" w:firstLine="440"/>
        <w:spacing w:after="0" w:line="277" w:lineRule="auto"/>
        <w:rPr>
          <w:sz w:val="20"/>
          <w:szCs w:val="20"/>
          <w:color w:val="auto"/>
        </w:rPr>
      </w:pPr>
      <w:r>
        <w:rPr>
          <w:rFonts w:ascii="Arial" w:cs="Arial" w:eastAsia="Arial" w:hAnsi="Arial"/>
          <w:sz w:val="18"/>
          <w:szCs w:val="18"/>
          <w:color w:val="auto"/>
        </w:rPr>
        <w:t>At both June 30, 2019 and September 30, 2018, the Company had accrued $8.5 related to this matter that was included in “Other current liabilities” on the Condensed Combined Balance Sheets.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5800"/>
        <w:spacing w:after="0"/>
        <w:rPr>
          <w:sz w:val="20"/>
          <w:szCs w:val="20"/>
          <w:color w:val="auto"/>
        </w:rPr>
      </w:pPr>
      <w:r>
        <w:rPr>
          <w:rFonts w:ascii="Arial" w:cs="Arial" w:eastAsia="Arial" w:hAnsi="Arial"/>
          <w:sz w:val="32"/>
          <w:szCs w:val="32"/>
          <w:i w:val="1"/>
          <w:iCs w:val="1"/>
          <w:color w:val="auto"/>
        </w:rPr>
        <w:t>Shares</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43"/>
          <w:szCs w:val="43"/>
          <w:i w:val="1"/>
          <w:iCs w:val="1"/>
          <w:color w:val="auto"/>
        </w:rPr>
        <w:t>BellRing Brands, Inc.</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Morgan Stanley</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Citigroup</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J.P. Morgan</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Goldman Sachs &amp; Co. LLC</w:t>
      </w: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BofA Merrill Lynch</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Barclays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BMO Capital Markets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Credit Suisse</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Evercore ISI</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Stifel</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SunTrust Robinson Humphrey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Wells Fargo Securities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HSBC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Nomura</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PNC Capital Markets LLC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Rabo Securities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UBS Investment Bank</w:t>
      </w:r>
    </w:p>
    <w:p>
      <w:pPr>
        <w:spacing w:after="0" w:line="200" w:lineRule="exact"/>
        <w:rPr>
          <w:sz w:val="20"/>
          <w:szCs w:val="20"/>
          <w:color w:val="auto"/>
        </w:rPr>
      </w:pPr>
    </w:p>
    <w:p>
      <w:pPr>
        <w:spacing w:after="0" w:line="348" w:lineRule="exact"/>
        <w:rPr>
          <w:sz w:val="20"/>
          <w:szCs w:val="20"/>
          <w:color w:val="auto"/>
        </w:rPr>
      </w:pPr>
    </w:p>
    <w:p>
      <w:pPr>
        <w:ind w:left="220" w:right="180"/>
        <w:spacing w:after="0" w:line="256"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91" w:lineRule="exact"/>
        <w:rPr>
          <w:sz w:val="20"/>
          <w:szCs w:val="20"/>
          <w:color w:val="auto"/>
        </w:rPr>
      </w:pPr>
    </w:p>
    <w:p>
      <w:pPr>
        <w:jc w:val="both"/>
        <w:ind w:left="220" w:right="4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0"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200"/>
          </w:cols>
          <w:pgMar w:left="240" w:top="459" w:right="45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7389495</wp:posOffset>
            </wp:positionV>
            <wp:extent cx="1670050" cy="8223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70050" cy="82232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20" w:right="200" w:firstLine="440"/>
        <w:spacing w:after="0" w:line="307" w:lineRule="auto"/>
        <w:rPr>
          <w:sz w:val="20"/>
          <w:szCs w:val="20"/>
          <w:color w:val="auto"/>
        </w:rPr>
      </w:pPr>
      <w:r>
        <w:rPr>
          <w:rFonts w:ascii="Arial" w:cs="Arial" w:eastAsia="Arial" w:hAnsi="Arial"/>
          <w:sz w:val="17"/>
          <w:szCs w:val="17"/>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12,120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15,500</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6820" w:type="dxa"/>
            <w:vAlign w:val="bottom"/>
            <w:gridSpan w:val="2"/>
          </w:tcPr>
          <w:p>
            <w:pPr>
              <w:spacing w:after="0"/>
              <w:rPr>
                <w:sz w:val="20"/>
                <w:szCs w:val="20"/>
                <w:color w:val="auto"/>
              </w:rPr>
            </w:pPr>
            <w:r>
              <w:rPr>
                <w:rFonts w:ascii="Arial" w:cs="Arial" w:eastAsia="Arial" w:hAnsi="Arial"/>
                <w:sz w:val="18"/>
                <w:szCs w:val="18"/>
                <w:color w:val="auto"/>
              </w:rPr>
              <w:t>*  To be furnished by amendment.</w:t>
            </w: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20" w:right="140" w:firstLine="440"/>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0" w:lineRule="exact"/>
        <w:rPr>
          <w:sz w:val="20"/>
          <w:szCs w:val="20"/>
          <w:color w:val="auto"/>
        </w:rPr>
      </w:pPr>
    </w:p>
    <w:p>
      <w:pPr>
        <w:ind w:left="220" w:right="120" w:firstLine="440"/>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7"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2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On March 25, 2019, we issued 1,000 shares of common stock to Post Holdings, Inc. in exchange for $10.00 in the aggregate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the share of our Class B common stock to Post Holdings, Inc., also under an exemption from registration provided by Section 4(a)(2) of the Securities Act. No underwriters will be involved in these transactions.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4" w:lineRule="exact"/>
        <w:rPr>
          <w:sz w:val="20"/>
          <w:szCs w:val="20"/>
          <w:color w:val="auto"/>
        </w:rPr>
      </w:pPr>
    </w:p>
    <w:p>
      <w:pPr>
        <w:ind w:left="640" w:hanging="430"/>
        <w:spacing w:after="0"/>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17. Undertakings.</w:t>
      </w:r>
    </w:p>
    <w:p>
      <w:pPr>
        <w:spacing w:after="0" w:line="134" w:lineRule="exact"/>
        <w:rPr>
          <w:sz w:val="20"/>
          <w:szCs w:val="20"/>
          <w:color w:val="auto"/>
        </w:rPr>
      </w:pPr>
    </w:p>
    <w:p>
      <w:pPr>
        <w:ind w:left="640" w:hanging="430"/>
        <w:spacing w:after="0" w:line="271"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2" w:lineRule="exact"/>
        <w:rPr>
          <w:rFonts w:ascii="Arial" w:cs="Arial" w:eastAsia="Arial" w:hAnsi="Arial"/>
          <w:sz w:val="17"/>
          <w:szCs w:val="17"/>
          <w:color w:val="auto"/>
        </w:rPr>
      </w:pPr>
    </w:p>
    <w:p>
      <w:pPr>
        <w:ind w:left="640" w:hanging="430"/>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1180" w:right="60" w:hanging="424"/>
        <w:spacing w:after="0" w:line="290" w:lineRule="auto"/>
        <w:tabs>
          <w:tab w:leader="none" w:pos="11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spacing w:after="0" w:line="1" w:lineRule="exact"/>
        <w:rPr>
          <w:rFonts w:ascii="Arial" w:cs="Arial" w:eastAsia="Arial" w:hAnsi="Arial"/>
          <w:sz w:val="16"/>
          <w:szCs w:val="16"/>
          <w:color w:val="auto"/>
        </w:rPr>
      </w:pPr>
    </w:p>
    <w:p>
      <w:pPr>
        <w:ind w:left="1180" w:right="620" w:firstLine="2"/>
        <w:spacing w:after="0" w:line="260" w:lineRule="auto"/>
        <w:tabs>
          <w:tab w:leader="none" w:pos="1434" w:val="left"/>
        </w:tabs>
        <w:numPr>
          <w:ilvl w:val="2"/>
          <w:numId w:val="124"/>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 and</w:t>
      </w:r>
    </w:p>
    <w:p>
      <w:pPr>
        <w:spacing w:after="0" w:line="90" w:lineRule="exact"/>
        <w:rPr>
          <w:rFonts w:ascii="Arial" w:cs="Arial" w:eastAsia="Arial" w:hAnsi="Arial"/>
          <w:sz w:val="18"/>
          <w:szCs w:val="18"/>
          <w:color w:val="auto"/>
        </w:rPr>
      </w:pPr>
    </w:p>
    <w:p>
      <w:pPr>
        <w:jc w:val="both"/>
        <w:ind w:left="1180" w:right="100" w:hanging="424"/>
        <w:spacing w:after="0" w:line="263" w:lineRule="auto"/>
        <w:tabs>
          <w:tab w:leader="none" w:pos="11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Arial" w:cs="Arial" w:eastAsia="Arial" w:hAnsi="Arial"/>
          <w:sz w:val="18"/>
          <w:szCs w:val="18"/>
          <w:color w:val="auto"/>
        </w:rPr>
      </w:pPr>
    </w:p>
    <w:p>
      <w:pPr>
        <w:ind w:left="5700" w:hanging="166"/>
        <w:spacing w:after="0"/>
        <w:tabs>
          <w:tab w:leader="none" w:pos="5700" w:val="left"/>
        </w:tabs>
        <w:numPr>
          <w:ilvl w:val="3"/>
          <w:numId w:val="124"/>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220"/>
          </w:cols>
          <w:pgMar w:left="24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4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00" w:type="dxa"/>
            <w:vAlign w:val="bottom"/>
            <w:gridSpan w:val="8"/>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80" w:type="dxa"/>
            <w:vAlign w:val="bottom"/>
          </w:tcPr>
          <w:p>
            <w:pPr>
              <w:spacing w:after="0"/>
              <w:rPr>
                <w:sz w:val="24"/>
                <w:szCs w:val="24"/>
                <w:color w:val="auto"/>
              </w:rPr>
            </w:pPr>
          </w:p>
        </w:tc>
        <w:tc>
          <w:tcPr>
            <w:tcW w:w="5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93"/>
              </w:rPr>
              <w:t>1.1*</w:t>
            </w:r>
          </w:p>
        </w:tc>
        <w:tc>
          <w:tcPr>
            <w:tcW w:w="520" w:type="dxa"/>
            <w:vAlign w:val="bottom"/>
          </w:tcPr>
          <w:p>
            <w:pPr>
              <w:spacing w:after="0"/>
              <w:rPr>
                <w:sz w:val="24"/>
                <w:szCs w:val="24"/>
                <w:color w:val="auto"/>
              </w:rPr>
            </w:pPr>
          </w:p>
        </w:tc>
        <w:tc>
          <w:tcPr>
            <w:tcW w:w="360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Arial" w:cs="Arial" w:eastAsia="Arial" w:hAnsi="Arial"/>
                <w:sz w:val="18"/>
                <w:szCs w:val="18"/>
                <w:color w:val="0000EE"/>
              </w:rPr>
              <w:t>Form of Amended and Restated Certificate of Incorporation of BellRing Brands, Inc.</w:t>
            </w: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612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Form of Amended and Restated Bylaws of BellRing Brands, Inc.</w:t>
            </w:r>
          </w:p>
        </w:tc>
        <w:tc>
          <w:tcPr>
            <w:tcW w:w="3720" w:type="dxa"/>
            <w:vAlign w:val="bottom"/>
            <w:gridSpan w:val="3"/>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Arial" w:cs="Arial" w:eastAsia="Arial" w:hAnsi="Arial"/>
                <w:sz w:val="18"/>
                <w:szCs w:val="18"/>
                <w:color w:val="0000EE"/>
              </w:rPr>
              <w:t>Form of Class A Common Stock Certificate of BellRing Brands, Inc.</w:t>
            </w:r>
          </w:p>
        </w:tc>
      </w:tr>
      <w:tr>
        <w:trPr>
          <w:trHeight w:val="344"/>
        </w:trPr>
        <w:tc>
          <w:tcPr>
            <w:tcW w:w="580" w:type="dxa"/>
            <w:vAlign w:val="bottom"/>
            <w:gridSpan w:val="2"/>
          </w:tcPr>
          <w:p>
            <w:pPr>
              <w:jc w:val="right"/>
              <w:ind w:right="99"/>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360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Opinion of Lewis Rice LLC</w:t>
            </w:r>
          </w:p>
        </w:tc>
        <w:tc>
          <w:tcPr>
            <w:tcW w:w="9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10.1</w:t>
            </w:r>
          </w:p>
        </w:tc>
        <w:tc>
          <w:tcPr>
            <w:tcW w:w="52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Form of Master Transaction Agreement</w:t>
            </w:r>
          </w:p>
        </w:tc>
        <w:tc>
          <w:tcPr>
            <w:tcW w:w="74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10.2</w:t>
            </w:r>
          </w:p>
        </w:tc>
        <w:tc>
          <w:tcPr>
            <w:tcW w:w="520" w:type="dxa"/>
            <w:vAlign w:val="bottom"/>
          </w:tcPr>
          <w:p>
            <w:pPr>
              <w:spacing w:after="0"/>
              <w:rPr>
                <w:sz w:val="24"/>
                <w:szCs w:val="24"/>
                <w:color w:val="auto"/>
              </w:rPr>
            </w:pPr>
          </w:p>
        </w:tc>
        <w:tc>
          <w:tcPr>
            <w:tcW w:w="28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Form of Employee Matters Agreement</w:t>
            </w:r>
          </w:p>
        </w:tc>
        <w:tc>
          <w:tcPr>
            <w:tcW w:w="76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10.3</w:t>
            </w:r>
          </w:p>
        </w:tc>
        <w:tc>
          <w:tcPr>
            <w:tcW w:w="520" w:type="dxa"/>
            <w:vAlign w:val="bottom"/>
          </w:tcPr>
          <w:p>
            <w:pPr>
              <w:spacing w:after="0"/>
              <w:rPr>
                <w:sz w:val="24"/>
                <w:szCs w:val="24"/>
                <w:color w:val="auto"/>
              </w:rPr>
            </w:pPr>
          </w:p>
        </w:tc>
        <w:tc>
          <w:tcPr>
            <w:tcW w:w="2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Form of Investor Rights Agreement</w:t>
            </w:r>
          </w:p>
        </w:tc>
        <w:tc>
          <w:tcPr>
            <w:tcW w:w="1020" w:type="dxa"/>
            <w:vAlign w:val="bottom"/>
            <w:gridSpan w:val="9"/>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10.4</w:t>
            </w:r>
          </w:p>
        </w:tc>
        <w:tc>
          <w:tcPr>
            <w:tcW w:w="5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Arial" w:cs="Arial" w:eastAsia="Arial" w:hAnsi="Arial"/>
                <w:sz w:val="18"/>
                <w:szCs w:val="18"/>
                <w:color w:val="0000EE"/>
              </w:rPr>
              <w:t>Form of Amended and Restated Limited Liability Company Agreement of BellRing Brands, LLC</w:t>
            </w: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10.5</w:t>
            </w:r>
          </w:p>
        </w:tc>
        <w:tc>
          <w:tcPr>
            <w:tcW w:w="52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0"/>
              </w:rPr>
              <w:t>Form of Tax Matters Agreement</w:t>
            </w:r>
          </w:p>
        </w:tc>
        <w:tc>
          <w:tcPr>
            <w:tcW w:w="1260" w:type="dxa"/>
            <w:vAlign w:val="bottom"/>
            <w:tcBorders>
              <w:top w:val="single" w:sz="8" w:color="0000EE"/>
            </w:tcBorders>
            <w:gridSpan w:val="11"/>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10.6</w:t>
            </w:r>
          </w:p>
        </w:tc>
        <w:tc>
          <w:tcPr>
            <w:tcW w:w="520" w:type="dxa"/>
            <w:vAlign w:val="bottom"/>
          </w:tcPr>
          <w:p>
            <w:pPr>
              <w:spacing w:after="0"/>
              <w:rPr>
                <w:sz w:val="24"/>
                <w:szCs w:val="24"/>
                <w:color w:val="auto"/>
              </w:rPr>
            </w:pPr>
          </w:p>
        </w:tc>
        <w:tc>
          <w:tcPr>
            <w:tcW w:w="2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Form of Tax Receivable Agreement</w:t>
            </w:r>
          </w:p>
        </w:tc>
        <w:tc>
          <w:tcPr>
            <w:tcW w:w="1020" w:type="dxa"/>
            <w:vAlign w:val="bottom"/>
            <w:gridSpan w:val="9"/>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10.7</w:t>
            </w:r>
          </w:p>
        </w:tc>
        <w:tc>
          <w:tcPr>
            <w:tcW w:w="520" w:type="dxa"/>
            <w:vAlign w:val="bottom"/>
          </w:tcPr>
          <w:p>
            <w:pPr>
              <w:spacing w:after="0"/>
              <w:rPr>
                <w:sz w:val="24"/>
                <w:szCs w:val="24"/>
                <w:color w:val="auto"/>
              </w:rPr>
            </w:pPr>
          </w:p>
        </w:tc>
        <w:tc>
          <w:tcPr>
            <w:tcW w:w="2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Form of Master Services Agreement</w:t>
            </w:r>
          </w:p>
        </w:tc>
        <w:tc>
          <w:tcPr>
            <w:tcW w:w="96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10.8</w:t>
            </w:r>
          </w:p>
        </w:tc>
        <w:tc>
          <w:tcPr>
            <w:tcW w:w="520" w:type="dxa"/>
            <w:vAlign w:val="bottom"/>
          </w:tcPr>
          <w:p>
            <w:pPr>
              <w:spacing w:after="0"/>
              <w:rPr>
                <w:sz w:val="24"/>
                <w:szCs w:val="24"/>
                <w:color w:val="auto"/>
              </w:rPr>
            </w:pPr>
          </w:p>
        </w:tc>
        <w:tc>
          <w:tcPr>
            <w:tcW w:w="2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Form of Indemnification Agreement</w:t>
            </w:r>
          </w:p>
        </w:tc>
        <w:tc>
          <w:tcPr>
            <w:tcW w:w="980" w:type="dxa"/>
            <w:vAlign w:val="bottom"/>
            <w:gridSpan w:val="8"/>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10.9</w:t>
            </w:r>
          </w:p>
        </w:tc>
        <w:tc>
          <w:tcPr>
            <w:tcW w:w="520" w:type="dxa"/>
            <w:vAlign w:val="bottom"/>
          </w:tcPr>
          <w:p>
            <w:pPr>
              <w:spacing w:after="0"/>
              <w:rPr>
                <w:sz w:val="24"/>
                <w:szCs w:val="24"/>
                <w:color w:val="auto"/>
              </w:rPr>
            </w:pPr>
          </w:p>
        </w:tc>
        <w:tc>
          <w:tcPr>
            <w:tcW w:w="45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Form of BellRing Brands, Inc. 2019 Long-Term Incentive Plan</w:t>
            </w:r>
          </w:p>
        </w:tc>
        <w:tc>
          <w:tcPr>
            <w:tcW w:w="5300" w:type="dxa"/>
            <w:vAlign w:val="bottom"/>
            <w:gridSpan w:val="8"/>
          </w:tcPr>
          <w:p>
            <w:pPr>
              <w:spacing w:after="0"/>
              <w:rPr>
                <w:sz w:val="24"/>
                <w:szCs w:val="24"/>
                <w:color w:val="auto"/>
              </w:rPr>
            </w:pPr>
          </w:p>
        </w:tc>
      </w:tr>
      <w:tr>
        <w:trPr>
          <w:trHeight w:val="330"/>
        </w:trPr>
        <w:tc>
          <w:tcPr>
            <w:tcW w:w="580" w:type="dxa"/>
            <w:vAlign w:val="bottom"/>
            <w:gridSpan w:val="2"/>
          </w:tcPr>
          <w:p>
            <w:pPr>
              <w:jc w:val="right"/>
              <w:ind w:right="19"/>
              <w:spacing w:after="0"/>
              <w:rPr>
                <w:sz w:val="20"/>
                <w:szCs w:val="20"/>
                <w:color w:val="auto"/>
              </w:rPr>
            </w:pPr>
            <w:r>
              <w:rPr>
                <w:rFonts w:ascii="Arial" w:cs="Arial" w:eastAsia="Arial" w:hAnsi="Arial"/>
                <w:sz w:val="18"/>
                <w:szCs w:val="18"/>
                <w:color w:val="auto"/>
                <w:w w:val="88"/>
              </w:rPr>
              <w:t>10.10*</w:t>
            </w:r>
          </w:p>
        </w:tc>
        <w:tc>
          <w:tcPr>
            <w:tcW w:w="520" w:type="dxa"/>
            <w:vAlign w:val="bottom"/>
          </w:tcPr>
          <w:p>
            <w:pPr>
              <w:spacing w:after="0"/>
              <w:rPr>
                <w:sz w:val="24"/>
                <w:szCs w:val="24"/>
                <w:color w:val="auto"/>
              </w:rPr>
            </w:pPr>
          </w:p>
        </w:tc>
        <w:tc>
          <w:tcPr>
            <w:tcW w:w="3600" w:type="dxa"/>
            <w:vAlign w:val="bottom"/>
            <w:gridSpan w:val="14"/>
          </w:tcPr>
          <w:p>
            <w:pPr>
              <w:spacing w:after="0"/>
              <w:rPr>
                <w:sz w:val="20"/>
                <w:szCs w:val="20"/>
                <w:color w:val="auto"/>
              </w:rPr>
            </w:pPr>
            <w:r>
              <w:rPr>
                <w:rFonts w:ascii="Arial" w:cs="Arial" w:eastAsia="Arial" w:hAnsi="Arial"/>
                <w:sz w:val="18"/>
                <w:szCs w:val="18"/>
                <w:color w:val="auto"/>
              </w:rPr>
              <w:t>Bridge Facility Agreement dated as of</w:t>
            </w:r>
          </w:p>
        </w:tc>
        <w:tc>
          <w:tcPr>
            <w:tcW w:w="6240" w:type="dxa"/>
            <w:vAlign w:val="bottom"/>
            <w:gridSpan w:val="9"/>
          </w:tcPr>
          <w:p>
            <w:pPr>
              <w:ind w:left="100"/>
              <w:spacing w:after="0"/>
              <w:rPr>
                <w:sz w:val="20"/>
                <w:szCs w:val="20"/>
                <w:color w:val="auto"/>
              </w:rPr>
            </w:pPr>
            <w:r>
              <w:rPr>
                <w:rFonts w:ascii="Arial" w:cs="Arial" w:eastAsia="Arial" w:hAnsi="Arial"/>
                <w:sz w:val="18"/>
                <w:szCs w:val="18"/>
                <w:color w:val="auto"/>
              </w:rPr>
              <w:t>, 2019, among Post Holdings, Inc., Morgan Stanley Senior Funding, Inc., as</w:t>
            </w: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40" w:type="dxa"/>
            <w:vAlign w:val="bottom"/>
            <w:gridSpan w:val="23"/>
          </w:tcPr>
          <w:p>
            <w:pPr>
              <w:spacing w:after="0"/>
              <w:rPr>
                <w:sz w:val="20"/>
                <w:szCs w:val="20"/>
                <w:color w:val="auto"/>
              </w:rPr>
            </w:pPr>
            <w:r>
              <w:rPr>
                <w:rFonts w:ascii="Arial" w:cs="Arial" w:eastAsia="Arial" w:hAnsi="Arial"/>
                <w:sz w:val="18"/>
                <w:szCs w:val="18"/>
                <w:color w:val="auto"/>
              </w:rPr>
              <w:t>Administrative Agent and other lenders from time to time party thereto</w:t>
            </w:r>
          </w:p>
        </w:tc>
      </w:tr>
      <w:tr>
        <w:trPr>
          <w:trHeight w:val="309"/>
        </w:trPr>
        <w:tc>
          <w:tcPr>
            <w:tcW w:w="580" w:type="dxa"/>
            <w:vAlign w:val="bottom"/>
            <w:gridSpan w:val="2"/>
          </w:tcPr>
          <w:p>
            <w:pPr>
              <w:jc w:val="right"/>
              <w:ind w:right="19"/>
              <w:spacing w:after="0"/>
              <w:rPr>
                <w:sz w:val="20"/>
                <w:szCs w:val="20"/>
                <w:color w:val="auto"/>
              </w:rPr>
            </w:pPr>
            <w:r>
              <w:rPr>
                <w:rFonts w:ascii="Arial" w:cs="Arial" w:eastAsia="Arial" w:hAnsi="Arial"/>
                <w:sz w:val="18"/>
                <w:szCs w:val="18"/>
                <w:color w:val="auto"/>
                <w:w w:val="88"/>
              </w:rPr>
              <w:t>10.11*</w:t>
            </w:r>
          </w:p>
        </w:tc>
        <w:tc>
          <w:tcPr>
            <w:tcW w:w="520" w:type="dxa"/>
            <w:vAlign w:val="bottom"/>
          </w:tcPr>
          <w:p>
            <w:pPr>
              <w:spacing w:after="0"/>
              <w:rPr>
                <w:sz w:val="24"/>
                <w:szCs w:val="24"/>
                <w:color w:val="auto"/>
              </w:rPr>
            </w:pPr>
          </w:p>
        </w:tc>
        <w:tc>
          <w:tcPr>
            <w:tcW w:w="3600" w:type="dxa"/>
            <w:vAlign w:val="bottom"/>
            <w:gridSpan w:val="14"/>
          </w:tcPr>
          <w:p>
            <w:pPr>
              <w:spacing w:after="0"/>
              <w:rPr>
                <w:sz w:val="20"/>
                <w:szCs w:val="20"/>
                <w:color w:val="auto"/>
              </w:rPr>
            </w:pPr>
            <w:r>
              <w:rPr>
                <w:rFonts w:ascii="Arial" w:cs="Arial" w:eastAsia="Arial" w:hAnsi="Arial"/>
                <w:sz w:val="18"/>
                <w:szCs w:val="18"/>
                <w:color w:val="auto"/>
                <w:w w:val="92"/>
              </w:rPr>
              <w:t>Guarantee and Collateral Agreement dated as of</w:t>
            </w:r>
          </w:p>
        </w:tc>
        <w:tc>
          <w:tcPr>
            <w:tcW w:w="6240" w:type="dxa"/>
            <w:vAlign w:val="bottom"/>
            <w:gridSpan w:val="9"/>
          </w:tcPr>
          <w:p>
            <w:pPr>
              <w:ind w:left="440"/>
              <w:spacing w:after="0"/>
              <w:rPr>
                <w:sz w:val="20"/>
                <w:szCs w:val="20"/>
                <w:color w:val="auto"/>
              </w:rPr>
            </w:pPr>
            <w:r>
              <w:rPr>
                <w:rFonts w:ascii="Arial" w:cs="Arial" w:eastAsia="Arial" w:hAnsi="Arial"/>
                <w:sz w:val="18"/>
                <w:szCs w:val="18"/>
                <w:color w:val="auto"/>
                <w:w w:val="90"/>
              </w:rPr>
              <w:t>, 2019 among Post Holdings, Inc., certain of its subsidiaries and Morgan Stanley</w:t>
            </w: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0" w:type="dxa"/>
            <w:vAlign w:val="bottom"/>
            <w:gridSpan w:val="14"/>
          </w:tcPr>
          <w:p>
            <w:pPr>
              <w:spacing w:after="0"/>
              <w:rPr>
                <w:sz w:val="20"/>
                <w:szCs w:val="20"/>
                <w:color w:val="auto"/>
              </w:rPr>
            </w:pPr>
            <w:r>
              <w:rPr>
                <w:rFonts w:ascii="Arial" w:cs="Arial" w:eastAsia="Arial" w:hAnsi="Arial"/>
                <w:sz w:val="18"/>
                <w:szCs w:val="18"/>
                <w:color w:val="auto"/>
                <w:w w:val="99"/>
              </w:rPr>
              <w:t>Senior Funding, Inc., as Administrative Agent</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580" w:type="dxa"/>
            <w:vAlign w:val="bottom"/>
            <w:gridSpan w:val="2"/>
          </w:tcPr>
          <w:p>
            <w:pPr>
              <w:jc w:val="right"/>
              <w:ind w:right="19"/>
              <w:spacing w:after="0"/>
              <w:rPr>
                <w:sz w:val="20"/>
                <w:szCs w:val="20"/>
                <w:color w:val="auto"/>
              </w:rPr>
            </w:pPr>
            <w:r>
              <w:rPr>
                <w:rFonts w:ascii="Arial" w:cs="Arial" w:eastAsia="Arial" w:hAnsi="Arial"/>
                <w:sz w:val="18"/>
                <w:szCs w:val="18"/>
                <w:color w:val="auto"/>
                <w:w w:val="83"/>
              </w:rPr>
              <w:t>10.12†</w:t>
            </w:r>
          </w:p>
        </w:tc>
        <w:tc>
          <w:tcPr>
            <w:tcW w:w="5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Arial" w:cs="Arial" w:eastAsia="Arial" w:hAnsi="Arial"/>
                <w:sz w:val="18"/>
                <w:szCs w:val="18"/>
                <w:color w:val="0000EE"/>
                <w:w w:val="91"/>
              </w:rPr>
              <w:t>Stremick Heritage Foods, LLC and Premier Nutrition Corporation Manufacturing Agreement dated as of July 1, 2017, as amended June</w:t>
            </w: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11, 2018, October 1, 2018 and July 3, 2019</w:t>
            </w: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21.1</w:t>
            </w:r>
          </w:p>
        </w:tc>
        <w:tc>
          <w:tcPr>
            <w:tcW w:w="520" w:type="dxa"/>
            <w:vAlign w:val="bottom"/>
          </w:tcPr>
          <w:p>
            <w:pPr>
              <w:spacing w:after="0"/>
              <w:rPr>
                <w:sz w:val="24"/>
                <w:szCs w:val="24"/>
                <w:color w:val="auto"/>
              </w:rPr>
            </w:pPr>
          </w:p>
        </w:tc>
        <w:tc>
          <w:tcPr>
            <w:tcW w:w="310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Subsidiaries of BellRing Brands, Inc.</w:t>
            </w:r>
          </w:p>
        </w:tc>
        <w:tc>
          <w:tcPr>
            <w:tcW w:w="5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23.1</w:t>
            </w:r>
          </w:p>
        </w:tc>
        <w:tc>
          <w:tcPr>
            <w:tcW w:w="52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Consent of PricewaterhouseCoopers LLP</w:t>
            </w:r>
          </w:p>
        </w:tc>
        <w:tc>
          <w:tcPr>
            <w:tcW w:w="62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23.2</w:t>
            </w:r>
          </w:p>
        </w:tc>
        <w:tc>
          <w:tcPr>
            <w:tcW w:w="52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Consent of PricewaterhouseCoopers LLP</w:t>
            </w:r>
          </w:p>
        </w:tc>
        <w:tc>
          <w:tcPr>
            <w:tcW w:w="62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580" w:type="dxa"/>
            <w:vAlign w:val="bottom"/>
            <w:gridSpan w:val="2"/>
          </w:tcPr>
          <w:p>
            <w:pPr>
              <w:jc w:val="right"/>
              <w:ind w:right="99"/>
              <w:spacing w:after="0"/>
              <w:rPr>
                <w:sz w:val="20"/>
                <w:szCs w:val="20"/>
                <w:color w:val="auto"/>
              </w:rPr>
            </w:pPr>
            <w:r>
              <w:rPr>
                <w:rFonts w:ascii="Arial" w:cs="Arial" w:eastAsia="Arial" w:hAnsi="Arial"/>
                <w:sz w:val="18"/>
                <w:szCs w:val="18"/>
                <w:color w:val="auto"/>
                <w:w w:val="90"/>
              </w:rPr>
              <w:t>23.3*</w:t>
            </w:r>
          </w:p>
        </w:tc>
        <w:tc>
          <w:tcPr>
            <w:tcW w:w="5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Arial" w:cs="Arial" w:eastAsia="Arial" w:hAnsi="Arial"/>
                <w:sz w:val="18"/>
                <w:szCs w:val="18"/>
                <w:color w:val="auto"/>
              </w:rPr>
              <w:t>Consent of Lewis Rice LLC (contained in Exhibit 5.1)</w:t>
            </w:r>
          </w:p>
        </w:tc>
      </w:tr>
      <w:tr>
        <w:trPr>
          <w:trHeight w:val="283"/>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24.1</w:t>
            </w:r>
          </w:p>
        </w:tc>
        <w:tc>
          <w:tcPr>
            <w:tcW w:w="520" w:type="dxa"/>
            <w:vAlign w:val="bottom"/>
          </w:tcPr>
          <w:p>
            <w:pPr>
              <w:spacing w:after="0"/>
              <w:rPr>
                <w:sz w:val="24"/>
                <w:szCs w:val="24"/>
                <w:color w:val="auto"/>
              </w:rPr>
            </w:pPr>
          </w:p>
        </w:tc>
        <w:tc>
          <w:tcPr>
            <w:tcW w:w="3600" w:type="dxa"/>
            <w:vAlign w:val="bottom"/>
            <w:gridSpan w:val="14"/>
          </w:tcPr>
          <w:p>
            <w:pPr>
              <w:spacing w:after="0"/>
              <w:rPr>
                <w:rFonts w:ascii="Arial" w:cs="Arial" w:eastAsia="Arial" w:hAnsi="Arial"/>
                <w:sz w:val="18"/>
                <w:szCs w:val="18"/>
                <w:color w:val="0000EE"/>
                <w:w w:val="92"/>
              </w:rPr>
            </w:pPr>
            <w:hyperlink w:anchor="page233">
              <w:r>
                <w:rPr>
                  <w:rFonts w:ascii="Arial" w:cs="Arial" w:eastAsia="Arial" w:hAnsi="Arial"/>
                  <w:sz w:val="18"/>
                  <w:szCs w:val="18"/>
                  <w:color w:val="0000EE"/>
                  <w:w w:val="92"/>
                </w:rPr>
                <w:t>Powers of Attorney (included on signature page)</w:t>
              </w:r>
            </w:hyperlink>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99.1</w:t>
            </w:r>
          </w:p>
        </w:tc>
        <w:tc>
          <w:tcPr>
            <w:tcW w:w="520" w:type="dxa"/>
            <w:vAlign w:val="bottom"/>
          </w:tcPr>
          <w:p>
            <w:pPr>
              <w:spacing w:after="0"/>
              <w:rPr>
                <w:sz w:val="24"/>
                <w:szCs w:val="24"/>
                <w:color w:val="auto"/>
              </w:rPr>
            </w:pPr>
          </w:p>
        </w:tc>
        <w:tc>
          <w:tcPr>
            <w:tcW w:w="35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Consent of Darcy Horn Davenport</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99.2</w:t>
            </w:r>
          </w:p>
        </w:tc>
        <w:tc>
          <w:tcPr>
            <w:tcW w:w="52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Consent of Thomas P. Erickson</w:t>
            </w:r>
          </w:p>
        </w:tc>
        <w:tc>
          <w:tcPr>
            <w:tcW w:w="220" w:type="dxa"/>
            <w:vAlign w:val="bottom"/>
            <w:tcBorders>
              <w:top w:val="single" w:sz="8" w:color="0000EE"/>
            </w:tcBorders>
            <w:gridSpan w:val="2"/>
          </w:tcPr>
          <w:p>
            <w:pPr>
              <w:spacing w:after="0"/>
              <w:rPr>
                <w:sz w:val="24"/>
                <w:szCs w:val="24"/>
                <w:color w:val="auto"/>
              </w:rPr>
            </w:pPr>
          </w:p>
        </w:tc>
        <w:tc>
          <w:tcPr>
            <w:tcW w:w="1120" w:type="dxa"/>
            <w:vAlign w:val="bottom"/>
            <w:gridSpan w:val="10"/>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99.3</w:t>
            </w:r>
          </w:p>
        </w:tc>
        <w:tc>
          <w:tcPr>
            <w:tcW w:w="520" w:type="dxa"/>
            <w:vAlign w:val="bottom"/>
          </w:tcPr>
          <w:p>
            <w:pPr>
              <w:spacing w:after="0"/>
              <w:rPr>
                <w:sz w:val="24"/>
                <w:szCs w:val="24"/>
                <w:color w:val="auto"/>
              </w:rPr>
            </w:pPr>
          </w:p>
        </w:tc>
        <w:tc>
          <w:tcPr>
            <w:tcW w:w="21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Consent of Elliot H. Stein, Jr.</w:t>
            </w:r>
          </w:p>
        </w:tc>
        <w:tc>
          <w:tcPr>
            <w:tcW w:w="148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80" w:type="dxa"/>
            <w:vAlign w:val="bottom"/>
            <w:gridSpan w:val="2"/>
          </w:tcPr>
          <w:p>
            <w:pPr>
              <w:jc w:val="right"/>
              <w:ind w:right="199"/>
              <w:spacing w:after="0"/>
              <w:rPr>
                <w:sz w:val="20"/>
                <w:szCs w:val="20"/>
                <w:color w:val="auto"/>
              </w:rPr>
            </w:pPr>
            <w:r>
              <w:rPr>
                <w:rFonts w:ascii="Arial" w:cs="Arial" w:eastAsia="Arial" w:hAnsi="Arial"/>
                <w:sz w:val="18"/>
                <w:szCs w:val="18"/>
                <w:color w:val="auto"/>
                <w:w w:val="79"/>
              </w:rPr>
              <w:t>99.4</w:t>
            </w:r>
          </w:p>
        </w:tc>
        <w:tc>
          <w:tcPr>
            <w:tcW w:w="520" w:type="dxa"/>
            <w:vAlign w:val="bottom"/>
          </w:tcPr>
          <w:p>
            <w:pPr>
              <w:spacing w:after="0"/>
              <w:rPr>
                <w:sz w:val="24"/>
                <w:szCs w:val="24"/>
                <w:color w:val="auto"/>
              </w:rPr>
            </w:pPr>
          </w:p>
        </w:tc>
        <w:tc>
          <w:tcPr>
            <w:tcW w:w="3600" w:type="dxa"/>
            <w:vAlign w:val="bottom"/>
            <w:gridSpan w:val="14"/>
          </w:tcPr>
          <w:p>
            <w:pPr>
              <w:spacing w:after="0"/>
              <w:rPr>
                <w:sz w:val="20"/>
                <w:szCs w:val="20"/>
                <w:color w:val="auto"/>
              </w:rPr>
            </w:pPr>
            <w:r>
              <w:rPr>
                <w:rFonts w:ascii="Arial" w:cs="Arial" w:eastAsia="Arial" w:hAnsi="Arial"/>
                <w:sz w:val="18"/>
                <w:szCs w:val="18"/>
                <w:color w:val="0000EE"/>
              </w:rPr>
              <w:t>Consent of Jennifer Kuperman Johnson</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102870</wp:posOffset>
            </wp:positionV>
            <wp:extent cx="770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420" w:hanging="210"/>
        <w:spacing w:after="0"/>
        <w:tabs>
          <w:tab w:leader="none" w:pos="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16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 - 3</w:t>
      </w:r>
    </w:p>
    <w:p>
      <w:pPr>
        <w:sectPr>
          <w:pgSz w:w="11900" w:h="16838" w:orient="portrait"/>
          <w:cols w:equalWidth="0" w:num="1">
            <w:col w:w="11160"/>
          </w:cols>
          <w:pgMar w:left="240" w:top="459"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St. Louis, State of Missouri, on September 20,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5609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Darcy Horn Davenport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20" w:firstLine="440"/>
        <w:spacing w:after="0" w:line="290" w:lineRule="auto"/>
        <w:rPr>
          <w:sz w:val="20"/>
          <w:szCs w:val="20"/>
          <w:color w:val="auto"/>
        </w:rPr>
      </w:pPr>
      <w:r>
        <w:rPr>
          <w:rFonts w:ascii="Arial" w:cs="Arial" w:eastAsia="Arial" w:hAnsi="Arial"/>
          <w:sz w:val="16"/>
          <w:szCs w:val="16"/>
          <w:color w:val="auto"/>
        </w:rPr>
        <w:t>Each of the undersigned officers and directors of BellRing Brands, Inc. hereby severally constitutes and appoints Darcy Horn Davenport, Diedre J. Gray, Paul A. Rode and Craig L. Rosenthal, and 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64"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spacing w:after="0"/>
              <w:rPr>
                <w:sz w:val="14"/>
                <w:szCs w:val="14"/>
                <w:color w:val="auto"/>
              </w:rPr>
            </w:pPr>
          </w:p>
        </w:tc>
        <w:tc>
          <w:tcPr>
            <w:tcW w:w="1800" w:type="dxa"/>
            <w:vAlign w:val="bottom"/>
            <w:gridSpan w:val="3"/>
          </w:tcPr>
          <w:p>
            <w:pPr>
              <w:ind w:left="1200"/>
              <w:spacing w:after="0"/>
              <w:rPr>
                <w:sz w:val="20"/>
                <w:szCs w:val="20"/>
                <w:color w:val="auto"/>
              </w:rPr>
            </w:pPr>
            <w:r>
              <w:rPr>
                <w:rFonts w:ascii="Arial" w:cs="Arial" w:eastAsia="Arial" w:hAnsi="Arial"/>
                <w:sz w:val="14"/>
                <w:szCs w:val="14"/>
                <w:b w:val="1"/>
                <w:bCs w:val="1"/>
                <w:color w:val="auto"/>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V. Vitale</w:t>
            </w:r>
          </w:p>
        </w:tc>
        <w:tc>
          <w:tcPr>
            <w:tcW w:w="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8"/>
                <w:szCs w:val="18"/>
                <w:color w:val="auto"/>
              </w:rPr>
              <w:t>Executive Chairman</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w w:val="88"/>
              </w:rPr>
              <w:t>September 20, 2019</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Robert V. Vitale</w:t>
            </w:r>
          </w:p>
        </w:tc>
        <w:tc>
          <w:tcPr>
            <w:tcW w:w="2140" w:type="dxa"/>
            <w:vAlign w:val="bottom"/>
          </w:tcPr>
          <w:p>
            <w:pPr>
              <w:spacing w:after="0"/>
              <w:rPr>
                <w:sz w:val="19"/>
                <w:szCs w:val="19"/>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(Co-Principal Executive Officer and Director)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Darcy Horn Davenport</w:t>
            </w:r>
          </w:p>
        </w:tc>
        <w:tc>
          <w:tcPr>
            <w:tcW w:w="2140" w:type="dxa"/>
            <w:vAlign w:val="bottom"/>
            <w:tcBorders>
              <w:bottom w:val="single" w:sz="8" w:color="auto"/>
            </w:tcBorders>
          </w:tcPr>
          <w:p>
            <w:pPr>
              <w:spacing w:after="0"/>
              <w:rPr>
                <w:sz w:val="24"/>
                <w:szCs w:val="24"/>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w w:val="88"/>
              </w:rPr>
              <w:t>September 20, 2019</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2140" w:type="dxa"/>
            <w:vAlign w:val="bottom"/>
          </w:tcPr>
          <w:p>
            <w:pPr>
              <w:spacing w:after="0"/>
              <w:rPr>
                <w:sz w:val="19"/>
                <w:szCs w:val="19"/>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(Co-Principal Executive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Rode</w:t>
            </w:r>
          </w:p>
        </w:tc>
        <w:tc>
          <w:tcPr>
            <w:tcW w:w="2140" w:type="dxa"/>
            <w:vAlign w:val="bottom"/>
            <w:tcBorders>
              <w:bottom w:val="single" w:sz="8" w:color="auto"/>
            </w:tcBorders>
          </w:tcPr>
          <w:p>
            <w:pPr>
              <w:spacing w:after="0"/>
              <w:rPr>
                <w:sz w:val="24"/>
                <w:szCs w:val="24"/>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w w:val="88"/>
              </w:rPr>
              <w:t>September 20, 2019</w:t>
            </w:r>
          </w:p>
        </w:tc>
      </w:tr>
      <w:tr>
        <w:trPr>
          <w:trHeight w:val="181"/>
        </w:trPr>
        <w:tc>
          <w:tcPr>
            <w:tcW w:w="2740" w:type="dxa"/>
            <w:vAlign w:val="bottom"/>
            <w:gridSpan w:val="2"/>
          </w:tcPr>
          <w:p>
            <w:pPr>
              <w:spacing w:after="0" w:line="182" w:lineRule="exact"/>
              <w:rPr>
                <w:sz w:val="20"/>
                <w:szCs w:val="20"/>
                <w:color w:val="auto"/>
              </w:rPr>
            </w:pPr>
            <w:r>
              <w:rPr>
                <w:rFonts w:ascii="Arial" w:cs="Arial" w:eastAsia="Arial" w:hAnsi="Arial"/>
                <w:sz w:val="18"/>
                <w:szCs w:val="18"/>
                <w:color w:val="auto"/>
              </w:rPr>
              <w:t>Paul A. Rode</w:t>
            </w:r>
          </w:p>
        </w:tc>
        <w:tc>
          <w:tcPr>
            <w:tcW w:w="2140" w:type="dxa"/>
            <w:vAlign w:val="bottom"/>
          </w:tcPr>
          <w:p>
            <w:pPr>
              <w:spacing w:after="0"/>
              <w:rPr>
                <w:sz w:val="15"/>
                <w:szCs w:val="15"/>
                <w:color w:val="auto"/>
              </w:rPr>
            </w:pPr>
          </w:p>
        </w:tc>
        <w:tc>
          <w:tcPr>
            <w:tcW w:w="376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5"/>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 A. Zadoks</w:t>
            </w:r>
          </w:p>
        </w:tc>
        <w:tc>
          <w:tcPr>
            <w:tcW w:w="2140" w:type="dxa"/>
            <w:vAlign w:val="bottom"/>
            <w:tcBorders>
              <w:bottom w:val="single" w:sz="8" w:color="auto"/>
            </w:tcBorders>
          </w:tcPr>
          <w:p>
            <w:pPr>
              <w:spacing w:after="0"/>
              <w:rPr>
                <w:sz w:val="24"/>
                <w:szCs w:val="24"/>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w w:val="88"/>
              </w:rPr>
              <w:t>September 20, 2019</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Jeff A. Zadoks</w:t>
            </w:r>
          </w:p>
        </w:tc>
        <w:tc>
          <w:tcPr>
            <w:tcW w:w="2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Diedre J. Gray</w:t>
            </w:r>
          </w:p>
        </w:tc>
        <w:tc>
          <w:tcPr>
            <w:tcW w:w="2140" w:type="dxa"/>
            <w:vAlign w:val="bottom"/>
            <w:tcBorders>
              <w:bottom w:val="single" w:sz="8" w:color="auto"/>
            </w:tcBorders>
          </w:tcPr>
          <w:p>
            <w:pPr>
              <w:spacing w:after="0"/>
              <w:rPr>
                <w:sz w:val="24"/>
                <w:szCs w:val="24"/>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w w:val="88"/>
              </w:rPr>
              <w:t>September 20, 2019</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Diedre J. Gray</w:t>
            </w:r>
          </w:p>
        </w:tc>
        <w:tc>
          <w:tcPr>
            <w:tcW w:w="2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3"/>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gridSpan w:val="3"/>
          </w:tcPr>
          <w:p>
            <w:pPr>
              <w:ind w:left="440"/>
              <w:spacing w:after="0"/>
              <w:rPr>
                <w:sz w:val="20"/>
                <w:szCs w:val="20"/>
                <w:color w:val="auto"/>
              </w:rPr>
            </w:pPr>
            <w:r>
              <w:rPr>
                <w:rFonts w:ascii="Arial" w:cs="Arial" w:eastAsia="Arial" w:hAnsi="Arial"/>
                <w:sz w:val="18"/>
                <w:szCs w:val="18"/>
                <w:color w:val="auto"/>
              </w:rPr>
              <w:t>II - 4</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 State of Delaware)</w:t>
      </w:r>
    </w:p>
    <w:p>
      <w:pPr>
        <w:spacing w:after="0" w:line="21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BellRing Brands,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62"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FIRST: The name of the Corporation is BellRing Brands, Inc. The date of filing of its original certificate of incorporation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with the Secretary of State of the State of Delaware was March 20, 2019.</w:t>
      </w:r>
    </w:p>
    <w:p>
      <w:pPr>
        <w:spacing w:after="0" w:line="6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SECOND: This Amended and Restated Certificate of Incorporation (this “</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has been duly adopted in accordance with the provisions of Sections 242 and 245 of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by written consent of the holders of all of the outstanding stock entitled to vote thereon in accordance with the provisions of Section 228 of the General Corporation Law.</w:t>
      </w:r>
    </w:p>
    <w:p>
      <w:pPr>
        <w:spacing w:after="0" w:line="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THIRD: This Amended Certificate of Incorporation amends and restates in its entirety the Original Certificate of Incorporation of the Corporation to read as follows:</w:t>
      </w:r>
    </w:p>
    <w:p>
      <w:pPr>
        <w:spacing w:after="0" w:line="62" w:lineRule="exact"/>
        <w:rPr>
          <w:sz w:val="20"/>
          <w:szCs w:val="20"/>
          <w:color w:val="auto"/>
        </w:rPr>
      </w:pPr>
    </w:p>
    <w:p>
      <w:pPr>
        <w:ind w:left="620" w:hanging="190"/>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BellRing Brands, Inc.</w:t>
      </w:r>
    </w:p>
    <w:p>
      <w:pPr>
        <w:spacing w:after="0" w:line="116" w:lineRule="exact"/>
        <w:rPr>
          <w:rFonts w:ascii="Arial" w:cs="Arial" w:eastAsia="Arial" w:hAnsi="Arial"/>
          <w:sz w:val="18"/>
          <w:szCs w:val="18"/>
          <w:color w:val="auto"/>
        </w:rPr>
      </w:pPr>
    </w:p>
    <w:p>
      <w:pPr>
        <w:ind w:right="280" w:firstLine="430"/>
        <w:spacing w:after="0" w:line="263" w:lineRule="auto"/>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74" w:lineRule="exact"/>
        <w:rPr>
          <w:rFonts w:ascii="Arial" w:cs="Arial" w:eastAsia="Arial" w:hAnsi="Arial"/>
          <w:sz w:val="18"/>
          <w:szCs w:val="18"/>
          <w:color w:val="auto"/>
        </w:rPr>
      </w:pPr>
    </w:p>
    <w:p>
      <w:pPr>
        <w:ind w:right="120" w:firstLine="430"/>
        <w:spacing w:after="0" w:line="277" w:lineRule="auto"/>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61" w:lineRule="exact"/>
        <w:rPr>
          <w:rFonts w:ascii="Arial" w:cs="Arial" w:eastAsia="Arial" w:hAnsi="Arial"/>
          <w:sz w:val="18"/>
          <w:szCs w:val="18"/>
          <w:color w:val="auto"/>
        </w:rPr>
      </w:pPr>
    </w:p>
    <w:p>
      <w:pPr>
        <w:ind w:left="620" w:hanging="190"/>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4.1. The total number of shares of all classes of capital stock that the Corporation shall have authority to issue is Five Hundred Fifty Million One (550,000,001) shares, consisting of: (i) Five Hundred Million One (500,000,001) shares of common stock, divided into (a) Five Hundred Million (500,000,000) shares of Class A common stock, with the par value of $0.01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(b) one (1) share of Class B common stock, with the par value of $0.01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Fifty Million (50,000,000) shares of preferred stock, with the par value of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53"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4.2. Upon the effectiveness of this Amended Certificate of Incorporation, the 1,000 shares of common stock of the Corporation issued on March 20, 2019 shall automatically be converted into one (1) share of Class B Common Stock of the Corporation.</w:t>
      </w:r>
    </w:p>
    <w:p>
      <w:pPr>
        <w:sectPr>
          <w:pgSz w:w="11900" w:h="16838" w:orient="portrait"/>
          <w:cols w:equalWidth="0" w:num="1">
            <w:col w:w="11000"/>
          </w:cols>
          <w:pgMar w:left="460" w:top="121" w:right="439" w:bottom="1440" w:gutter="0" w:footer="0" w:header="0"/>
        </w:sectPr>
      </w:pPr>
    </w:p>
    <w:bookmarkStart w:id="234" w:name="page235"/>
    <w:bookmarkEnd w:id="234"/>
    <w:p>
      <w:pPr>
        <w:ind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shall be required therefor. Notwithstanding the immediately preceding sentence, the number of authorized shares of any particular class may not be decreased below the number of shares of such class then outstanding, plus, in the case of Class A Common Stock, the number of shares of Class A Common Stock issuable in connection with (1) the redemption of all outstanding Nonvoting Common Units (as defined in Section 14) pursuant to Article IX of the LLC Agreement (as defined in Section 14) and (2) the exercise of outstanding options, warrants, exchange rights, conversion rights or similar rights for Class A Common Stock.</w:t>
      </w:r>
    </w:p>
    <w:p>
      <w:pPr>
        <w:spacing w:after="0" w:line="71" w:lineRule="exact"/>
        <w:rPr>
          <w:sz w:val="20"/>
          <w:szCs w:val="20"/>
          <w:color w:val="auto"/>
        </w:rPr>
      </w:pPr>
    </w:p>
    <w:p>
      <w:pPr>
        <w:ind w:left="980" w:right="600" w:hanging="550"/>
        <w:spacing w:after="0" w:line="375" w:lineRule="auto"/>
        <w:tabs>
          <w:tab w:leader="none" w:pos="60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of capital stock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ind w:left="1640" w:hanging="219"/>
        <w:spacing w:after="0"/>
        <w:tabs>
          <w:tab w:leader="none" w:pos="164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60" w:firstLine="1972"/>
        <w:spacing w:after="0" w:line="289" w:lineRule="auto"/>
        <w:tabs>
          <w:tab w:leader="none" w:pos="2236" w:val="left"/>
        </w:tabs>
        <w:numPr>
          <w:ilvl w:val="2"/>
          <w:numId w:val="127"/>
        </w:numPr>
        <w:rPr>
          <w:rFonts w:ascii="Arial" w:cs="Arial" w:eastAsia="Arial" w:hAnsi="Arial"/>
          <w:sz w:val="16"/>
          <w:szCs w:val="16"/>
          <w:color w:val="auto"/>
        </w:rPr>
      </w:pPr>
      <w:r>
        <w:rPr>
          <w:rFonts w:ascii="Arial" w:cs="Arial" w:eastAsia="Arial" w:hAnsi="Arial"/>
          <w:sz w:val="16"/>
          <w:szCs w:val="16"/>
          <w:color w:val="auto"/>
        </w:rPr>
        <w:t>So long as Post holds in the aggregate more than 50% of the Nonvoting Common Units, then (i) each holder of Class A Common Stock shall be entitled, with respect to each share of Class A Common Stock held by such holder on the applicable record date, to one vote, in person or by proxy, on all matters on which stockholders generally are entitled to vote (whether at a meeting of stockholders or by written consent, and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at a meeting of stockholders or by written consent, and whether voting separately as a class or otherwise) equal to 67% of the combined voting power of the outstanding shares of Common Stock (for purposes of illustration, if 20,000,000 shares of Class A Common Stock are outstanding on the applicable record date, then the share of Class B Common Stock would be entitled to 40,606,060 votes, or 67% of the combined voting power of the outstanding shares of Common Stock).</w:t>
      </w:r>
    </w:p>
    <w:p>
      <w:pPr>
        <w:spacing w:after="0" w:line="56" w:lineRule="exact"/>
        <w:rPr>
          <w:rFonts w:ascii="Arial" w:cs="Arial" w:eastAsia="Arial" w:hAnsi="Arial"/>
          <w:sz w:val="16"/>
          <w:szCs w:val="16"/>
          <w:color w:val="auto"/>
        </w:rPr>
      </w:pPr>
    </w:p>
    <w:p>
      <w:pPr>
        <w:ind w:firstLine="1972"/>
        <w:spacing w:after="0" w:line="269" w:lineRule="auto"/>
        <w:tabs>
          <w:tab w:leader="none" w:pos="2236" w:val="left"/>
        </w:tabs>
        <w:numPr>
          <w:ilvl w:val="2"/>
          <w:numId w:val="127"/>
        </w:numPr>
        <w:rPr>
          <w:rFonts w:ascii="Arial" w:cs="Arial" w:eastAsia="Arial" w:hAnsi="Arial"/>
          <w:sz w:val="17"/>
          <w:szCs w:val="17"/>
          <w:color w:val="auto"/>
        </w:rPr>
      </w:pPr>
      <w:r>
        <w:rPr>
          <w:rFonts w:ascii="Arial" w:cs="Arial" w:eastAsia="Arial" w:hAnsi="Arial"/>
          <w:sz w:val="17"/>
          <w:szCs w:val="17"/>
          <w:color w:val="auto"/>
        </w:rPr>
        <w:t xml:space="preserve">In the event that, as of the record date for any meeting at which stockholders are entitled to vote, Post holds in the aggregate 50% or less of the Nonvoting Common Units outstanding as of such record date, then (i) each holder of Class A Common Stock shall be entitled, with respect to each share of Class A Common Stock held by such holder on the applicable record date, to one (1) vote, in person or by proxy, on all matters on which stockholders generally are entitled to vote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voting separately as a class or otherwise) equal to the number of Nonvoting Common Units held by all Persons other than the Corporation and its subsidiaries; </w:t>
      </w:r>
      <w:r>
        <w:rPr>
          <w:rFonts w:ascii="Arial" w:cs="Arial" w:eastAsia="Arial" w:hAnsi="Arial"/>
          <w:sz w:val="17"/>
          <w:szCs w:val="17"/>
          <w:u w:val="single" w:color="auto"/>
          <w:color w:val="auto"/>
        </w:rPr>
        <w:t>provided that</w:t>
      </w:r>
      <w:r>
        <w:rPr>
          <w:rFonts w:ascii="Arial" w:cs="Arial" w:eastAsia="Arial" w:hAnsi="Arial"/>
          <w:sz w:val="17"/>
          <w:szCs w:val="17"/>
          <w:color w:val="auto"/>
        </w:rPr>
        <w:t>, of such votes, (a) the holder of the share of Class B Common Stock shall only be entitled to cast a number of such votes on its own behalf, in person or by one or more proxies, and in its sole discretion equal to the number of Nonvoting Common Units held by Post on the applicable record date, and (b) in the event that, on the applicable record date, any of the Nonvoting Common Units are held by Persons other than the Corporation or any of its subsidiaries or Post (each such Person, a “</w:t>
      </w:r>
      <w:r>
        <w:rPr>
          <w:rFonts w:ascii="Arial" w:cs="Arial" w:eastAsia="Arial" w:hAnsi="Arial"/>
          <w:sz w:val="17"/>
          <w:szCs w:val="17"/>
          <w:u w:val="single" w:color="auto"/>
          <w:color w:val="auto"/>
        </w:rPr>
        <w:t>Non-Affiliated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35" w:name="page236"/>
    <w:bookmarkEnd w:id="235"/>
    <w:p>
      <w:pPr>
        <w:ind w:right="6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Brands, LLC Member</w:t>
      </w:r>
      <w:r>
        <w:rPr>
          <w:rFonts w:ascii="Arial" w:cs="Arial" w:eastAsia="Arial" w:hAnsi="Arial"/>
          <w:sz w:val="17"/>
          <w:szCs w:val="17"/>
          <w:color w:val="auto"/>
        </w:rPr>
        <w:t>”), then the holder of the share of Class B Common Stock shall cast the remainder of the votes to which the outstanding share of Class B Common Stock shall be entitled only in accordance with instructions and directions from the Non-Affiliated BellRing Brands, LLC Member(s) in accordance with the proxy(ies) granted to, or the voting agreement(s) or other voting arrangement(s) entered into with, the Non-Affiliated BellRing Brands, LLC Member(s) pursuant to Section 8.04 of the LLC Agreement (for purposes of illustration, if 100,000,000 Nonvoting Common Units are outstanding on the applicable record date, the Corporation and its subsidiaries hold 20,000,000 Nonvoting Common Units and Post holds 50,000,000 Nonvoting Common Units, then the share of Class B Common Stock would be entitled to 80,000,000 votes, with 30,000,000 of such votes to be cast as directed by the Non-Affiliated BellRing Brands, LLC Member(s)).</w:t>
      </w:r>
    </w:p>
    <w:p>
      <w:pPr>
        <w:spacing w:after="0" w:line="68" w:lineRule="exact"/>
        <w:rPr>
          <w:sz w:val="20"/>
          <w:szCs w:val="20"/>
          <w:color w:val="auto"/>
        </w:rPr>
      </w:pPr>
    </w:p>
    <w:p>
      <w:pPr>
        <w:ind w:right="20" w:firstLine="1972"/>
        <w:spacing w:after="0" w:line="311" w:lineRule="auto"/>
        <w:tabs>
          <w:tab w:leader="none" w:pos="223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holders of the outstanding shares of Class A Common Stock and Class B Common Stock shall each be entitled to vote separately upon any amendment to this Amended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40" w:lineRule="exact"/>
        <w:rPr>
          <w:rFonts w:ascii="Arial" w:cs="Arial" w:eastAsia="Arial" w:hAnsi="Arial"/>
          <w:sz w:val="16"/>
          <w:szCs w:val="16"/>
          <w:color w:val="auto"/>
        </w:rPr>
      </w:pPr>
    </w:p>
    <w:p>
      <w:pPr>
        <w:jc w:val="both"/>
        <w:ind w:right="140" w:firstLine="1972"/>
        <w:spacing w:after="0" w:line="263" w:lineRule="auto"/>
        <w:tabs>
          <w:tab w:leader="none" w:pos="223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Except as otherwise required in this Amended Certificate of Incorporation or by applicable law, the holders of Common Stock shall vote together as a single class on all matters (or, if any holders of Preferred Stock are entitled to vote together with the holders of Common Stock, as a single class with the holders of Preferred Stock).</w:t>
      </w:r>
    </w:p>
    <w:p>
      <w:pPr>
        <w:spacing w:after="0" w:line="74" w:lineRule="exact"/>
        <w:rPr>
          <w:rFonts w:ascii="Arial" w:cs="Arial" w:eastAsia="Arial" w:hAnsi="Arial"/>
          <w:sz w:val="18"/>
          <w:szCs w:val="18"/>
          <w:color w:val="auto"/>
        </w:rPr>
      </w:pPr>
    </w:p>
    <w:p>
      <w:pPr>
        <w:ind w:left="1680" w:hanging="259"/>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right="80" w:firstLine="1972"/>
        <w:spacing w:after="0" w:line="301" w:lineRule="auto"/>
        <w:tabs>
          <w:tab w:leader="none" w:pos="223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capital stock having a preference senior to or the right to participate with the Class A Common Stock with respect to the payment of dividends, dividends of cash or property may be declared and paid on the Class A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48" w:lineRule="exact"/>
        <w:rPr>
          <w:rFonts w:ascii="Arial" w:cs="Arial" w:eastAsia="Arial" w:hAnsi="Arial"/>
          <w:sz w:val="16"/>
          <w:szCs w:val="16"/>
          <w:color w:val="auto"/>
        </w:rPr>
      </w:pPr>
    </w:p>
    <w:p>
      <w:pPr>
        <w:ind w:left="2220" w:hanging="248"/>
        <w:spacing w:after="0"/>
        <w:tabs>
          <w:tab w:leader="none" w:pos="2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Dividends of cash or property may not be declared or paid on the Class B Common Stock.</w:t>
      </w:r>
    </w:p>
    <w:p>
      <w:pPr>
        <w:spacing w:after="0" w:line="116" w:lineRule="exact"/>
        <w:rPr>
          <w:rFonts w:ascii="Arial" w:cs="Arial" w:eastAsia="Arial" w:hAnsi="Arial"/>
          <w:sz w:val="18"/>
          <w:szCs w:val="18"/>
          <w:color w:val="auto"/>
        </w:rPr>
      </w:pPr>
    </w:p>
    <w:p>
      <w:pPr>
        <w:ind w:right="100" w:firstLine="1972"/>
        <w:spacing w:after="0" w:line="259" w:lineRule="auto"/>
        <w:tabs>
          <w:tab w:leader="none" w:pos="223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no event shall any stock dividend, stock split, reverse stock split, combination of stock, reclassification or recapitalization be declared or made on the Class A Common Stock (each, a “</w:t>
      </w:r>
      <w:r>
        <w:rPr>
          <w:rFonts w:ascii="Arial" w:cs="Arial" w:eastAsia="Arial" w:hAnsi="Arial"/>
          <w:sz w:val="18"/>
          <w:szCs w:val="18"/>
          <w:u w:val="single" w:color="auto"/>
          <w:color w:val="auto"/>
        </w:rPr>
        <w:t>Stock Adjustment</w:t>
      </w:r>
      <w:r>
        <w:rPr>
          <w:rFonts w:ascii="Arial" w:cs="Arial" w:eastAsia="Arial" w:hAnsi="Arial"/>
          <w:sz w:val="18"/>
          <w:szCs w:val="18"/>
          <w:color w:val="auto"/>
        </w:rPr>
        <w:t>”) unless the Stock Adjustment has been reflected in the same economically equivalent manner on all Nonvoting Common Units. Stock dividends with respect to the Class A Common Stock may only be paid with shares of Class A Common Stock.</w:t>
      </w:r>
    </w:p>
    <w:p>
      <w:pPr>
        <w:spacing w:after="0" w:line="77" w:lineRule="exact"/>
        <w:rPr>
          <w:rFonts w:ascii="Arial" w:cs="Arial" w:eastAsia="Arial" w:hAnsi="Arial"/>
          <w:sz w:val="18"/>
          <w:szCs w:val="18"/>
          <w:color w:val="auto"/>
        </w:rPr>
      </w:pPr>
    </w:p>
    <w:p>
      <w:pPr>
        <w:ind w:firstLine="1421"/>
        <w:spacing w:after="0" w:line="275" w:lineRule="auto"/>
        <w:tabs>
          <w:tab w:leader="none" w:pos="174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shall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Class A Common Stock shall be entitled to receive the remaining assets of the Corporation available for distribution ratably in proportion to the number of shares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236" w:name="page237"/>
    <w:bookmarkEnd w:id="23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A Common Stock held by each holder. Without limiting the rights of the holder of Class B Common Stock to redeem its Nonvoting Common Units for shares of Class A Common Stock in accordance with Article IX of the LLC Agreement (or for the consideration payable in respect of shares of Class A Common Stock in such voluntary or involuntary liquidation, dissolution or winding up), the holder of the share of Class B Common Stock, as such, shall not be entitled to receive, with respect to such share, any assets of the Corporation in excess of the par value thereof in the event of any voluntary or involuntary liquidation, dissolution or winding up of the affairs of the Corporation.</w:t>
      </w:r>
    </w:p>
    <w:p>
      <w:pPr>
        <w:spacing w:after="0" w:line="67" w:lineRule="exact"/>
        <w:rPr>
          <w:sz w:val="20"/>
          <w:szCs w:val="20"/>
          <w:color w:val="auto"/>
        </w:rPr>
      </w:pPr>
    </w:p>
    <w:p>
      <w:pPr>
        <w:ind w:firstLine="1421"/>
        <w:spacing w:after="0" w:line="287" w:lineRule="auto"/>
        <w:tabs>
          <w:tab w:leader="none" w:pos="173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Restrictions on Class B Common Stock</w:t>
      </w:r>
      <w:r>
        <w:rPr>
          <w:rFonts w:ascii="Arial" w:cs="Arial" w:eastAsia="Arial" w:hAnsi="Arial"/>
          <w:sz w:val="16"/>
          <w:szCs w:val="16"/>
          <w:color w:val="auto"/>
        </w:rPr>
        <w:t xml:space="preserve">. The share of Class B Common Stock may not be owned or held by or transferred to any Person other than Post;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Post, as the holder of the share of Class B Common Stock, shall be permitted to (a) grant one or more proxies to, or enter into one or more voting agreements or other voting arrangements with, any Non-Affiliated BellRing Brands, LLC Members pursuant to Section 8.04 of the LLC Agreement (and, for avoidance of doubt, (1) each such proxy, agreement or arrangement shall cover a specific number or percentage of votes to which the share of Class B Common Stock is entitled under this Amended Certificate of Incorporation, and (2) the holder(s) of such proxy(ies), agreement(s) or arrangement(s) may in its (their) discretion direct the holder of the Class B Common Stock as to the manner in which the votes covered by such proxy(ies), agreement(s) or arrangement(s) are to be cast (or not cast, as the case may be) and the holder of the Class B Common Stock shall so cast such votes as so directed by such holder(s), it being understood that some of the votes to which the share of Class B Common Stock is entitled may be voted in favor of, and others may be voted against, the particular matter upon which the holder of the Class B Common Stock is entitled to vote) and (b) transfer the share of Class B Common Stock in connection with any distribution of its ownership interest in BellRing Brands, LLC (as defined in Section 14) by means of a spin-off or split-off to its shareholders. Any stock certificate representing the share of Class B Common Stock shall include a legend referencing the restrictions described above.</w:t>
      </w:r>
    </w:p>
    <w:p>
      <w:pPr>
        <w:spacing w:after="0" w:line="57" w:lineRule="exact"/>
        <w:rPr>
          <w:rFonts w:ascii="Arial" w:cs="Arial" w:eastAsia="Arial" w:hAnsi="Arial"/>
          <w:sz w:val="16"/>
          <w:szCs w:val="16"/>
          <w:color w:val="auto"/>
        </w:rPr>
      </w:pPr>
    </w:p>
    <w:p>
      <w:pPr>
        <w:ind w:right="20" w:firstLine="1421"/>
        <w:spacing w:after="0" w:line="271" w:lineRule="auto"/>
        <w:tabs>
          <w:tab w:leader="none" w:pos="168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issuance of shares of Class A Common Stock upon the exercise by a holder of Nonvoting Common Units of its right to redeem its Nonvoting Common Units for shares of Class A Common Stock in accordance with Article IX of the LLC Agreement shall be made without charge to such holder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shares of Class A Common Stock are to be issued in a name other than that of the then record holder of the Nonvoting Common Units being redeemed (or The Depository Trust Company or its nominee for the account of a participant of The Depository Trust Company that shall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6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37" w:name="page238"/>
    <w:bookmarkEnd w:id="237"/>
    <w:p>
      <w:pPr>
        <w:ind w:left="10"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w:t>
      </w:r>
    </w:p>
    <w:p>
      <w:pPr>
        <w:spacing w:after="0" w:line="5" w:lineRule="exact"/>
        <w:rPr>
          <w:sz w:val="20"/>
          <w:szCs w:val="20"/>
          <w:color w:val="auto"/>
        </w:rPr>
      </w:pPr>
    </w:p>
    <w:p>
      <w:pPr>
        <w:ind w:left="10" w:hanging="10"/>
        <w:spacing w:after="0" w:line="251" w:lineRule="auto"/>
        <w:tabs>
          <w:tab w:leader="none" w:pos="31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88" w:lineRule="exact"/>
        <w:rPr>
          <w:sz w:val="20"/>
          <w:szCs w:val="20"/>
          <w:color w:val="auto"/>
        </w:rPr>
      </w:pPr>
    </w:p>
    <w:p>
      <w:pPr>
        <w:ind w:left="630" w:hanging="190"/>
        <w:spacing w:after="0"/>
        <w:tabs>
          <w:tab w:leader="none" w:pos="63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117" w:lineRule="exact"/>
        <w:rPr>
          <w:sz w:val="20"/>
          <w:szCs w:val="20"/>
          <w:color w:val="auto"/>
        </w:rPr>
      </w:pPr>
    </w:p>
    <w:p>
      <w:pPr>
        <w:ind w:left="10" w:firstLine="991"/>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Actions by Written Consent</w:t>
      </w:r>
      <w:r>
        <w:rPr>
          <w:rFonts w:ascii="Arial" w:cs="Arial" w:eastAsia="Arial" w:hAnsi="Arial"/>
          <w:sz w:val="16"/>
          <w:szCs w:val="16"/>
          <w:color w:val="auto"/>
        </w:rPr>
        <w:t>. From and after the Triggering Event,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in writing by such stockholders. Prior to the Triggering Event, any action required by the General Corporation Law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 or holders of Common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Corporation to those stockholders who have not consented in writing.</w:t>
      </w:r>
    </w:p>
    <w:p>
      <w:pPr>
        <w:spacing w:after="0" w:line="56" w:lineRule="exact"/>
        <w:rPr>
          <w:sz w:val="20"/>
          <w:szCs w:val="20"/>
          <w:color w:val="auto"/>
        </w:rPr>
      </w:pPr>
    </w:p>
    <w:p>
      <w:pPr>
        <w:ind w:left="10" w:right="2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Election of Directors by Written Ballot</w:t>
      </w:r>
      <w:r>
        <w:rPr>
          <w:rFonts w:ascii="Arial" w:cs="Arial" w:eastAsia="Arial" w:hAnsi="Arial"/>
          <w:sz w:val="18"/>
          <w:szCs w:val="18"/>
          <w:color w:val="auto"/>
        </w:rPr>
        <w:t>. Unless and except to the extent that the Amended and Restated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the directors of the Corporation need not be by written ballot.</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70"/>
          </w:cols>
          <w:pgMar w:left="450" w:top="274" w:right="479" w:bottom="1440" w:gutter="0" w:footer="0" w:header="0"/>
        </w:sectPr>
      </w:pPr>
    </w:p>
    <w:bookmarkStart w:id="238" w:name="page239"/>
    <w:bookmarkEnd w:id="238"/>
    <w:p>
      <w:pPr>
        <w:ind w:left="620" w:hanging="190"/>
        <w:spacing w:after="0"/>
        <w:tabs>
          <w:tab w:leader="none" w:pos="6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Number and Classification</w:t>
      </w:r>
      <w:r>
        <w:rPr>
          <w:rFonts w:ascii="Arial" w:cs="Arial" w:eastAsia="Arial" w:hAnsi="Arial"/>
          <w:sz w:val="17"/>
          <w:szCs w:val="17"/>
          <w:color w:val="auto"/>
        </w:rPr>
        <w:t>. The number of directors shall be fixed by, or in the manner provided in, the Bylaws, but shall not be less than five nor more than twelve members. The directors shall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shall be elected for a three year term (and until their respective successors shall have been elected and qualified in each class or until their earlier death, resignation or removal), so that the term of one class of directors shall expire in each year.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Amended Certificate of Incorporation or any certificate of designation thereunder applicable thereto. As used in this Amended Certificate of Incorporation, the term “entire Board” means the total number of directors fixed by, or in accordance with, this Amended Certificate of Incorporation and the Bylaws.</w:t>
      </w:r>
    </w:p>
    <w:p>
      <w:pPr>
        <w:spacing w:after="0" w:line="75"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Subject to the rights, if any, of the holders of any class of capital stock of the Corporation (other than the Common Stock) then outstanding, at a meeting called expressly for that purpose or by the written consent of stockholders as provided in Section 6.1, one or more members of the Board may be removed with or without cause by the affirmative vote of not less than a majority of the voting power of all of the outstanding shares of Common Stock then entitled to vote in the election of directors, voting together as a single class. Whenever the holders of the shares of any class are entitled to elect one or more directors, the provisions of this Section 7.2 shall apply in respect of the removal of a director or directors so elected, to the vote of the holders of the outstanding shares of that class and not to the vote of the holders of the outstanding shares as a whole. In addition, any director may be removed from office by the affirmative vote of a majority of the entire Board at any time prior to the expiration of the director’s term of office, as provided by law, in the event that the director fails, at the time of removal, to meet any qualifications stated in the Bylaws for election as a director or shall be in breach of any agreement between the director and the Corporation relating to the director’s service as a director or employee of the Corporation.</w:t>
      </w:r>
    </w:p>
    <w:p>
      <w:pPr>
        <w:spacing w:after="0" w:line="7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if any, of the holders of any class of capital stock of the Corporation (other than the Common Stock) then outstanding and the rights of Post Holdings, Inc. and its successors and assigns under the Investor Rights Agreement (as defined in Section 14) (so long as such agreement is in effect), any vacancies in the Board which occur for any reason prior to the expiration of the term of office of the class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Corporation called for such purpose, or (iii) prior to the Triggering Event, by written consent of one or more stockholders of the Corporation as provided in Section 6.1, in each case until the next election of directors by the stockholders of the Corporation at which such class is elected.</w:t>
      </w:r>
    </w:p>
    <w:p>
      <w:pPr>
        <w:spacing w:after="0" w:line="69"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Amendment</w:t>
      </w:r>
      <w:r>
        <w:rPr>
          <w:rFonts w:ascii="Arial" w:cs="Arial" w:eastAsia="Arial" w:hAnsi="Arial"/>
          <w:sz w:val="16"/>
          <w:szCs w:val="16"/>
          <w:color w:val="auto"/>
        </w:rPr>
        <w:t>. Whenever the holders of shares of any class or series of capital stock of the Corporation (other than the Common Stock) are entitled to elect one or more directors, any amendment, alteration, change or repeal of this Section 7 also shall require the affirmative vote of not less than a majority of the outstanding shares of each such class or series of capital stock of the Corporation entitled to vote on such directors.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239" w:name="page240"/>
    <w:bookmarkEnd w:id="239"/>
    <w:p>
      <w:pPr>
        <w:ind w:left="620" w:hanging="190"/>
        <w:spacing w:after="0"/>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Combinations</w:t>
      </w:r>
      <w:r>
        <w:rPr>
          <w:rFonts w:ascii="Arial" w:cs="Arial" w:eastAsia="Arial" w:hAnsi="Arial"/>
          <w:sz w:val="18"/>
          <w:szCs w:val="18"/>
          <w:color w:val="auto"/>
        </w:rPr>
        <w:t>.</w:t>
      </w:r>
    </w:p>
    <w:p>
      <w:pPr>
        <w:spacing w:after="0" w:line="117"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Section 203 of the General Corporation Law</w:t>
      </w:r>
      <w:r>
        <w:rPr>
          <w:rFonts w:ascii="Arial" w:cs="Arial" w:eastAsia="Arial" w:hAnsi="Arial"/>
          <w:sz w:val="18"/>
          <w:szCs w:val="18"/>
          <w:color w:val="auto"/>
        </w:rPr>
        <w:t>. The Corporation shall not be subject to the provisions of Section 203 of the General Corporation Law.</w:t>
      </w:r>
    </w:p>
    <w:p>
      <w:pPr>
        <w:spacing w:after="0" w:line="62"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Limitations on Business Combinations</w:t>
      </w:r>
      <w:r>
        <w:rPr>
          <w:rFonts w:ascii="Arial" w:cs="Arial" w:eastAsia="Arial" w:hAnsi="Arial"/>
          <w:sz w:val="16"/>
          <w:szCs w:val="16"/>
          <w:color w:val="auto"/>
        </w:rPr>
        <w:t>. Notwithstanding Section 8.1, the Corporation shall not, at any point in time at which the Class A Common Stock is registered under Section 12(b) or 12(g) of the Exchange Act (as defined in Section 14) (or if the Class A Common Stock is no longer so registered as a result of action taken, directly or indirectly, by an Interested Stockholder (as defined in Section 8.3(iv)) or as a result of a transaction in which a person becomes an Interested Stockholder), engage in any Business Combination (as defined in Section 8.3(ii)) with any Interested Stockholder for a period of three years following the time that such stockholder became an Interested Stockholder, unless:</w:t>
      </w:r>
    </w:p>
    <w:p>
      <w:pPr>
        <w:spacing w:after="0" w:line="53" w:lineRule="exact"/>
        <w:rPr>
          <w:sz w:val="20"/>
          <w:szCs w:val="20"/>
          <w:color w:val="auto"/>
        </w:rPr>
      </w:pPr>
    </w:p>
    <w:p>
      <w:pPr>
        <w:ind w:right="460" w:firstLine="1421"/>
        <w:spacing w:after="0" w:line="277" w:lineRule="auto"/>
        <w:tabs>
          <w:tab w:leader="none" w:pos="16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1" w:lineRule="exact"/>
        <w:rPr>
          <w:rFonts w:ascii="Arial" w:cs="Arial" w:eastAsia="Arial" w:hAnsi="Arial"/>
          <w:sz w:val="18"/>
          <w:szCs w:val="18"/>
          <w:color w:val="auto"/>
        </w:rPr>
      </w:pPr>
    </w:p>
    <w:p>
      <w:pPr>
        <w:ind w:right="180" w:firstLine="1421"/>
        <w:spacing w:after="0" w:line="296" w:lineRule="auto"/>
        <w:tabs>
          <w:tab w:leader="none" w:pos="169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in Section 8.3(viii))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or (2) employee stock plans in which employee participants do not have the right to determine confidentially whether shares held subject to the plan will be tendered in a tender or exchange offer, or</w:t>
      </w:r>
    </w:p>
    <w:p>
      <w:pPr>
        <w:spacing w:after="0" w:line="52" w:lineRule="exact"/>
        <w:rPr>
          <w:rFonts w:ascii="Arial" w:cs="Arial" w:eastAsia="Arial" w:hAnsi="Arial"/>
          <w:sz w:val="16"/>
          <w:szCs w:val="16"/>
          <w:color w:val="auto"/>
        </w:rPr>
      </w:pPr>
    </w:p>
    <w:p>
      <w:pPr>
        <w:ind w:right="560" w:firstLine="1421"/>
        <w:spacing w:after="0" w:line="263" w:lineRule="auto"/>
        <w:tabs>
          <w:tab w:leader="none" w:pos="17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(2/3) of the outstanding Voting Stock of the Corporation which is not owned by the Interested Stockholder.</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in Section 14, for purposes of this Section 8:</w:t>
      </w:r>
    </w:p>
    <w:p>
      <w:pPr>
        <w:spacing w:after="0" w:line="117" w:lineRule="exact"/>
        <w:rPr>
          <w:sz w:val="20"/>
          <w:szCs w:val="20"/>
          <w:color w:val="auto"/>
        </w:rPr>
      </w:pPr>
    </w:p>
    <w:p>
      <w:pPr>
        <w:ind w:right="20" w:firstLine="1421"/>
        <w:spacing w:after="0" w:line="256" w:lineRule="auto"/>
        <w:tabs>
          <w:tab w:leader="none" w:pos="16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(1) any corporation, partnership, unincorporated association or other entity of which such Person is a director, officer, manager or partner or is, directly or indirectly, the Owner of 20% or more of any class of Voting Stock; (2) any trust or other estate in which such Person has at least a 20% beneficial interest or as to which such Person serves as trustee or in a similar fiduciary capacity; and (3) any relative or spouse of such Person, or any relative of such spouse, who has the same residence as such Person.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40" w:name="page241"/>
    <w:bookmarkEnd w:id="240"/>
    <w:p>
      <w:pPr>
        <w:ind w:left="1690" w:hanging="259"/>
        <w:spacing w:after="0"/>
        <w:tabs>
          <w:tab w:leader="none" w:pos="1690"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116" w:lineRule="exact"/>
        <w:rPr>
          <w:rFonts w:ascii="Arial" w:cs="Arial" w:eastAsia="Arial" w:hAnsi="Arial"/>
          <w:sz w:val="18"/>
          <w:szCs w:val="18"/>
          <w:color w:val="auto"/>
        </w:rPr>
      </w:pPr>
    </w:p>
    <w:p>
      <w:pPr>
        <w:ind w:left="2230" w:hanging="248"/>
        <w:spacing w:after="0"/>
        <w:tabs>
          <w:tab w:leader="none" w:pos="223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left="10" w:right="40" w:hanging="10"/>
        <w:spacing w:after="0" w:line="323" w:lineRule="auto"/>
        <w:tabs>
          <w:tab w:leader="none" w:pos="2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 the Interested Stockholder, or (b) with any other corporation, partnership, unincorporated association or other entity if the merger or consolidation is caused by the Interested Stockholder and as a result of such merger or consolidation Section 8.2 is not applicable to the surviving entity;</w:t>
      </w:r>
    </w:p>
    <w:p>
      <w:pPr>
        <w:spacing w:after="0" w:line="29" w:lineRule="exact"/>
        <w:rPr>
          <w:rFonts w:ascii="Arial" w:cs="Arial" w:eastAsia="Arial" w:hAnsi="Arial"/>
          <w:sz w:val="16"/>
          <w:szCs w:val="16"/>
          <w:color w:val="auto"/>
        </w:rPr>
      </w:pPr>
    </w:p>
    <w:p>
      <w:pPr>
        <w:ind w:left="10" w:right="120" w:firstLine="1972"/>
        <w:spacing w:after="0" w:line="256" w:lineRule="auto"/>
        <w:tabs>
          <w:tab w:leader="none" w:pos="2246"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of the assets of the Corporation determined on a consolidated basis or the aggregate market value of all of the outstanding Stock of the Corporation;</w:t>
      </w:r>
    </w:p>
    <w:p>
      <w:pPr>
        <w:spacing w:after="0" w:line="83" w:lineRule="exact"/>
        <w:rPr>
          <w:rFonts w:ascii="Arial" w:cs="Arial" w:eastAsia="Arial" w:hAnsi="Arial"/>
          <w:sz w:val="18"/>
          <w:szCs w:val="18"/>
          <w:color w:val="auto"/>
        </w:rPr>
      </w:pPr>
    </w:p>
    <w:p>
      <w:pPr>
        <w:ind w:left="10" w:right="80" w:firstLine="1972"/>
        <w:spacing w:after="0" w:line="269" w:lineRule="auto"/>
        <w:tabs>
          <w:tab w:leader="none" w:pos="2246" w:val="left"/>
        </w:tabs>
        <w:numPr>
          <w:ilvl w:val="2"/>
          <w:numId w:val="138"/>
        </w:numPr>
        <w:rPr>
          <w:rFonts w:ascii="Arial" w:cs="Arial" w:eastAsia="Arial" w:hAnsi="Arial"/>
          <w:sz w:val="17"/>
          <w:szCs w:val="17"/>
          <w:color w:val="auto"/>
        </w:rPr>
      </w:pPr>
      <w:r>
        <w:rPr>
          <w:rFonts w:ascii="Arial" w:cs="Arial" w:eastAsia="Arial" w:hAnsi="Arial"/>
          <w:sz w:val="17"/>
          <w:szCs w:val="17"/>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General Corporation Law; (c) pursuant to a dividend or distribution paid or made on, or the exercise, exchange or conversion of securities exercisable for, exchangeable for or convertible into, Stock of the Corporation or any such subsidiary which security is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72" w:lineRule="exact"/>
        <w:rPr>
          <w:rFonts w:ascii="Arial" w:cs="Arial" w:eastAsia="Arial" w:hAnsi="Arial"/>
          <w:sz w:val="17"/>
          <w:szCs w:val="17"/>
          <w:color w:val="auto"/>
        </w:rPr>
      </w:pPr>
    </w:p>
    <w:p>
      <w:pPr>
        <w:ind w:left="10" w:firstLine="1972"/>
        <w:spacing w:after="0" w:line="256" w:lineRule="auto"/>
        <w:tabs>
          <w:tab w:leader="none" w:pos="2246"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83" w:lineRule="exact"/>
        <w:rPr>
          <w:rFonts w:ascii="Arial" w:cs="Arial" w:eastAsia="Arial" w:hAnsi="Arial"/>
          <w:sz w:val="18"/>
          <w:szCs w:val="18"/>
          <w:color w:val="auto"/>
        </w:rPr>
      </w:pPr>
    </w:p>
    <w:p>
      <w:pPr>
        <w:ind w:left="10" w:right="120" w:firstLine="1972"/>
        <w:spacing w:after="0" w:line="263" w:lineRule="auto"/>
        <w:tabs>
          <w:tab w:leader="none" w:pos="2246"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(1)-(4) above) provided by or through the Corporation or any direct or indirect majority-owned subsidiary.</w:t>
      </w:r>
    </w:p>
    <w:p>
      <w:pPr>
        <w:spacing w:after="0" w:line="74" w:lineRule="exact"/>
        <w:rPr>
          <w:rFonts w:ascii="Arial" w:cs="Arial" w:eastAsia="Arial" w:hAnsi="Arial"/>
          <w:sz w:val="18"/>
          <w:szCs w:val="18"/>
          <w:color w:val="auto"/>
        </w:rPr>
      </w:pPr>
    </w:p>
    <w:p>
      <w:pPr>
        <w:ind w:left="10" w:right="80" w:firstLine="1421"/>
        <w:spacing w:after="0" w:line="263" w:lineRule="auto"/>
        <w:tabs>
          <w:tab w:leader="none" w:pos="175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0"/>
          </w:cols>
          <w:pgMar w:left="450" w:top="274" w:right="439" w:bottom="1440" w:gutter="0" w:footer="0" w:header="0"/>
        </w:sectPr>
      </w:pPr>
    </w:p>
    <w:bookmarkStart w:id="241" w:name="page242"/>
    <w:bookmarkEnd w:id="241"/>
    <w:p>
      <w:pPr>
        <w:jc w:val="both"/>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8, as an agent, bank, broker, nominee, custodian or trustee for one or more Owners who do not individually or as a group have Control of such entity. The definition of Control and correlated terms set forth in Section 14 shall not apply for purposes of this Section 8.</w:t>
      </w:r>
    </w:p>
    <w:p>
      <w:pPr>
        <w:spacing w:after="0" w:line="83" w:lineRule="exact"/>
        <w:rPr>
          <w:sz w:val="20"/>
          <w:szCs w:val="20"/>
          <w:color w:val="auto"/>
        </w:rPr>
      </w:pPr>
    </w:p>
    <w:p>
      <w:pPr>
        <w:ind w:firstLine="1421"/>
        <w:spacing w:after="0" w:line="285" w:lineRule="auto"/>
        <w:tabs>
          <w:tab w:leader="none" w:pos="173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“Interested Stockholder” shall not include (a) Post (as defined in Section 14) or Post Transferees, or any Affiliates of any such Post Transferees, (b) any Person whose ownership of Stock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or (c) any Person whose ownership of Stock in excess of the 15% limitation set forth herein is the result of any action taken inadvertently;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(c) (1) as soon as practicable divests itself of ownership of sufficient shares so that the Person ceases to otherwise be an Interested Stockholder, and (2) would not, at any time within the three year period immediately prior to a Business Combination between the Corporation and such Person, have been an Interested Stockholder but for the inadvertent acquisition of ownership.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8" w:lineRule="exact"/>
        <w:rPr>
          <w:rFonts w:ascii="Arial" w:cs="Arial" w:eastAsia="Arial" w:hAnsi="Arial"/>
          <w:sz w:val="16"/>
          <w:szCs w:val="16"/>
          <w:color w:val="auto"/>
        </w:rPr>
      </w:pPr>
    </w:p>
    <w:p>
      <w:pPr>
        <w:ind w:right="260" w:firstLine="1421"/>
        <w:spacing w:after="0" w:line="277" w:lineRule="auto"/>
        <w:tabs>
          <w:tab w:leader="none" w:pos="168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1" w:lineRule="exact"/>
        <w:rPr>
          <w:rFonts w:ascii="Arial" w:cs="Arial" w:eastAsia="Arial" w:hAnsi="Arial"/>
          <w:sz w:val="18"/>
          <w:szCs w:val="18"/>
          <w:color w:val="auto"/>
        </w:rPr>
      </w:pPr>
    </w:p>
    <w:p>
      <w:pPr>
        <w:ind w:left="2220" w:hanging="248"/>
        <w:spacing w:after="0"/>
        <w:tabs>
          <w:tab w:leader="none" w:pos="22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6" w:lineRule="exact"/>
        <w:rPr>
          <w:rFonts w:ascii="Arial" w:cs="Arial" w:eastAsia="Arial" w:hAnsi="Arial"/>
          <w:sz w:val="18"/>
          <w:szCs w:val="18"/>
          <w:color w:val="auto"/>
        </w:rPr>
      </w:pPr>
    </w:p>
    <w:p>
      <w:pPr>
        <w:ind w:right="20" w:firstLine="1972"/>
        <w:spacing w:after="0" w:line="272" w:lineRule="auto"/>
        <w:tabs>
          <w:tab w:leader="none" w:pos="2236"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42" w:name="page243"/>
    <w:bookmarkEnd w:id="242"/>
    <w:p>
      <w:pPr>
        <w:ind w:firstLine="1972"/>
        <w:spacing w:after="0" w:line="263" w:lineRule="auto"/>
        <w:tabs>
          <w:tab w:leader="none" w:pos="2236" w:val="left"/>
        </w:tabs>
        <w:numPr>
          <w:ilvl w:val="2"/>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any agreement, arrangement or understanding for the purpose of acquiring, holding, voting (except voting pursuant to a revocable proxy or consent as described in item (b) of subsection (2) above), or disposing of such Stock with any other Person that beneficially owns, or whose Affiliates or Associates beneficially own, directly or indirectly, such Stock.</w:t>
      </w:r>
    </w:p>
    <w:p>
      <w:pPr>
        <w:spacing w:after="0" w:line="74" w:lineRule="exact"/>
        <w:rPr>
          <w:rFonts w:ascii="Arial" w:cs="Arial" w:eastAsia="Arial" w:hAnsi="Arial"/>
          <w:sz w:val="18"/>
          <w:szCs w:val="18"/>
          <w:color w:val="auto"/>
        </w:rPr>
      </w:pPr>
    </w:p>
    <w:p>
      <w:pPr>
        <w:ind w:right="80" w:firstLine="1421"/>
        <w:spacing w:after="0" w:line="293" w:lineRule="auto"/>
        <w:tabs>
          <w:tab w:leader="none" w:pos="173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Transferee</w:t>
      </w:r>
      <w:r>
        <w:rPr>
          <w:rFonts w:ascii="Arial" w:cs="Arial" w:eastAsia="Arial" w:hAnsi="Arial"/>
          <w:sz w:val="16"/>
          <w:szCs w:val="16"/>
          <w:color w:val="auto"/>
        </w:rPr>
        <w:t>” means any Person who (a) acquires Voting Stock of the Corporation from Post (other than in connection with a public offering) or (b) is granted a proxy by, or enters into a voting agreement or other voting arrangement with, Post pursuant to Section 8.04 of the LLC Agreement, and in either case is designated in writing by Post as a “Post Transferee.” For avoidance of doubt, a Person described in clause (b) of the preceding sentence who shall have been designated in writing by Post as a Post Transferee shall continue to be a Post Transferee in the event such Person acquires shares of Class A Common Stock through the exercise of its right to redeem the Nonvoting Common Units, which were the subject of such proxy, agreement or other arrangement, in accordance with Article IX of the LLC Agreement.</w:t>
      </w:r>
    </w:p>
    <w:p>
      <w:pPr>
        <w:spacing w:after="0" w:line="55" w:lineRule="exact"/>
        <w:rPr>
          <w:rFonts w:ascii="Arial" w:cs="Arial" w:eastAsia="Arial" w:hAnsi="Arial"/>
          <w:sz w:val="16"/>
          <w:szCs w:val="16"/>
          <w:color w:val="auto"/>
        </w:rPr>
      </w:pPr>
    </w:p>
    <w:p>
      <w:pPr>
        <w:ind w:left="1780" w:hanging="359"/>
        <w:spacing w:after="0"/>
        <w:tabs>
          <w:tab w:leader="none" w:pos="17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28" w:lineRule="exact"/>
        <w:rPr>
          <w:rFonts w:ascii="Arial" w:cs="Arial" w:eastAsia="Arial" w:hAnsi="Arial"/>
          <w:sz w:val="17"/>
          <w:szCs w:val="17"/>
          <w:color w:val="auto"/>
        </w:rPr>
      </w:pPr>
    </w:p>
    <w:p>
      <w:pPr>
        <w:ind w:right="380" w:firstLine="1421"/>
        <w:spacing w:after="0" w:line="277" w:lineRule="auto"/>
        <w:tabs>
          <w:tab w:leader="none" w:pos="183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(or such equivalent office with the power to direct or cause the direction of the management and policies of a Person).</w:t>
      </w:r>
    </w:p>
    <w:p>
      <w:pPr>
        <w:spacing w:after="0" w:line="61" w:lineRule="exact"/>
        <w:rPr>
          <w:rFonts w:ascii="Arial" w:cs="Arial" w:eastAsia="Arial" w:hAnsi="Arial"/>
          <w:sz w:val="18"/>
          <w:szCs w:val="18"/>
          <w:color w:val="auto"/>
        </w:rPr>
      </w:pPr>
    </w:p>
    <w:p>
      <w:pPr>
        <w:ind w:left="620" w:hanging="190"/>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117" w:lineRule="exact"/>
        <w:rPr>
          <w:sz w:val="20"/>
          <w:szCs w:val="20"/>
          <w:color w:val="auto"/>
        </w:rPr>
      </w:pPr>
    </w:p>
    <w:p>
      <w:pPr>
        <w:ind w:right="120" w:firstLine="1421"/>
        <w:spacing w:after="0" w:line="253" w:lineRule="auto"/>
        <w:tabs>
          <w:tab w:leader="none" w:pos="16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to any express agreement that may from time to time be in effect,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pacing w:after="0" w:line="86" w:lineRule="exact"/>
        <w:rPr>
          <w:rFonts w:ascii="Arial" w:cs="Arial" w:eastAsia="Arial" w:hAnsi="Arial"/>
          <w:sz w:val="18"/>
          <w:szCs w:val="18"/>
          <w:color w:val="auto"/>
        </w:rPr>
      </w:pPr>
    </w:p>
    <w:p>
      <w:pPr>
        <w:ind w:right="80" w:firstLine="1421"/>
        <w:spacing w:after="0" w:line="296" w:lineRule="auto"/>
        <w:tabs>
          <w:tab w:leader="none" w:pos="169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 such business. The Corporation shall pay in advance any expenses incurred in defense of any such claim against any Dual Role Person pursuant to Section 10 or as provided in the Bylaws.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243" w:name="page244"/>
    <w:bookmarkEnd w:id="243"/>
    <w:p>
      <w:pPr>
        <w:ind w:left="10" w:firstLine="1421"/>
        <w:spacing w:after="0" w:line="285" w:lineRule="auto"/>
        <w:tabs>
          <w:tab w:leader="none" w:pos="1755" w:val="left"/>
        </w:tabs>
        <w:numPr>
          <w:ilvl w:val="1"/>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1" w:lineRule="exact"/>
        <w:rPr>
          <w:rFonts w:ascii="Arial" w:cs="Arial" w:eastAsia="Arial" w:hAnsi="Arial"/>
          <w:sz w:val="16"/>
          <w:szCs w:val="16"/>
          <w:color w:val="auto"/>
        </w:rPr>
      </w:pPr>
    </w:p>
    <w:p>
      <w:pPr>
        <w:ind w:left="10" w:hanging="10"/>
        <w:spacing w:after="0" w:line="252" w:lineRule="auto"/>
        <w:tabs>
          <w:tab w:leader="none" w:pos="2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10 or as provided in the Bylaws.</w:t>
      </w:r>
    </w:p>
    <w:p>
      <w:pPr>
        <w:spacing w:after="0" w:line="85" w:lineRule="exact"/>
        <w:rPr>
          <w:sz w:val="20"/>
          <w:szCs w:val="20"/>
          <w:color w:val="auto"/>
        </w:rPr>
      </w:pPr>
    </w:p>
    <w:p>
      <w:pPr>
        <w:jc w:val="both"/>
        <w:ind w:left="10" w:right="300" w:firstLine="1421"/>
        <w:spacing w:after="0" w:line="263" w:lineRule="auto"/>
        <w:tabs>
          <w:tab w:leader="none" w:pos="174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foregoing provisions in this Section 9.1, and the action of any Dual Role Person taken in accordance with, or in reliance upon, the foregoing provisions in this Section 9.1, including entering into or performing any agreement, transaction or arrangement, are deemed and presumed to be fair to the Corporation.</w:t>
      </w:r>
    </w:p>
    <w:p>
      <w:pPr>
        <w:spacing w:after="0" w:line="75" w:lineRule="exact"/>
        <w:rPr>
          <w:sz w:val="20"/>
          <w:szCs w:val="20"/>
          <w:color w:val="auto"/>
        </w:rPr>
      </w:pPr>
    </w:p>
    <w:p>
      <w:pPr>
        <w:ind w:left="10" w:right="100" w:firstLine="991"/>
        <w:spacing w:after="0" w:line="275"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Matters Deemed not Corporate Opportunities</w:t>
      </w:r>
      <w:r>
        <w:rPr>
          <w:rFonts w:ascii="Arial" w:cs="Arial" w:eastAsia="Arial" w:hAnsi="Arial"/>
          <w:sz w:val="17"/>
          <w:szCs w:val="17"/>
          <w:color w:val="auto"/>
        </w:rPr>
        <w:t>. In addition to and notwithstanding the foregoing provisions of this Section 9,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9 shall amend or modify in any respect any written contractual agreement between Post, on the one hand, and the Corporation or any of its Controlled Companies, on the other hand.</w:t>
      </w:r>
    </w:p>
    <w:p>
      <w:pPr>
        <w:spacing w:after="0" w:line="67" w:lineRule="exact"/>
        <w:rPr>
          <w:sz w:val="20"/>
          <w:szCs w:val="20"/>
          <w:color w:val="auto"/>
        </w:rPr>
      </w:pPr>
    </w:p>
    <w:p>
      <w:pPr>
        <w:ind w:left="10" w:right="140" w:firstLine="991"/>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Deemed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purchasing or otherwise acquiring or obtaining any interest in any capital stock of the Corporation shall be deemed to have notice of and to have consented to the provisions of this Section 9.</w:t>
      </w:r>
    </w:p>
    <w:p>
      <w:pPr>
        <w:spacing w:after="0" w:line="62" w:lineRule="exact"/>
        <w:rPr>
          <w:sz w:val="20"/>
          <w:szCs w:val="20"/>
          <w:color w:val="auto"/>
        </w:rPr>
      </w:pPr>
    </w:p>
    <w:p>
      <w:pPr>
        <w:ind w:left="10" w:right="180" w:firstLine="991"/>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invalidity or unenforceability of any particular provision, or part of any provision, of this Section 9 shall not affect the other provisions or parts hereof, and this Section 9 shall be construed in all respects as if such invalid or unenforceable provisions or parts were omitted.</w:t>
      </w:r>
    </w:p>
    <w:p>
      <w:pPr>
        <w:spacing w:after="0" w:line="75" w:lineRule="exact"/>
        <w:rPr>
          <w:sz w:val="20"/>
          <w:szCs w:val="20"/>
          <w:color w:val="auto"/>
        </w:rPr>
      </w:pPr>
    </w:p>
    <w:p>
      <w:pPr>
        <w:ind w:left="99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Amendment; Terminations</w:t>
      </w:r>
      <w:r>
        <w:rPr>
          <w:rFonts w:ascii="Arial" w:cs="Arial" w:eastAsia="Arial" w:hAnsi="Arial"/>
          <w:sz w:val="18"/>
          <w:szCs w:val="18"/>
          <w:color w:val="auto"/>
        </w:rPr>
        <w:t>.</w:t>
      </w:r>
    </w:p>
    <w:p>
      <w:pPr>
        <w:spacing w:after="0" w:line="117" w:lineRule="exact"/>
        <w:rPr>
          <w:sz w:val="20"/>
          <w:szCs w:val="20"/>
          <w:color w:val="auto"/>
        </w:rPr>
      </w:pPr>
    </w:p>
    <w:p>
      <w:pPr>
        <w:ind w:left="10" w:right="280" w:firstLine="1421"/>
        <w:spacing w:after="0" w:line="263" w:lineRule="auto"/>
        <w:tabs>
          <w:tab w:leader="none" w:pos="1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provisions of this Section 9 shall have no further force or effect at such time as (1) the Corporation and Post are no longer Affiliates of one another and (2) none of the directors, officers, employees, agents and/or Affiliates of Post serve as directors, officers, managers, employees and/or agents of the Corporation or any of its Controlled Companies.</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0"/>
          </w:cols>
          <w:pgMar w:left="450" w:top="274" w:right="459" w:bottom="1440" w:gutter="0" w:footer="0" w:header="0"/>
        </w:sectPr>
      </w:pPr>
    </w:p>
    <w:bookmarkStart w:id="244" w:name="page245"/>
    <w:bookmarkEnd w:id="244"/>
    <w:p>
      <w:pPr>
        <w:ind w:right="140" w:firstLine="1421"/>
        <w:spacing w:after="0" w:line="293" w:lineRule="auto"/>
        <w:tabs>
          <w:tab w:leader="none" w:pos="1696" w:val="left"/>
        </w:tabs>
        <w:numPr>
          <w:ilvl w:val="1"/>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amendment, alteration, change, repeal or termination of this Section 9, nor the adoption of a provision inconsistent with this Section 9, shall eliminate or reduce the effect of such provisions with respect to (1) any matter occurring, or any action or proceeding accruing or arising, prior to such amendment, alteration, change, repeal, termination or adoption of an inconsistent provision or (2)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55" w:lineRule="exact"/>
        <w:rPr>
          <w:rFonts w:ascii="Arial" w:cs="Arial" w:eastAsia="Arial" w:hAnsi="Arial"/>
          <w:sz w:val="16"/>
          <w:szCs w:val="16"/>
          <w:color w:val="auto"/>
        </w:rPr>
      </w:pPr>
    </w:p>
    <w:p>
      <w:pPr>
        <w:ind w:left="700" w:hanging="270"/>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Actions Involving Directors and Officers</w:t>
      </w:r>
      <w:r>
        <w:rPr>
          <w:rFonts w:ascii="Arial" w:cs="Arial" w:eastAsia="Arial" w:hAnsi="Arial"/>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Actions Involving Employees or Agents</w:t>
      </w:r>
      <w:r>
        <w:rPr>
          <w:rFonts w:ascii="Arial" w:cs="Arial" w:eastAsia="Arial" w:hAnsi="Arial"/>
          <w:sz w:val="18"/>
          <w:szCs w:val="18"/>
          <w:color w:val="auto"/>
        </w:rPr>
        <w:t>.</w:t>
      </w:r>
    </w:p>
    <w:p>
      <w:pPr>
        <w:spacing w:after="0" w:line="117" w:lineRule="exact"/>
        <w:rPr>
          <w:sz w:val="20"/>
          <w:szCs w:val="20"/>
          <w:color w:val="auto"/>
        </w:rPr>
      </w:pPr>
    </w:p>
    <w:p>
      <w:pPr>
        <w:ind w:firstLine="1421"/>
        <w:spacing w:after="0" w:line="269" w:lineRule="auto"/>
        <w:tabs>
          <w:tab w:leader="none" w:pos="1646"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Permissive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Corporation may, if it deems appropriate and as may be permitted by this Section 10,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72" w:lineRule="exact"/>
        <w:rPr>
          <w:rFonts w:ascii="Arial" w:cs="Arial" w:eastAsia="Arial" w:hAnsi="Arial"/>
          <w:sz w:val="17"/>
          <w:szCs w:val="17"/>
          <w:color w:val="auto"/>
        </w:rPr>
      </w:pPr>
    </w:p>
    <w:p>
      <w:pPr>
        <w:ind w:right="80" w:firstLine="1421"/>
        <w:spacing w:after="0" w:line="259" w:lineRule="auto"/>
        <w:tabs>
          <w:tab w:leader="none" w:pos="169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an employee or agent of the Corporation has been successful on the merits or otherwise in defense of any action, suit or proceeding referred to in Section 10.2(i),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245" w:name="page246"/>
    <w:bookmarkEnd w:id="245"/>
    <w:p>
      <w:pPr>
        <w:ind w:right="4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6"/>
          <w:szCs w:val="16"/>
          <w:u w:val="single" w:color="auto"/>
          <w:color w:val="auto"/>
        </w:rPr>
        <w:t>Determination of Right to Indemnification in Certain Circumstances</w:t>
      </w:r>
      <w:r>
        <w:rPr>
          <w:rFonts w:ascii="Arial" w:cs="Arial" w:eastAsia="Arial" w:hAnsi="Arial"/>
          <w:sz w:val="16"/>
          <w:szCs w:val="16"/>
          <w:color w:val="auto"/>
        </w:rPr>
        <w:t xml:space="preserve">. Any indemnification required under Section 10.1 or authorized by the Corporation in a specific case or otherwise required pursuant to Section 10.2 shall be made by the Corporation, unless a determination is made reasonably and promptly that indemnification of the director, officer, employee or agent is not proper under the circumstances. Such determination shall be made (1) by the Board by a majority vote of a quorum consisting of directors who were not parties to such action, suit or proceeding, (2) if such a quorum is not obtainable, or even if obtainable, by independent legal counsel in a written opinion or (3) by majority vote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determination shall preclude an action brought in an appropriate court to challenge such determination.</w:t>
      </w:r>
    </w:p>
    <w:p>
      <w:pPr>
        <w:spacing w:after="0" w:line="55"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Advance Payment of Expenses</w:t>
      </w:r>
      <w:r>
        <w:rPr>
          <w:rFonts w:ascii="Arial" w:cs="Arial" w:eastAsia="Arial" w:hAnsi="Arial"/>
          <w:sz w:val="17"/>
          <w:szCs w:val="17"/>
          <w:color w:val="auto"/>
        </w:rPr>
        <w:t>. To the extent not prohibited by applicable law, expenses incurred in defense of a claim against a Dual Role Person (as defined in Section 14) pursuant to Section 9.1(ii) or Section 9.1(iii) and expenses incurred by a person who is or was a director or officer of the Corporation in defending a civil or criminal action, suit, proceeding or claim shall be paid by the Corporation in advance of the 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10 or otherwise.</w:t>
      </w:r>
    </w:p>
    <w:p>
      <w:pPr>
        <w:spacing w:after="0" w:line="69"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indemnification and other rights provided by this Section 10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10 applies.</w:t>
      </w:r>
    </w:p>
    <w:p>
      <w:pPr>
        <w:spacing w:after="0" w:line="48"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Indemnification Agreements Authorized</w:t>
      </w:r>
      <w:r>
        <w:rPr>
          <w:rFonts w:ascii="Arial" w:cs="Arial" w:eastAsia="Arial" w:hAnsi="Arial"/>
          <w:sz w:val="17"/>
          <w:szCs w:val="17"/>
          <w:color w:val="auto"/>
        </w:rPr>
        <w:t>. Without limiting the other provisions of this Section 10,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6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246" w:name="page247"/>
    <w:bookmarkEnd w:id="246"/>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10.</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Section 10:</w:t>
      </w:r>
    </w:p>
    <w:p>
      <w:pPr>
        <w:spacing w:after="0" w:line="117" w:lineRule="exact"/>
        <w:rPr>
          <w:sz w:val="20"/>
          <w:szCs w:val="20"/>
          <w:color w:val="auto"/>
        </w:rPr>
      </w:pPr>
    </w:p>
    <w:p>
      <w:pPr>
        <w:ind w:firstLine="1421"/>
        <w:spacing w:after="0" w:line="269" w:lineRule="auto"/>
        <w:tabs>
          <w:tab w:leader="none" w:pos="164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10.8 is only deemed to be serving at the request of the Corporation for purposes of this Section 10, and is not actually employed by the Corporation.</w:t>
      </w:r>
    </w:p>
    <w:p>
      <w:pPr>
        <w:spacing w:after="0" w:line="75" w:lineRule="exact"/>
        <w:rPr>
          <w:rFonts w:ascii="Arial" w:cs="Arial" w:eastAsia="Arial" w:hAnsi="Arial"/>
          <w:sz w:val="17"/>
          <w:szCs w:val="17"/>
          <w:color w:val="auto"/>
        </w:rPr>
      </w:pPr>
    </w:p>
    <w:p>
      <w:pPr>
        <w:ind w:right="60" w:firstLine="1421"/>
        <w:spacing w:after="0" w:line="296" w:lineRule="auto"/>
        <w:tabs>
          <w:tab w:leader="none" w:pos="169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 partnership, joint venture, trust or other enterprise shall stand in the same position under the provisions of this Section 10 with respect to the resulting or surviving corporation as such person would if such person had served the resulting or surviving corporation in the same capacity.</w:t>
      </w:r>
    </w:p>
    <w:p>
      <w:pPr>
        <w:spacing w:after="0" w:line="52" w:lineRule="exact"/>
        <w:rPr>
          <w:rFonts w:ascii="Arial" w:cs="Arial" w:eastAsia="Arial" w:hAnsi="Arial"/>
          <w:sz w:val="16"/>
          <w:szCs w:val="16"/>
          <w:color w:val="auto"/>
        </w:rPr>
      </w:pPr>
    </w:p>
    <w:p>
      <w:pPr>
        <w:ind w:right="40" w:firstLine="1421"/>
        <w:spacing w:after="0" w:line="271" w:lineRule="auto"/>
        <w:tabs>
          <w:tab w:leader="none" w:pos="174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10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69"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Survival</w:t>
      </w:r>
      <w:r>
        <w:rPr>
          <w:rFonts w:ascii="Arial" w:cs="Arial" w:eastAsia="Arial" w:hAnsi="Arial"/>
          <w:sz w:val="18"/>
          <w:szCs w:val="18"/>
          <w:color w:val="auto"/>
        </w:rPr>
        <w:t>. The indemnification and other rights provided pursuant to this Section 10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247" w:name="page248"/>
    <w:bookmarkEnd w:id="247"/>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10 shall survive amendment or repeal of this Section 10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55"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Liability of the Directors</w:t>
      </w:r>
      <w:r>
        <w:rPr>
          <w:rFonts w:ascii="Arial" w:cs="Arial" w:eastAsia="Arial" w:hAnsi="Arial"/>
          <w:sz w:val="17"/>
          <w:szCs w:val="17"/>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Amended Certificate of Incorporation or further action on the part of the stockholders of the Corporation. Any repeal or modification of this Section 10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69"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Amendment</w:t>
      </w:r>
      <w:r>
        <w:rPr>
          <w:rFonts w:ascii="Arial" w:cs="Arial" w:eastAsia="Arial" w:hAnsi="Arial"/>
          <w:sz w:val="18"/>
          <w:szCs w:val="18"/>
          <w:color w:val="auto"/>
        </w:rPr>
        <w:t>. This Section 10 may be amended, altered, changed or repealed, or a provision inconsistent with this Section 10 may be adopted, only upon the affirmative vote of not less than 85% of the total voting power of all of the outstanding shares of Common Stock then entitled to vote in the election of directors, voting together as a single class.</w:t>
      </w:r>
    </w:p>
    <w:p>
      <w:pPr>
        <w:spacing w:after="0" w:line="75" w:lineRule="exact"/>
        <w:rPr>
          <w:sz w:val="20"/>
          <w:szCs w:val="20"/>
          <w:color w:val="auto"/>
        </w:rPr>
      </w:pPr>
    </w:p>
    <w:p>
      <w:pPr>
        <w:ind w:right="100" w:firstLine="430"/>
        <w:spacing w:after="0" w:line="273" w:lineRule="auto"/>
        <w:tabs>
          <w:tab w:leader="none" w:pos="70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Amendment or Repeal of Bylaws</w:t>
      </w:r>
      <w:r>
        <w:rPr>
          <w:rFonts w:ascii="Arial" w:cs="Arial" w:eastAsia="Arial" w:hAnsi="Arial"/>
          <w:sz w:val="17"/>
          <w:szCs w:val="17"/>
          <w:color w:val="auto"/>
        </w:rPr>
        <w:t xml:space="preserve">. A majority of all of the members of the Board may amend, alter, change or repeal any provision of the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any provision of the Bylaws relating to amendment in any manner that alters the stockholders’ power to amend, alter, change or repeal the Bylaws. The stockholders of the Corporation also may amend, alter, change or repeal any provision of the Bylaws upon the affirmative vote of a majority of all of the voting power of the Corporation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any provision of the Bylaws relating to amendment in any manner that alters the Board’s power to amend, alter, change or repeal the Bylaws.</w:t>
      </w:r>
    </w:p>
    <w:p>
      <w:pPr>
        <w:spacing w:after="0" w:line="68" w:lineRule="exact"/>
        <w:rPr>
          <w:rFonts w:ascii="Arial" w:cs="Arial" w:eastAsia="Arial" w:hAnsi="Arial"/>
          <w:sz w:val="17"/>
          <w:szCs w:val="17"/>
          <w:color w:val="auto"/>
        </w:rPr>
      </w:pPr>
    </w:p>
    <w:p>
      <w:pPr>
        <w:ind w:right="60" w:firstLine="430"/>
        <w:spacing w:after="0" w:line="301" w:lineRule="auto"/>
        <w:tabs>
          <w:tab w:leader="none" w:pos="71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Amendment or Repeal of Certificate</w:t>
      </w:r>
      <w:r>
        <w:rPr>
          <w:rFonts w:ascii="Arial" w:cs="Arial" w:eastAsia="Arial" w:hAnsi="Arial"/>
          <w:sz w:val="16"/>
          <w:szCs w:val="16"/>
          <w:color w:val="auto"/>
        </w:rPr>
        <w:t>. The Corporation reserves the right to amend, alter, change or repeal any provision contained in this Amended Certificate of Incorporation in the manner now or hereafter prescribed by the General Corporation Law, except as otherwise set forth herein, and all rights, preferences and privileges of whatsoever nature conferred upon stockholders, directors or any other Persons whomsoever by and pursuant to this Amended Certificate of Incorporation in its present form or as hereafter amended, are granted and held subject to this reservation.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60" w:top="274" w:right="439" w:bottom="1440" w:gutter="0" w:footer="0" w:header="0"/>
        </w:sectPr>
      </w:pPr>
    </w:p>
    <w:bookmarkStart w:id="248" w:name="page249"/>
    <w:bookmarkEnd w:id="248"/>
    <w:p>
      <w:pPr>
        <w:ind w:firstLine="430"/>
        <w:spacing w:after="0" w:line="290" w:lineRule="auto"/>
        <w:tabs>
          <w:tab w:leader="none" w:pos="710"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6"/>
          <w:szCs w:val="16"/>
          <w:color w:val="auto"/>
        </w:rPr>
        <w:t>. If any provision or provisions of this Amended Certificate of Incorporation shall be held to be invalid, illegal or unenforceable as applied to any circumstance for any reason whatsoever: (i) the validity, legality and enforceability of such provisions in any other circumstance and of the remaining provisions of this Amended Certificate of Incorporation (including, without limitation, each portion of any paragraph of this Amended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Certificate of Incorporation (including, without limitation, each such portion of any paragraph of this Amended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56" w:lineRule="exact"/>
        <w:rPr>
          <w:rFonts w:ascii="Arial" w:cs="Arial" w:eastAsia="Arial" w:hAnsi="Arial"/>
          <w:sz w:val="16"/>
          <w:szCs w:val="16"/>
          <w:color w:val="auto"/>
        </w:rPr>
      </w:pPr>
    </w:p>
    <w:p>
      <w:pPr>
        <w:ind w:right="200" w:firstLine="430"/>
        <w:spacing w:after="0" w:line="277" w:lineRule="auto"/>
        <w:tabs>
          <w:tab w:leader="none" w:pos="71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Certificate of Incorporation, unless the context otherwise requires or as set forth in another Section of this Amended Certificate of Incorporation, the term:</w:t>
      </w:r>
    </w:p>
    <w:p>
      <w:pPr>
        <w:spacing w:after="0" w:line="62"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Brands, LLC</w:t>
      </w:r>
      <w:r>
        <w:rPr>
          <w:rFonts w:ascii="Arial" w:cs="Arial" w:eastAsia="Arial" w:hAnsi="Arial"/>
          <w:sz w:val="18"/>
          <w:szCs w:val="18"/>
          <w:color w:val="auto"/>
        </w:rPr>
        <w:t>” means BellRing Brands, LLC, a Delaware limited liability company, and its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power to direct or cause the direction of the management and policies of a Person, whether through the ownership of voting securities, by contract or otherwise. The definition of Control and correlated terms set forth in Section 8.3(iii) shall only apply for purposes of Section 8.</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Company</w:t>
      </w:r>
      <w:r>
        <w:rPr>
          <w:rFonts w:ascii="Arial" w:cs="Arial" w:eastAsia="Arial" w:hAnsi="Arial"/>
          <w:sz w:val="17"/>
          <w:szCs w:val="17"/>
          <w:color w:val="auto"/>
        </w:rPr>
        <w:t>” means, with respect to the Corporation, any Person Controlled by the Corporation, including BellRing Brands, LLC.</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Dual Role Person</w:t>
      </w:r>
      <w:r>
        <w:rPr>
          <w:rFonts w:ascii="Arial" w:cs="Arial" w:eastAsia="Arial" w:hAnsi="Arial"/>
          <w:sz w:val="18"/>
          <w:szCs w:val="18"/>
          <w:color w:val="auto"/>
        </w:rPr>
        <w:t>” means each of (1) any director, officer, manager, employee or agent of the Corporation and/or any of its Controlled Companies who is also a director, officer, employee, agent and/or Affiliate of Post and (2) Post.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together with the rules and regulations promulgated thereunder.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6400" w:type="dxa"/>
            <w:vAlign w:val="bottom"/>
            <w:gridSpan w:val="5"/>
          </w:tcPr>
          <w:p>
            <w:pPr>
              <w:ind w:left="440"/>
              <w:spacing w:after="0"/>
              <w:rPr>
                <w:sz w:val="20"/>
                <w:szCs w:val="20"/>
                <w:color w:val="auto"/>
              </w:rPr>
            </w:pPr>
            <w:r>
              <w:rPr>
                <w:rFonts w:ascii="Arial" w:cs="Arial" w:eastAsia="Arial" w:hAnsi="Arial"/>
                <w:sz w:val="18"/>
                <w:szCs w:val="18"/>
                <w:color w:val="auto"/>
              </w:rPr>
              <w:t>“General Corporation Law” is defined in the Recitals.</w:t>
            </w:r>
          </w:p>
        </w:tc>
        <w:tc>
          <w:tcPr>
            <w:tcW w:w="37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412"/>
        </w:trPr>
        <w:tc>
          <w:tcPr>
            <w:tcW w:w="6400" w:type="dxa"/>
            <w:vAlign w:val="bottom"/>
            <w:gridSpan w:val="5"/>
          </w:tcPr>
          <w:p>
            <w:pPr>
              <w:ind w:left="440"/>
              <w:spacing w:after="0"/>
              <w:rPr>
                <w:sz w:val="20"/>
                <w:szCs w:val="20"/>
                <w:color w:val="auto"/>
              </w:rPr>
            </w:pPr>
            <w:r>
              <w:rPr>
                <w:rFonts w:ascii="Arial" w:cs="Arial" w:eastAsia="Arial" w:hAnsi="Arial"/>
                <w:sz w:val="18"/>
                <w:szCs w:val="18"/>
                <w:color w:val="auto"/>
                <w:w w:val="94"/>
              </w:rPr>
              <w:t>“Investor Rights Agreement” means the Investor Rights Agreement dated as of</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w w:val="94"/>
              </w:rPr>
              <w:t>, 2019 between PHI and the Corporation (as the same may</w:t>
            </w: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6400" w:type="dxa"/>
            <w:vAlign w:val="bottom"/>
            <w:gridSpan w:val="5"/>
          </w:tcPr>
          <w:p>
            <w:pPr>
              <w:spacing w:after="0"/>
              <w:rPr>
                <w:sz w:val="20"/>
                <w:szCs w:val="20"/>
                <w:color w:val="auto"/>
              </w:rPr>
            </w:pPr>
            <w:r>
              <w:rPr>
                <w:rFonts w:ascii="Arial" w:cs="Arial" w:eastAsia="Arial" w:hAnsi="Arial"/>
                <w:sz w:val="18"/>
                <w:szCs w:val="18"/>
                <w:color w:val="auto"/>
                <w:w w:val="96"/>
              </w:rPr>
              <w:t>be amended, restated, supplemented and/or otherwise modified from time to time).</w:t>
            </w:r>
          </w:p>
        </w:tc>
        <w:tc>
          <w:tcPr>
            <w:tcW w:w="37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1"/>
        </w:trPr>
        <w:tc>
          <w:tcPr>
            <w:tcW w:w="10140" w:type="dxa"/>
            <w:vAlign w:val="bottom"/>
            <w:gridSpan w:val="6"/>
          </w:tcPr>
          <w:p>
            <w:pPr>
              <w:ind w:left="440"/>
              <w:spacing w:after="0"/>
              <w:rPr>
                <w:sz w:val="20"/>
                <w:szCs w:val="20"/>
                <w:color w:val="auto"/>
              </w:rPr>
            </w:pPr>
            <w:r>
              <w:rPr>
                <w:rFonts w:ascii="Arial" w:cs="Arial" w:eastAsia="Arial" w:hAnsi="Arial"/>
                <w:sz w:val="18"/>
                <w:szCs w:val="18"/>
                <w:color w:val="auto"/>
                <w:w w:val="94"/>
              </w:rPr>
              <w:t>“LLC Agreement” means the Amended and Restated Limited Liability Company Agreement of BellRing Brands, LLC, dated as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10140" w:type="dxa"/>
            <w:vAlign w:val="bottom"/>
            <w:gridSpan w:val="6"/>
          </w:tcPr>
          <w:p>
            <w:pPr>
              <w:spacing w:after="0"/>
              <w:rPr>
                <w:sz w:val="20"/>
                <w:szCs w:val="20"/>
                <w:color w:val="auto"/>
              </w:rPr>
            </w:pPr>
            <w:r>
              <w:rPr>
                <w:rFonts w:ascii="Arial" w:cs="Arial" w:eastAsia="Arial" w:hAnsi="Arial"/>
                <w:sz w:val="18"/>
                <w:szCs w:val="18"/>
                <w:color w:val="auto"/>
              </w:rPr>
              <w:t>as the same may be amended, restated, supplemented and/or otherwise modified, from time to time.</w:t>
            </w:r>
          </w:p>
        </w:tc>
        <w:tc>
          <w:tcPr>
            <w:tcW w:w="760" w:type="dxa"/>
            <w:vAlign w:val="bottom"/>
          </w:tcPr>
          <w:p>
            <w:pPr>
              <w:spacing w:after="0"/>
              <w:rPr>
                <w:sz w:val="20"/>
                <w:szCs w:val="2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Non-Affiliated BellRing Brands, LLC Member</w:t>
      </w:r>
      <w:r>
        <w:rPr>
          <w:rFonts w:ascii="Arial" w:cs="Arial" w:eastAsia="Arial" w:hAnsi="Arial"/>
          <w:sz w:val="18"/>
          <w:szCs w:val="18"/>
          <w:color w:val="auto"/>
        </w:rPr>
        <w:t>” is defined in Section 5.1(i)(2).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Unit</w:t>
      </w:r>
      <w:r>
        <w:rPr>
          <w:rFonts w:ascii="Arial" w:cs="Arial" w:eastAsia="Arial" w:hAnsi="Arial"/>
          <w:sz w:val="18"/>
          <w:szCs w:val="18"/>
          <w:color w:val="auto"/>
        </w:rPr>
        <w:t>” means a Nonvoting Common Unit of BellRing Brands, LLC as defined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w:t>
      </w:r>
      <w:r>
        <w:rPr>
          <w:rFonts w:ascii="Arial" w:cs="Arial" w:eastAsia="Arial" w:hAnsi="Arial"/>
          <w:sz w:val="17"/>
          <w:szCs w:val="17"/>
          <w:color w:val="auto"/>
        </w:rPr>
        <w:t>” means Post Holdings, Inc. and its Affiliates (other than the Corporation and its Controlled Companies), successors and assigns.</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Adjustment</w:t>
      </w:r>
      <w:r>
        <w:rPr>
          <w:rFonts w:ascii="Arial" w:cs="Arial" w:eastAsia="Arial" w:hAnsi="Arial"/>
          <w:sz w:val="18"/>
          <w:szCs w:val="18"/>
          <w:color w:val="auto"/>
        </w:rPr>
        <w:t>” is defined in Section 5.1(ii)(3).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Triggering Event</w:t>
      </w:r>
      <w:r>
        <w:rPr>
          <w:rFonts w:ascii="Arial" w:cs="Arial" w:eastAsia="Arial" w:hAnsi="Arial"/>
          <w:sz w:val="17"/>
          <w:szCs w:val="17"/>
          <w:color w:val="auto"/>
        </w:rPr>
        <w:t>” means the first date on which Post ceases to own of record more than 50% of the outstanding Nonvoting Common Units.</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60" w:top="257" w:right="539" w:bottom="1440" w:gutter="0" w:footer="0" w:header="0"/>
        </w:sectPr>
      </w:pPr>
    </w:p>
    <w:bookmarkStart w:id="250" w:name="page251"/>
    <w:bookmarkEnd w:id="25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Amended and Restated Certificate of Incorporation of BellRing Brands, Inc. has been duly executed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authorized officer below this   day of</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1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14605</wp:posOffset>
            </wp:positionV>
            <wp:extent cx="25609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C</w:t>
      </w:r>
      <w:r>
        <w:rPr>
          <w:rFonts w:ascii="Arial" w:cs="Arial" w:eastAsia="Arial" w:hAnsi="Arial"/>
          <w:sz w:val="14"/>
          <w:szCs w:val="14"/>
          <w:color w:val="auto"/>
        </w:rPr>
        <w:t>ERTIFICATE OF</w:t>
      </w:r>
      <w:r>
        <w:rPr>
          <w:rFonts w:ascii="Arial" w:cs="Arial" w:eastAsia="Arial" w:hAnsi="Arial"/>
          <w:sz w:val="18"/>
          <w:szCs w:val="18"/>
          <w:color w:val="auto"/>
        </w:rPr>
        <w:t xml:space="preserve"> I</w:t>
      </w:r>
      <w:r>
        <w:rPr>
          <w:rFonts w:ascii="Arial" w:cs="Arial" w:eastAsia="Arial" w:hAnsi="Arial"/>
          <w:sz w:val="14"/>
          <w:szCs w:val="14"/>
          <w:color w:val="auto"/>
        </w:rPr>
        <w:t>NCORPORATION</w:t>
      </w:r>
      <w:r>
        <w:rPr>
          <w:rFonts w:ascii="Arial" w:cs="Arial" w:eastAsia="Arial" w:hAnsi="Arial"/>
          <w:sz w:val="18"/>
          <w:szCs w:val="18"/>
          <w:color w:val="auto"/>
        </w:rPr>
        <w:t>]</w:t>
      </w:r>
    </w:p>
    <w:p>
      <w:pPr>
        <w:sectPr>
          <w:pgSz w:w="11900" w:h="16838" w:orient="portrait"/>
          <w:cols w:equalWidth="0" w:num="1">
            <w:col w:w="10440"/>
          </w:cols>
          <w:pgMar w:left="460" w:top="274" w:right="99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10"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18"/>
          <w:szCs w:val="18"/>
          <w:color w:val="auto"/>
        </w:rPr>
        <w:t>(As Amended and Restated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jc w:val="both"/>
        <w:ind w:right="140" w:firstLine="440"/>
        <w:spacing w:after="0" w:line="296" w:lineRule="auto"/>
        <w:rPr>
          <w:sz w:val="20"/>
          <w:szCs w:val="20"/>
          <w:color w:val="auto"/>
        </w:rPr>
      </w:pPr>
      <w:r>
        <w:rPr>
          <w:rFonts w:ascii="Arial" w:cs="Arial" w:eastAsia="Arial" w:hAnsi="Arial"/>
          <w:sz w:val="16"/>
          <w:szCs w:val="16"/>
          <w:color w:val="auto"/>
        </w:rPr>
        <w:t>SECTION 1. ANNUAL MEETING: The annual meeting of stockholders shall be held at the principal executive office of BellRing Brands, Inc. (the “</w:t>
      </w:r>
      <w:r>
        <w:rPr>
          <w:rFonts w:ascii="Arial" w:cs="Arial" w:eastAsia="Arial" w:hAnsi="Arial"/>
          <w:sz w:val="16"/>
          <w:szCs w:val="16"/>
          <w:u w:val="single" w:color="auto"/>
          <w:color w:val="auto"/>
        </w:rPr>
        <w:t>Company</w:t>
      </w:r>
      <w:r>
        <w:rPr>
          <w:rFonts w:ascii="Arial" w:cs="Arial" w:eastAsia="Arial" w:hAnsi="Arial"/>
          <w:sz w:val="16"/>
          <w:szCs w:val="16"/>
          <w:color w:val="auto"/>
        </w:rPr>
        <w:t>”), or at such other place either within or without the State of Delaware as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60"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Company, unless otherwise prescribed by statute or by the Certificate of Incorporation of the Company (as may be amended from time to time, including the terms of any certificate of designation for any series of the Company’s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 (a) the affirmative vote of a majority of the Board, (b) the Chairperson of the Board, (c) Post Holdings, Inc. and its successors (“</w:t>
      </w:r>
      <w:r>
        <w:rPr>
          <w:rFonts w:ascii="Arial" w:cs="Arial" w:eastAsia="Arial" w:hAnsi="Arial"/>
          <w:sz w:val="16"/>
          <w:szCs w:val="16"/>
          <w:u w:val="single" w:color="auto"/>
          <w:color w:val="auto"/>
        </w:rPr>
        <w:t>Post</w:t>
      </w:r>
      <w:r>
        <w:rPr>
          <w:rFonts w:ascii="Arial" w:cs="Arial" w:eastAsia="Arial" w:hAnsi="Arial"/>
          <w:sz w:val="16"/>
          <w:szCs w:val="16"/>
          <w:color w:val="auto"/>
        </w:rPr>
        <w:t>”), so long as Post and its subsidiaries (other than the Company and its subsidiaries) own of record, in the aggregate, more than 50% of the Nonvoting Common Units of BellRing Brands, LLC, a Delaware limited liability company (as defined in the Amended and Restated Limited Liability Company Agreement of BellRing Brands, LLC,</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dated as of , 2019, as the same may be amended, restated, supplemented and/or otherwise modified, from time to time) or (d) the President of the Company, in each case by request for such a meeting in writing. Such request shall be delivered to the Secretary of the Company and shall state the purpose or purposes of the proposed meeting. Upon such direction or request, subject to any requirements or limitations imposed by the Certificate of Incorporation, by these Bylaws or by law, it shall be the duty of the Secretary of the Company to call a special meeting of the stockholders to be held at such time as is specified in the request. Only such business shall be conducted, and only such proposals shall be acted upon, as is specified in the call of any special meeting of stockholders.</w:t>
      </w:r>
    </w:p>
    <w:p>
      <w:pPr>
        <w:spacing w:after="0" w:line="19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SECTION 3. NOTICE: (a) Unless otherwise required by the General Corporation Law of the State of Delaware (as from time to time in effect,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Except as otherwise required by law, each notice of a meeting shall be given in any manner permitted by law not less than 10 nor more than 60 days before the meeting and shall state the time and place of the meeting, and unless it is the annual meeting, shall state at whose direction or request the meeting is called and the purposes for</w:t>
      </w:r>
    </w:p>
    <w:p>
      <w:pPr>
        <w:sectPr>
          <w:pgSz w:w="11900" w:h="16838" w:orient="portrait"/>
          <w:cols w:equalWidth="0" w:num="1">
            <w:col w:w="11000"/>
          </w:cols>
          <w:pgMar w:left="460" w:top="122" w:right="439" w:bottom="1440" w:gutter="0" w:footer="0" w:header="0"/>
        </w:sectPr>
      </w:pPr>
    </w:p>
    <w:bookmarkStart w:id="252" w:name="page253"/>
    <w:bookmarkEnd w:id="252"/>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 except that no special meeting of stockholders called by Post may be postponed, rescheduled or cancelled by the Company without the prior written consent of Post.</w:t>
      </w:r>
    </w:p>
    <w:p>
      <w:pPr>
        <w:spacing w:after="0" w:line="55" w:lineRule="exact"/>
        <w:rPr>
          <w:sz w:val="20"/>
          <w:szCs w:val="20"/>
          <w:color w:val="auto"/>
        </w:rPr>
      </w:pPr>
    </w:p>
    <w:p>
      <w:pPr>
        <w:ind w:right="40" w:firstLine="981"/>
        <w:spacing w:after="0" w:line="271" w:lineRule="auto"/>
        <w:tabs>
          <w:tab w:leader="none" w:pos="124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Without limiting the manner by which notice may otherwise be given effectively to stockholders, any notice to a stockholder given by the Company may be given by a form of electronic transmission consented to by the stockholder to whom the notice is given. Any such consent shall be revocable by the stockholder by written notice to the Company. Any such consent shall be deemed revoked (i) if the Company is unable to deliver by electronic transmission two consecutive notices given by the Company in accordance with such consent and (ii) such inability becomes known to the Secretary or Assistant Secretary of the Company or to the transfer agent or other person responsible for the giving of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inadvertent failure to treat such inability as a revocation shall not invalidate any meeting or other action.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68" w:lineRule="exact"/>
        <w:rPr>
          <w:rFonts w:ascii="Arial" w:cs="Arial" w:eastAsia="Arial" w:hAnsi="Arial"/>
          <w:sz w:val="17"/>
          <w:szCs w:val="17"/>
          <w:color w:val="auto"/>
        </w:rPr>
      </w:pPr>
    </w:p>
    <w:p>
      <w:pPr>
        <w:ind w:firstLine="981"/>
        <w:spacing w:after="0" w:line="291" w:lineRule="auto"/>
        <w:tabs>
          <w:tab w:leader="none" w:pos="123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Company’s records. Notice given by electronic transmission shall be deemed given (i) if by facsimile, when directed to a number at which the stockholder has consented to receive notice; (ii) if by electronic mail, when directed to an electronic mail address at which the stockholder has consented to receive notice; (iii) if by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the transfer agent or other agent of the Company that notice has been given, whether by a form of electronic transmission or otherwise, shall, in the absence of fraud, be prima facie evidence of the facts stated therein.</w:t>
      </w:r>
    </w:p>
    <w:p>
      <w:pPr>
        <w:spacing w:after="0" w:line="16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Company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SECTION 5. ACTION BY CONSENT: From and after the Triggering Event (as defined in the Certificate of Incorporation), any action required by the General Corporation Law to be taken at any annual or special meeting of stockholders of the Company, or any action which may be taken at any annual or special meeting of stockholders of the Company, may be effected only at a duly called annual or special meeting of stockholders of the Company and may not be effected by any consent in writing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53" w:name="page254"/>
    <w:bookmarkEnd w:id="253"/>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stockholders. Unless otherwise prescribed by the Certificate of Incorporation, prior to the Triggering Event, any action required by the General Corporation Law to be taken at any annual or special meeting of stockholders of the Company, or any action which may be taken at any annual or special meeting of stockholders of the Company, may be taken without a meeting, without prior notice and without a vote, if a consent or consents in writing, setting forth the action so taken, shall be signed by the holder or holders of Common Stock (as defined in the Certificate of Incorporation)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Company to those stockholders who have not consented in writing.</w:t>
      </w:r>
    </w:p>
    <w:p>
      <w:pPr>
        <w:spacing w:after="0" w:line="176"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SECTION 6. VOTING: The shares of the Class A Common Stock (as defined in the Certificate of Incorporation) and the share of the Class B Common Stock (as defined in the Certificate of Incorporation) shall have the voting rights set forth in the Certificate of Incorporation.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 No person shall be permitted to vote on any shares belonging or hypothecated to the Company.</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SECTION 7. PROXIES: The following shall constitute valid means by which a stockholder may authorize a person to act for the stockholder as a proxy:</w:t>
      </w:r>
    </w:p>
    <w:p>
      <w:pPr>
        <w:spacing w:after="0" w:line="62" w:lineRule="exact"/>
        <w:rPr>
          <w:sz w:val="20"/>
          <w:szCs w:val="20"/>
          <w:color w:val="auto"/>
        </w:rPr>
      </w:pPr>
    </w:p>
    <w:p>
      <w:pPr>
        <w:ind w:right="380" w:firstLine="981"/>
        <w:spacing w:after="0" w:line="286" w:lineRule="auto"/>
        <w:tabs>
          <w:tab w:leader="none" w:pos="123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w:t>
      </w:r>
    </w:p>
    <w:p>
      <w:pPr>
        <w:spacing w:after="0" w:line="56" w:lineRule="exact"/>
        <w:rPr>
          <w:rFonts w:ascii="Arial" w:cs="Arial" w:eastAsia="Arial" w:hAnsi="Arial"/>
          <w:sz w:val="17"/>
          <w:szCs w:val="17"/>
          <w:color w:val="auto"/>
        </w:rPr>
      </w:pPr>
    </w:p>
    <w:p>
      <w:pPr>
        <w:ind w:right="120" w:firstLine="981"/>
        <w:spacing w:after="0" w:line="272" w:lineRule="auto"/>
        <w:tabs>
          <w:tab w:leader="none" w:pos="124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 or</w:t>
      </w:r>
    </w:p>
    <w:p>
      <w:pPr>
        <w:spacing w:after="0" w:line="67" w:lineRule="exact"/>
        <w:rPr>
          <w:rFonts w:ascii="Arial" w:cs="Arial" w:eastAsia="Arial" w:hAnsi="Arial"/>
          <w:sz w:val="17"/>
          <w:szCs w:val="17"/>
          <w:color w:val="auto"/>
        </w:rPr>
      </w:pPr>
    </w:p>
    <w:p>
      <w:pPr>
        <w:ind w:right="80" w:firstLine="981"/>
        <w:spacing w:after="0" w:line="277" w:lineRule="auto"/>
        <w:tabs>
          <w:tab w:leader="none" w:pos="123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holder of the Class B Common Stock may grant one or more proxies or enter into one or more voting agreements or arrangements as provided in the Certificate of Incorporation.</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Company’s notice of the meeting (or any supplement thereto), (ii) by or at the direction of the Board or any committee thereof or (iii) by any stockholder of the Company who is a stockholder of record at the time of giving of the notice provided for in this Section 8 of Article I of these Bylaws, and at the time of the annual meeting, who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54" w:name="page255"/>
    <w:bookmarkEnd w:id="254"/>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entitled to vote at such meeting and who shall have complied with the notice procedures set forth in this Section 8 of Article I of these Bylaws; clause (iii) shall be the exclusive means for a stockholder to submit such business to be brought before the meeting (other than matters properly brought under Rule 14a-8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to be included in the Company’s notice of meeting before or at an annual meeting of stockholders.</w:t>
      </w:r>
    </w:p>
    <w:p>
      <w:pPr>
        <w:spacing w:after="0" w:line="78" w:lineRule="exact"/>
        <w:rPr>
          <w:sz w:val="20"/>
          <w:szCs w:val="20"/>
          <w:color w:val="auto"/>
        </w:rPr>
      </w:pPr>
    </w:p>
    <w:p>
      <w:pPr>
        <w:ind w:right="180" w:firstLine="981"/>
        <w:spacing w:after="0" w:line="277" w:lineRule="auto"/>
        <w:tabs>
          <w:tab w:leader="none" w:pos="12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61" w:lineRule="exact"/>
        <w:rPr>
          <w:rFonts w:ascii="Arial" w:cs="Arial" w:eastAsia="Arial" w:hAnsi="Arial"/>
          <w:sz w:val="18"/>
          <w:szCs w:val="18"/>
          <w:color w:val="auto"/>
        </w:rPr>
      </w:pPr>
    </w:p>
    <w:p>
      <w:pPr>
        <w:ind w:right="40" w:firstLine="981"/>
        <w:spacing w:after="0" w:line="287" w:lineRule="auto"/>
        <w:tabs>
          <w:tab w:leader="none" w:pos="123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For any such business to be properly brought before an annual meeting by a stockholder of record pursuant to Section 8(a)(iii) of this Article I of these Bylaws, the stockholder must have given timely notice thereof in writing to the Secretary of the Company and any such proposed business must constitute a proper matter for stockholder action. To be timely, a stockholder’s notice, in writing, must be delivered to, or mailed to and received by, the Secretary of the Company at the principal executive office of the Company not less than 90 days nor more than 120 days prior to the first anniversary of the date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Company with the Securities and Exchange Commission pursuant to the Exchange Act.</w:t>
      </w:r>
    </w:p>
    <w:p>
      <w:pPr>
        <w:spacing w:after="0" w:line="61" w:lineRule="exact"/>
        <w:rPr>
          <w:rFonts w:ascii="Arial" w:cs="Arial" w:eastAsia="Arial" w:hAnsi="Arial"/>
          <w:sz w:val="16"/>
          <w:szCs w:val="16"/>
          <w:color w:val="auto"/>
        </w:rPr>
      </w:pPr>
    </w:p>
    <w:p>
      <w:pPr>
        <w:ind w:firstLine="981"/>
        <w:spacing w:after="0" w:line="286" w:lineRule="auto"/>
        <w:tabs>
          <w:tab w:leader="none" w:pos="124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Company’s proxy statement pursuant to Rule 14a-8 under the Exchange Act. The provisions of this Section 8 of Article I of these Bylaws also shall govern what constitutes timely notice for purposes of Rule 14a-4(c) of the Exchange Act.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55" w:name="page256"/>
    <w:bookmarkEnd w:id="255"/>
    <w:p>
      <w:pPr>
        <w:ind w:right="340" w:firstLine="981"/>
        <w:spacing w:after="0" w:line="277" w:lineRule="auto"/>
        <w:tabs>
          <w:tab w:leader="none" w:pos="12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such business to be properly brought before a meeting, such stockholder’s notice to the Secretary of the Company shall set forth as to each matter he or she proposes to bring before the meeting:</w:t>
      </w:r>
    </w:p>
    <w:p>
      <w:pPr>
        <w:spacing w:after="0" w:line="61" w:lineRule="exact"/>
        <w:rPr>
          <w:rFonts w:ascii="Arial" w:cs="Arial" w:eastAsia="Arial" w:hAnsi="Arial"/>
          <w:sz w:val="18"/>
          <w:szCs w:val="18"/>
          <w:color w:val="auto"/>
        </w:rPr>
      </w:pPr>
    </w:p>
    <w:p>
      <w:pPr>
        <w:ind w:left="440" w:right="40" w:firstLine="941"/>
        <w:spacing w:after="0" w:line="279" w:lineRule="auto"/>
        <w:tabs>
          <w:tab w:leader="none" w:pos="160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62" w:lineRule="exact"/>
        <w:rPr>
          <w:rFonts w:ascii="Arial" w:cs="Arial" w:eastAsia="Arial" w:hAnsi="Arial"/>
          <w:sz w:val="17"/>
          <w:szCs w:val="17"/>
          <w:color w:val="auto"/>
        </w:rPr>
      </w:pPr>
    </w:p>
    <w:p>
      <w:pPr>
        <w:ind w:left="440" w:right="40" w:firstLine="941"/>
        <w:spacing w:after="0" w:line="307" w:lineRule="auto"/>
        <w:tabs>
          <w:tab w:leader="none" w:pos="165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39" w:lineRule="exact"/>
        <w:rPr>
          <w:rFonts w:ascii="Arial" w:cs="Arial" w:eastAsia="Arial" w:hAnsi="Arial"/>
          <w:sz w:val="17"/>
          <w:szCs w:val="17"/>
          <w:color w:val="auto"/>
        </w:rPr>
      </w:pPr>
    </w:p>
    <w:p>
      <w:pPr>
        <w:ind w:left="1700" w:hanging="319"/>
        <w:spacing w:after="0"/>
        <w:tabs>
          <w:tab w:leader="none" w:pos="1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6" w:lineRule="exact"/>
        <w:rPr>
          <w:rFonts w:ascii="Arial" w:cs="Arial" w:eastAsia="Arial" w:hAnsi="Arial"/>
          <w:sz w:val="18"/>
          <w:szCs w:val="18"/>
          <w:color w:val="auto"/>
        </w:rPr>
      </w:pPr>
    </w:p>
    <w:p>
      <w:pPr>
        <w:ind w:left="2060" w:hanging="178"/>
        <w:spacing w:after="0"/>
        <w:tabs>
          <w:tab w:leader="none" w:pos="206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the name and address of such stockholder and beneficial owner as they appear in the Company’s stockholder records;</w:t>
      </w:r>
    </w:p>
    <w:p>
      <w:pPr>
        <w:spacing w:after="0" w:line="139" w:lineRule="exact"/>
        <w:rPr>
          <w:rFonts w:ascii="Arial" w:cs="Arial" w:eastAsia="Arial" w:hAnsi="Arial"/>
          <w:sz w:val="16"/>
          <w:szCs w:val="16"/>
          <w:color w:val="auto"/>
        </w:rPr>
      </w:pPr>
    </w:p>
    <w:p>
      <w:pPr>
        <w:ind w:left="980" w:firstLine="902"/>
        <w:spacing w:after="0" w:line="282" w:lineRule="auto"/>
        <w:tabs>
          <w:tab w:leader="none" w:pos="2061" w:val="left"/>
        </w:tabs>
        <w:numPr>
          <w:ilvl w:val="2"/>
          <w:numId w:val="157"/>
        </w:numPr>
        <w:rPr>
          <w:rFonts w:ascii="Arial" w:cs="Arial" w:eastAsia="Arial" w:hAnsi="Arial"/>
          <w:sz w:val="16"/>
          <w:szCs w:val="16"/>
          <w:color w:val="auto"/>
        </w:rPr>
      </w:pPr>
      <w:r>
        <w:rPr>
          <w:rFonts w:ascii="Arial" w:cs="Arial" w:eastAsia="Arial" w:hAnsi="Arial"/>
          <w:sz w:val="16"/>
          <w:szCs w:val="16"/>
          <w:color w:val="auto"/>
        </w:rPr>
        <w:t>(1) the class or series and number of shares of the Company’s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value of any class or series of shares of capital stock of the Company, whether or not such instrument or right shall be subject to settlement in the underlying class or series of capital stock of the Company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Company, (3) any proxy, contract, arrangement, understanding or relationship pursuant to which such stockholder or beneficial owner has a right to vote any shares or any security of the Company, (4) any short interest of such stockholder or beneficial owner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Company owned beneficially by such stockholder or beneficial owner that are separated or separable from the underlying shares of the Company,</w:t>
      </w:r>
    </w:p>
    <w:p>
      <w:pPr>
        <w:spacing w:after="0" w:line="9" w:lineRule="exact"/>
        <w:rPr>
          <w:rFonts w:ascii="Arial" w:cs="Arial" w:eastAsia="Arial" w:hAnsi="Arial"/>
          <w:sz w:val="16"/>
          <w:szCs w:val="16"/>
          <w:color w:val="auto"/>
        </w:rPr>
      </w:pPr>
    </w:p>
    <w:p>
      <w:pPr>
        <w:ind w:left="980" w:right="240"/>
        <w:spacing w:after="0" w:line="251" w:lineRule="auto"/>
        <w:rPr>
          <w:rFonts w:ascii="Arial" w:cs="Arial" w:eastAsia="Arial" w:hAnsi="Arial"/>
          <w:sz w:val="16"/>
          <w:szCs w:val="16"/>
          <w:color w:val="auto"/>
        </w:rPr>
      </w:pPr>
      <w:r>
        <w:rPr>
          <w:rFonts w:ascii="Arial" w:cs="Arial" w:eastAsia="Arial" w:hAnsi="Arial"/>
          <w:sz w:val="18"/>
          <w:szCs w:val="18"/>
          <w:color w:val="auto"/>
        </w:rPr>
        <w:t>(6) any proportionate interest in shares of the Company or Derivative Instruments held, directly or indirectly, by a general or limited partnership or limited liability company in which such stockholder or beneficial owner is a general partner or manager or directly or indirectly beneficially owns an interest in a general partner or manager, (7) any performance-related fees (other than an asset-based fee) that such stockholder or beneficial owner is entitled to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256" w:name="page257"/>
    <w:bookmarkEnd w:id="256"/>
    <w:p>
      <w:pPr>
        <w:ind w:left="980"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 (1) through (8), individually or collectively, the “</w:t>
      </w:r>
      <w:r>
        <w:rPr>
          <w:rFonts w:ascii="Arial" w:cs="Arial" w:eastAsia="Arial" w:hAnsi="Arial"/>
          <w:sz w:val="16"/>
          <w:szCs w:val="16"/>
          <w:u w:val="single" w:color="auto"/>
          <w:color w:val="auto"/>
        </w:rPr>
        <w:t>Proposing Stockholder Information</w:t>
      </w:r>
      <w:r>
        <w:rPr>
          <w:rFonts w:ascii="Arial" w:cs="Arial" w:eastAsia="Arial" w:hAnsi="Arial"/>
          <w:sz w:val="16"/>
          <w:szCs w:val="16"/>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53" w:lineRule="exact"/>
        <w:rPr>
          <w:sz w:val="20"/>
          <w:szCs w:val="20"/>
          <w:color w:val="auto"/>
        </w:rPr>
      </w:pPr>
    </w:p>
    <w:p>
      <w:pPr>
        <w:ind w:left="980" w:right="260" w:firstLine="902"/>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Company, is entitled to vote at the meeting and intends to appear in person or by proxy at the meeting to propose such business; and</w:t>
      </w:r>
    </w:p>
    <w:p>
      <w:pPr>
        <w:spacing w:after="0" w:line="62" w:lineRule="exact"/>
        <w:rPr>
          <w:sz w:val="20"/>
          <w:szCs w:val="20"/>
          <w:color w:val="auto"/>
        </w:rPr>
      </w:pPr>
    </w:p>
    <w:p>
      <w:pPr>
        <w:ind w:left="980" w:right="320" w:firstLine="902"/>
        <w:spacing w:after="0" w:line="301" w:lineRule="auto"/>
        <w:rPr>
          <w:sz w:val="20"/>
          <w:szCs w:val="20"/>
          <w:color w:val="auto"/>
        </w:rPr>
      </w:pPr>
      <w:r>
        <w:rPr>
          <w:rFonts w:ascii="Arial" w:cs="Arial" w:eastAsia="Arial" w:hAnsi="Arial"/>
          <w:sz w:val="16"/>
          <w:szCs w:val="16"/>
          <w:color w:val="auto"/>
        </w:rPr>
        <w:t>d. a representation as to whether the stockholder or the beneficial owner, if any, is or intends to be part of a group which intends (1) to deliver a proxy statement and/or form of proxy to holders of at least the percentage of the Company’s outstanding capital stock required to approve or adopt the proposal or (2) otherwise to solicit proxies from stockholders in support of such proposal. The meaning of the term “</w:t>
      </w:r>
      <w:r>
        <w:rPr>
          <w:rFonts w:ascii="Arial" w:cs="Arial" w:eastAsia="Arial" w:hAnsi="Arial"/>
          <w:sz w:val="16"/>
          <w:szCs w:val="16"/>
          <w:u w:val="single" w:color="auto"/>
          <w:color w:val="auto"/>
        </w:rPr>
        <w:t>group</w:t>
      </w:r>
      <w:r>
        <w:rPr>
          <w:rFonts w:ascii="Arial" w:cs="Arial" w:eastAsia="Arial" w:hAnsi="Arial"/>
          <w:sz w:val="16"/>
          <w:szCs w:val="16"/>
          <w:color w:val="auto"/>
        </w:rPr>
        <w:t>” shall be within the meaning ascribed to such term under Section 13(d)(3) of the Exchange Act.</w:t>
      </w:r>
    </w:p>
    <w:p>
      <w:pPr>
        <w:spacing w:after="0" w:line="156"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Company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Company present to act as chairperson of the meeting. The Secretary of the Company, or a person designated by the chairperson, shall act as secretary of each meeting of stockholders. Whenever the Secretary of the Company shall act as chairperson of the meeting, or shall be absent, the chairperson of the meeting shall appoint a person present to act as secretary of the meeting.</w:t>
      </w:r>
    </w:p>
    <w:p>
      <w:pPr>
        <w:spacing w:after="0" w:line="82" w:lineRule="exact"/>
        <w:rPr>
          <w:sz w:val="20"/>
          <w:szCs w:val="20"/>
          <w:color w:val="auto"/>
        </w:rPr>
      </w:pPr>
    </w:p>
    <w:p>
      <w:pPr>
        <w:ind w:right="40" w:firstLine="981"/>
        <w:spacing w:after="0" w:line="288" w:lineRule="auto"/>
        <w:tabs>
          <w:tab w:leader="none" w:pos="124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of the meeting, establishing an agenda or order of business for the meeting, rules and procedures for maintaining order at the meeting and the safety of those present, limitations on participation in such meeting to stockholders of record of the Company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257" w:name="page258"/>
    <w:bookmarkEnd w:id="257"/>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53" w:lineRule="exact"/>
        <w:rPr>
          <w:sz w:val="20"/>
          <w:szCs w:val="20"/>
          <w:color w:val="auto"/>
        </w:rPr>
      </w:pPr>
    </w:p>
    <w:p>
      <w:pPr>
        <w:ind w:right="100" w:firstLine="981"/>
        <w:spacing w:after="0" w:line="253" w:lineRule="auto"/>
        <w:tabs>
          <w:tab w:leader="none" w:pos="12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Company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Company.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57" w:lineRule="exact"/>
        <w:rPr>
          <w:sz w:val="20"/>
          <w:szCs w:val="20"/>
          <w:color w:val="auto"/>
        </w:rPr>
      </w:pPr>
    </w:p>
    <w:p>
      <w:pPr>
        <w:ind w:right="160" w:firstLine="981"/>
        <w:spacing w:after="0" w:line="287" w:lineRule="auto"/>
        <w:tabs>
          <w:tab w:leader="none" w:pos="124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w:t>
      </w:r>
    </w:p>
    <w:p>
      <w:pPr>
        <w:spacing w:after="0" w:line="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foregoing and the rights of Post under the Investor Rights Agreement dated as of , 2019 between Post and the Company (as the same may be amended, restated, supplemented and/or otherwise modified from time to time,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(as long as such agreement is in effect), the Board shall determine the class or classes to which any director shall be assigned and the class or classes which shall be increased or decreased in the event of any increase or decrease in the number of directors.</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 Each director shall hold office until a successor is duly elected and qualified or until the director’s earlier death, resignation,</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disqualification or removal. With respect to the members of the Board in office on , 2019, the first class of directors shall hold office until the first annual meeting of stockholders, the second class of directors shall hold office until the second annual meeting of stockholders, and the third class of directors shall hold office until the third annual meeting of stockholders.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58" w:name="page259"/>
    <w:bookmarkEnd w:id="258"/>
    <w:p>
      <w:pPr>
        <w:jc w:val="both"/>
        <w:ind w:left="10" w:right="20" w:firstLine="981"/>
        <w:spacing w:after="0" w:line="287" w:lineRule="auto"/>
        <w:tabs>
          <w:tab w:leader="none" w:pos="1255" w:val="left"/>
        </w:tabs>
        <w:numPr>
          <w:ilvl w:val="1"/>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1(h) in this Article II (including the exceptions for Post set forth therein)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w:t>
      </w:r>
    </w:p>
    <w:p>
      <w:pPr>
        <w:spacing w:after="0" w:line="1" w:lineRule="exact"/>
        <w:rPr>
          <w:rFonts w:ascii="Arial" w:cs="Arial" w:eastAsia="Arial" w:hAnsi="Arial"/>
          <w:sz w:val="16"/>
          <w:szCs w:val="16"/>
          <w:color w:val="auto"/>
        </w:rPr>
      </w:pPr>
    </w:p>
    <w:p>
      <w:pPr>
        <w:ind w:left="210" w:hanging="210"/>
        <w:spacing w:after="0"/>
        <w:tabs>
          <w:tab w:leader="none" w:pos="21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pursuant to the Company’s notice of the meeting (or any supplement thereto), (ii) by or at the direction of the Board or any committee thereof or</w:t>
      </w:r>
    </w:p>
    <w:p>
      <w:pPr>
        <w:spacing w:after="0" w:line="20" w:lineRule="exact"/>
        <w:rPr>
          <w:sz w:val="20"/>
          <w:szCs w:val="20"/>
          <w:color w:val="auto"/>
        </w:rPr>
      </w:pPr>
    </w:p>
    <w:p>
      <w:pPr>
        <w:ind w:left="10" w:hanging="10"/>
        <w:spacing w:after="0" w:line="267" w:lineRule="auto"/>
        <w:tabs>
          <w:tab w:leader="none" w:pos="3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by any stockholder of the Company who is a stockholder of record of the Company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(including the exceptions for Post set forth therein) shall be the exclusive means for a stockholder other than Post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Company who is a stockholder of record at the time the notice provided in this Section 1(d) of Article II of these Bylaws is delivered to the Secretary of the Company,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(including the exceptions for Post set forth therein) shall be the exclusive means for a stockholder other than Post to make nominations of persons for election to the Board at a special meeting of stockholders.</w:t>
      </w:r>
    </w:p>
    <w:p>
      <w:pPr>
        <w:spacing w:after="0" w:line="182" w:lineRule="exact"/>
        <w:rPr>
          <w:sz w:val="20"/>
          <w:szCs w:val="20"/>
          <w:color w:val="auto"/>
        </w:rPr>
      </w:pPr>
    </w:p>
    <w:p>
      <w:pPr>
        <w:ind w:left="10" w:right="40" w:firstLine="440"/>
        <w:spacing w:after="0" w:line="286" w:lineRule="auto"/>
        <w:rPr>
          <w:sz w:val="20"/>
          <w:szCs w:val="20"/>
          <w:color w:val="auto"/>
        </w:rPr>
      </w:pPr>
      <w:r>
        <w:rPr>
          <w:rFonts w:ascii="Arial" w:cs="Arial" w:eastAsia="Arial" w:hAnsi="Arial"/>
          <w:sz w:val="16"/>
          <w:szCs w:val="16"/>
          <w:color w:val="auto"/>
        </w:rPr>
        <w:t xml:space="preserve">Subject to Section 1(h) in this Article II (including the exceptions for Post set forth therein) for any nominations by a stockholder other than Post to be properly brought before an annual or special meeting of stockholders pursuant to clauses (d)(iii) and (d)(y) of the preceding paragraph of these Bylaws, the stockholder must have given timely notice thereof in writing to the Secretary of the Company. To be timely, a stockholder’s notice in writing must be delivered or mailed to and received by the Secretary of the Company at the principal executive office of the Company (i) in the case of an annual meeting, not less than 90 days nor more than 120 days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71" w:lineRule="exact"/>
        <w:rPr>
          <w:sz w:val="20"/>
          <w:szCs w:val="20"/>
          <w:color w:val="auto"/>
        </w:rPr>
      </w:pPr>
    </w:p>
    <w:p>
      <w:pPr>
        <w:ind w:left="10" w:right="360" w:firstLine="440"/>
        <w:spacing w:after="0" w:line="296" w:lineRule="auto"/>
        <w:rPr>
          <w:sz w:val="20"/>
          <w:szCs w:val="20"/>
          <w:color w:val="auto"/>
        </w:rPr>
      </w:pPr>
      <w:r>
        <w:rPr>
          <w:rFonts w:ascii="Arial" w:cs="Arial" w:eastAsia="Arial" w:hAnsi="Arial"/>
          <w:sz w:val="16"/>
          <w:szCs w:val="16"/>
          <w:color w:val="auto"/>
        </w:rPr>
        <w:t>At the request of the Board, any person nominated by the Board for election as a director shall furnish to the Secretary of the Company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Company naming all of the nominees proposed by the Board for the additional directorships at least 70 days prior to the first anniversary of the preceding year’s annual</w:t>
      </w:r>
    </w:p>
    <w:p>
      <w:pPr>
        <w:spacing w:after="0" w:line="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0"/>
          </w:cols>
          <w:pgMar w:left="450" w:top="274" w:right="459" w:bottom="1440" w:gutter="0" w:footer="0" w:header="0"/>
        </w:sectPr>
      </w:pPr>
    </w:p>
    <w:bookmarkStart w:id="259" w:name="page260"/>
    <w:bookmarkEnd w:id="25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 stockholder’s notice required by this Section 1 of Article II of these Bylaws also shall be considered timely, but only with respect to nominees for such additional directorships, if it shall be delivered to the Secretary of the Company at the principal executive office of the Company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such public announcement is first made by the Company.</w:t>
      </w:r>
    </w:p>
    <w:p>
      <w:pPr>
        <w:spacing w:after="0" w:line="57" w:lineRule="exact"/>
        <w:rPr>
          <w:sz w:val="20"/>
          <w:szCs w:val="20"/>
          <w:color w:val="auto"/>
        </w:rPr>
      </w:pPr>
    </w:p>
    <w:p>
      <w:pPr>
        <w:ind w:right="20" w:firstLine="981"/>
        <w:spacing w:after="0" w:line="277" w:lineRule="auto"/>
        <w:tabs>
          <w:tab w:leader="none" w:pos="123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61" w:lineRule="exact"/>
        <w:rPr>
          <w:rFonts w:ascii="Arial" w:cs="Arial" w:eastAsia="Arial" w:hAnsi="Arial"/>
          <w:sz w:val="18"/>
          <w:szCs w:val="18"/>
          <w:color w:val="auto"/>
        </w:rPr>
      </w:pPr>
    </w:p>
    <w:p>
      <w:pPr>
        <w:ind w:left="1600" w:hanging="219"/>
        <w:spacing w:after="0"/>
        <w:tabs>
          <w:tab w:leader="none" w:pos="16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6" w:lineRule="exact"/>
        <w:rPr>
          <w:rFonts w:ascii="Arial" w:cs="Arial" w:eastAsia="Arial" w:hAnsi="Arial"/>
          <w:sz w:val="18"/>
          <w:szCs w:val="18"/>
          <w:color w:val="auto"/>
        </w:rPr>
      </w:pPr>
    </w:p>
    <w:p>
      <w:pPr>
        <w:ind w:left="1640" w:hanging="259"/>
        <w:spacing w:after="0"/>
        <w:tabs>
          <w:tab w:leader="none" w:pos="16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6" w:lineRule="exact"/>
        <w:rPr>
          <w:rFonts w:ascii="Arial" w:cs="Arial" w:eastAsia="Arial" w:hAnsi="Arial"/>
          <w:sz w:val="18"/>
          <w:szCs w:val="18"/>
          <w:color w:val="auto"/>
        </w:rPr>
      </w:pPr>
    </w:p>
    <w:p>
      <w:pPr>
        <w:ind w:left="440" w:right="60" w:firstLine="941"/>
        <w:spacing w:after="0" w:line="291" w:lineRule="auto"/>
        <w:tabs>
          <w:tab w:leader="none" w:pos="170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57" w:lineRule="exact"/>
        <w:rPr>
          <w:rFonts w:ascii="Arial" w:cs="Arial" w:eastAsia="Arial" w:hAnsi="Arial"/>
          <w:sz w:val="16"/>
          <w:szCs w:val="16"/>
          <w:color w:val="auto"/>
        </w:rPr>
      </w:pPr>
    </w:p>
    <w:p>
      <w:pPr>
        <w:jc w:val="both"/>
        <w:ind w:left="440" w:right="220" w:firstLine="941"/>
        <w:spacing w:after="0" w:line="259" w:lineRule="auto"/>
        <w:tabs>
          <w:tab w:leader="none" w:pos="169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person’s representation that he or she is eligible to serve as a director pursuant to Section 11 of Article II of these Bylaws and whether such person has acted in any manner contrary to the best interest of the Company, including, but not limited to, the violation of any federal or state law or breach of any agreement between that person and the Company relating to his or her services as a director, employee or agent of the Company;</w:t>
      </w:r>
    </w:p>
    <w:p>
      <w:pPr>
        <w:spacing w:after="0" w:line="77" w:lineRule="exact"/>
        <w:rPr>
          <w:rFonts w:ascii="Arial" w:cs="Arial" w:eastAsia="Arial" w:hAnsi="Arial"/>
          <w:sz w:val="18"/>
          <w:szCs w:val="18"/>
          <w:color w:val="auto"/>
        </w:rPr>
      </w:pPr>
    </w:p>
    <w:p>
      <w:pPr>
        <w:ind w:left="1640" w:hanging="259"/>
        <w:spacing w:after="0"/>
        <w:tabs>
          <w:tab w:leader="none" w:pos="16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6" w:lineRule="exact"/>
        <w:rPr>
          <w:rFonts w:ascii="Arial" w:cs="Arial" w:eastAsia="Arial" w:hAnsi="Arial"/>
          <w:sz w:val="18"/>
          <w:szCs w:val="18"/>
          <w:color w:val="auto"/>
        </w:rPr>
      </w:pPr>
    </w:p>
    <w:p>
      <w:pPr>
        <w:ind w:left="440" w:right="100" w:firstLine="941"/>
        <w:spacing w:after="0" w:line="263" w:lineRule="auto"/>
        <w:tabs>
          <w:tab w:leader="none" w:pos="169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74" w:lineRule="exact"/>
        <w:rPr>
          <w:rFonts w:ascii="Arial" w:cs="Arial" w:eastAsia="Arial" w:hAnsi="Arial"/>
          <w:sz w:val="18"/>
          <w:szCs w:val="18"/>
          <w:color w:val="auto"/>
        </w:rPr>
      </w:pPr>
    </w:p>
    <w:p>
      <w:pPr>
        <w:ind w:right="40" w:firstLine="981"/>
        <w:spacing w:after="0" w:line="277" w:lineRule="auto"/>
        <w:tabs>
          <w:tab w:leader="none" w:pos="12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61" w:lineRule="exact"/>
        <w:rPr>
          <w:rFonts w:ascii="Arial" w:cs="Arial" w:eastAsia="Arial" w:hAnsi="Arial"/>
          <w:sz w:val="18"/>
          <w:szCs w:val="18"/>
          <w:color w:val="auto"/>
        </w:rPr>
      </w:pPr>
    </w:p>
    <w:p>
      <w:pPr>
        <w:ind w:left="1600" w:hanging="219"/>
        <w:spacing w:after="0"/>
        <w:tabs>
          <w:tab w:leader="none" w:pos="160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1640" w:hanging="259"/>
        <w:spacing w:after="0"/>
        <w:tabs>
          <w:tab w:leader="none" w:pos="16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60" w:name="page261"/>
    <w:bookmarkEnd w:id="260"/>
    <w:p>
      <w:pPr>
        <w:ind w:left="440" w:right="500" w:firstLine="941"/>
        <w:spacing w:after="0" w:line="277" w:lineRule="auto"/>
        <w:tabs>
          <w:tab w:leader="none" w:pos="1706" w:val="left"/>
        </w:tabs>
        <w:numPr>
          <w:ilvl w:val="1"/>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representation that the stockholder is a holder of record of shares of the Company, is entitled to vote at such meeting and intends to appear in person or by proxy at the meeting to nominate the person or persons specified in the notice;</w:t>
      </w:r>
    </w:p>
    <w:p>
      <w:pPr>
        <w:spacing w:after="0" w:line="61" w:lineRule="exact"/>
        <w:rPr>
          <w:rFonts w:ascii="Arial" w:cs="Arial" w:eastAsia="Arial" w:hAnsi="Arial"/>
          <w:sz w:val="18"/>
          <w:szCs w:val="18"/>
          <w:color w:val="auto"/>
        </w:rPr>
      </w:pPr>
    </w:p>
    <w:p>
      <w:pPr>
        <w:ind w:left="440" w:right="20" w:firstLine="941"/>
        <w:spacing w:after="0" w:line="286" w:lineRule="auto"/>
        <w:tabs>
          <w:tab w:leader="none" w:pos="169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56" w:lineRule="exact"/>
        <w:rPr>
          <w:rFonts w:ascii="Arial" w:cs="Arial" w:eastAsia="Arial" w:hAnsi="Arial"/>
          <w:sz w:val="17"/>
          <w:szCs w:val="17"/>
          <w:color w:val="auto"/>
        </w:rPr>
      </w:pPr>
    </w:p>
    <w:p>
      <w:pPr>
        <w:ind w:left="440" w:right="120" w:firstLine="941"/>
        <w:spacing w:after="0" w:line="259" w:lineRule="auto"/>
        <w:tabs>
          <w:tab w:leader="none" w:pos="164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Company’s outstanding capital stock required to elect the nominee, or (ii) otherwise solicit proxies from stockholders in support of such nominee.</w:t>
      </w:r>
    </w:p>
    <w:p>
      <w:pPr>
        <w:spacing w:after="0" w:line="77" w:lineRule="exact"/>
        <w:rPr>
          <w:rFonts w:ascii="Arial" w:cs="Arial" w:eastAsia="Arial" w:hAnsi="Arial"/>
          <w:sz w:val="18"/>
          <w:szCs w:val="18"/>
          <w:color w:val="auto"/>
        </w:rPr>
      </w:pPr>
    </w:p>
    <w:p>
      <w:pPr>
        <w:ind w:firstLine="981"/>
        <w:spacing w:after="0" w:line="282" w:lineRule="auto"/>
        <w:tabs>
          <w:tab w:leader="none" w:pos="124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addition to the qualifications set out in Section 11 of Article II of these Bylaws, to be eligible to be a nominee for election or reelection as a director of the Company,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Company at the principal executive office of the Company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Company, including without limitation (i) all information concerning such person that would be required to be disclosed in solicitation of proxies for election of directors pursuant to and in accordance with Regulation 14A under the Exchange Act and (ii) any information the Company may reasonably request to determine the eligibility of the proposed nominee to serve as an independent director under the rules of any exchange upon which shares of the Company’s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Company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Company, will act or vote on any issue or question (a “Voting Commitment”) that has not been disclosed to the Company or (2) any Voting Commitment that could limit or interfere with such prospective nominee’s ability to comply, if elected as a director of the Company, with such prospective nominee’s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corporate governance, conflict of interest, confidentiality and stock ownership and trading policies and guidelines of the Company. For purposes of this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1(g) of Article II of these Bylaws a “</w:t>
      </w:r>
      <w:r>
        <w:rPr>
          <w:rFonts w:ascii="Arial" w:cs="Arial" w:eastAsia="Arial" w:hAnsi="Arial"/>
          <w:sz w:val="18"/>
          <w:szCs w:val="18"/>
          <w:u w:val="single" w:color="auto"/>
          <w:color w:val="auto"/>
        </w:rPr>
        <w:t>nominee</w:t>
      </w:r>
      <w:r>
        <w:rPr>
          <w:rFonts w:ascii="Arial" w:cs="Arial" w:eastAsia="Arial" w:hAnsi="Arial"/>
          <w:sz w:val="18"/>
          <w:szCs w:val="18"/>
          <w:color w:val="auto"/>
        </w:rPr>
        <w:t>” shall include any person being considered to fill a vacancy on the Board.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261" w:name="page262"/>
    <w:bookmarkEnd w:id="261"/>
    <w:p>
      <w:pPr>
        <w:ind w:firstLine="981"/>
        <w:spacing w:after="0" w:line="285" w:lineRule="auto"/>
        <w:tabs>
          <w:tab w:leader="none" w:pos="1245"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so long as the Investor Rights Agreement is in effect, the notice and other requirements set forth in Section 1(d) through this Section 1(h) of Article II of these Bylaws shall not apply to Post or any Post Nominees (as defined in the Investor Rights Agreement). Subject to the preceding sentence, no person shall be eligible for election as a director of the Company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Company to elect directors pursuant to any applicable provisions of the Certificate of Incorporation or the rights of Post under the Investor Rights Agreement (so long as such agreement is in effect).</w:t>
      </w:r>
    </w:p>
    <w:p>
      <w:pPr>
        <w:spacing w:after="0" w:line="173"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Company, and to do all such lawful acts and things which, in its absolute judgment and discretion, it may deem necessary and appropriate for the expedient conduct and furtherance of the Company’s business.</w:t>
      </w:r>
    </w:p>
    <w:p>
      <w:pPr>
        <w:spacing w:after="0" w:line="18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3"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Company, by oral, written or email notice duly given, sent or mailed to each director, at such director’s last known address, not less than twenty-four hours before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56" w:lineRule="exact"/>
        <w:rPr>
          <w:sz w:val="20"/>
          <w:szCs w:val="20"/>
          <w:color w:val="auto"/>
        </w:rPr>
      </w:pPr>
    </w:p>
    <w:p>
      <w:pPr>
        <w:jc w:val="both"/>
        <w:ind w:right="60" w:firstLine="981"/>
        <w:spacing w:after="0" w:line="263" w:lineRule="auto"/>
        <w:tabs>
          <w:tab w:leader="none" w:pos="12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similar communications equipment whereby all persons participating in the meeting can hear each other, and participation in a meeting in this manner shall constitute presence in person at the meeting.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262" w:name="page263"/>
    <w:bookmarkEnd w:id="262"/>
    <w:p>
      <w:pPr>
        <w:ind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and the writing or writings, or electronic transmission, are filed with the minutes of proceedings of the Board or such committee.</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SECTION 6. QUORUM: A majority of the Board then in office shall constitute a quorum at all meetings of the Board,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 A director who may be disqualified, by reason of personal interest, from voting on any particular matter before a meeting of the Board may nevertheless be counted for the purpose of constituting a quorum of the Board.</w:t>
      </w:r>
    </w:p>
    <w:p>
      <w:pPr>
        <w:spacing w:after="0" w:line="19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SECTION 7. RESIGNATION OF DIRECTORS: Any director of the Company may resign at any time by giving written notice of such resignation to the Board, the Chairperson of the Board or the President or Secretary of the Company. Any such resignation shall take effect at the time specified therein or, if no time is specified, upon receipt thereof by the Board, the Chairperson of the Board or one of the above-named officers of the Company; and, unless specified therein, the acceptance of such resignation shall not be necessary to make it effective.</w:t>
      </w:r>
    </w:p>
    <w:p>
      <w:pPr>
        <w:spacing w:after="0" w:line="170"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SECTION 8. VACANCIES: Subject to the rights, if any, of the holders of any class of capital stock of the Company (other than the Common Stock) then outstanding and the rights of Post under the Investor Rights Agreement (so long as such agreement is in effect), any vacancies in the Board which occur for any reason prior to the expiration of the term of office of the class of directors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Company called for such purpose, or (iii) prior to the Triggering Event, by written consent of one or more stockholders of the Company, in each case until the next election of directors by the stockholders of the Company at which such class of directors is elected.</w:t>
      </w:r>
    </w:p>
    <w:p>
      <w:pPr>
        <w:spacing w:after="0" w:line="16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9. COMPENSATION OF DIRECTORS: The Board may, by resolution passed by a majority of the Board, fix the terms and amount of compensation payable to any person for his or her services as director, if he or she is not otherwise compensated for services rendered as an officer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director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directors also may be allowed compensation and expenses similarly incurred. Nothing herein contained shall be construed to preclude any director from serving the Company in any other capacity and receiving compensation therefor.</w:t>
      </w:r>
    </w:p>
    <w:p>
      <w:pPr>
        <w:spacing w:after="0" w:line="17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SECTION 10. COMMITTEES OF THE BOARD OF DIRECTORS: Subject to the rights of Post under the Investor Rights Agreement (so long as such agreement is in effect), the Board (i) may, by resolution passed by a majority of the Board, designate two or more directors to constitute an Executive Committee of the Board which shall have and exercise all of the authority of the Board in the management of the Company, in the intervals between meetings of the Board, (ii) may appoint any other committee or committees, with such members, functions and powers as the Board may designate, and (iii) shall have the power at any time to fill vacancies in, to change the size or membership of, or to dissolve,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263" w:name="page264"/>
    <w:bookmarkEnd w:id="26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6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SECTION 11. QUALIFICATIONS: No person shall be qualified to be elected and to hold office as a director if such person is determined by a majority of the Board to have acted in a manner contrary to the best interest of the Company, including, but not limited to, the violation of any federal or state law or breach of any agreement between that director and the Company relating to his or her services as a director, employee or agent of the Company. A director need not be a stockholder.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1. OFFICERS; ELECTION: The officers of the Company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Company,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TERMS: All officers of the Company shall hold their respective offices until their death, resignation or removal.</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SECTION 3. POWERS; DUTIES: Each officer of the Company shall have such powers and duties as may be prescribed by resolution of the Board or as may be assigned by the Board or the President of the Company.</w:t>
      </w:r>
    </w:p>
    <w:p>
      <w:pPr>
        <w:spacing w:after="0" w:line="170"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Company will be served thereby, but such removal shall be without prejudice to the contract rights, if any, of the officer or agent so removed. Any vacancy occurring in any office of the Company shall be filled by the person or persons, which shall include the Board where applicable, that have authority to appoint such officer.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 STOCK CERTIFICATES AND UNCERTIFICATED SHARES: (a) The shares of the Company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provide by resolution that some or all of any classes or series of the Company’s capital stock shall be uncertificated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264" w:name="page265"/>
    <w:bookmarkEnd w:id="26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Any such resolution shall not apply to shares represented by a certificate until such certificate is surrendered to the Company. Notwithstanding the foregoing, every holder of capital stock represented by certificates and, upon request, every holder of uncertificated shares, shall be entitled to have a certificate, in any form approved by the Board, signed by (i) the Chairperson of the Board, the Chief Executive Officer, the President or a Vice President of the Company and (ii) the Secretary, an Assistant Secretary, the Treasurer or an Assistant Treasurer of the Company, and shall bear the corporate seal of the Company. If the certificate is countersigned by a transfer agent or registrar other than the Company or its employee, any other signature and the corporate seal appearing on certificates of stock may be facsimile, engraved or printed. In case any such officer, transfer agent or registrar who has signed or whose facsimile, engraved or printed signature appears on any such certificate shall have ceased to be such officer, transfer agent or registrar before the certificate is issued, such certificate may nevertheless be issued by the Company with the same effect as if such officer, transfer agent or registrar had not ceased to be such officer, transfer agent or registrar at the date of its issue. Every holder of uncertificated shares shall be entitled to receive a statement of holdings as evidence of share ownership.</w:t>
      </w:r>
    </w:p>
    <w:p>
      <w:pPr>
        <w:spacing w:after="0" w:line="58" w:lineRule="exact"/>
        <w:rPr>
          <w:sz w:val="20"/>
          <w:szCs w:val="20"/>
          <w:color w:val="auto"/>
        </w:rPr>
      </w:pPr>
    </w:p>
    <w:p>
      <w:pPr>
        <w:ind w:right="260" w:firstLine="981"/>
        <w:spacing w:after="0" w:line="277" w:lineRule="auto"/>
        <w:tabs>
          <w:tab w:leader="none" w:pos="1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shall not issue a fraction of a share or a certificate for a fractional share; however, the Board may issue, in lieu of any fractional share, scrip or other evidence of ownership upon such terms and conditions as it may deem advisable.</w:t>
      </w:r>
    </w:p>
    <w:p>
      <w:pPr>
        <w:spacing w:after="0" w:line="61" w:lineRule="exact"/>
        <w:rPr>
          <w:rFonts w:ascii="Arial" w:cs="Arial" w:eastAsia="Arial" w:hAnsi="Arial"/>
          <w:sz w:val="18"/>
          <w:szCs w:val="18"/>
          <w:color w:val="auto"/>
        </w:rPr>
      </w:pPr>
    </w:p>
    <w:p>
      <w:pPr>
        <w:ind w:left="1220" w:hanging="239"/>
        <w:spacing w:after="0"/>
        <w:tabs>
          <w:tab w:leader="none" w:pos="1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certificates of stock of each class and series shall be numbered appropriately.</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SECTION 2. RECORD OWNERSHIP: The Company shall maintain a record of the name and address of the holder of each share of Company capital stock, the number of shares held by such holder thereby, and the date of issue thereof. The Company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9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SECTION 3. TRANSFERS: Transfers of shares of capital stock shall be made on the books of the Company only by direction of the holder thereof in person or by his, her or its duly authorized attorney or legal representative. Upon transfer of certificated shares, the old certificates shall be surrendered to the Company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Company.</w:t>
      </w:r>
    </w:p>
    <w:p>
      <w:pPr>
        <w:spacing w:after="0" w:line="17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SECTION 4. TRANSFER AGENTS; REGISTRARS: The Board shall, by resolution, from time to time appoint one or more transfer agents, that may be officers or employees of the Company, to make transfers of shares of capital stock of the Company and one or more registrars to register shares of capital stock issued by or on behalf of the Company. The Board may adopt such rules as it may deem expedient concerning the issue, transfer and registration of shares of capital stock of the Company.</w:t>
      </w:r>
    </w:p>
    <w:p>
      <w:pPr>
        <w:spacing w:after="0" w:line="18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5. LOST CERTIFICATES: The Company may issue a new certificate in place of any certificate theretofore issued by it which is alleged to have been lost, stolen or destroyed and the Board may require the owner of the lost, stolen or destroyed certificate or the owner’s legal representative to give the Company a bond in a sum and in a form approved by the Board, and with a surety or sureties which the Board finds satisfactory, to indemnify the Company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Company any of the powers and authorities contained in this section.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265" w:name="page266"/>
    <w:bookmarkEnd w:id="265"/>
    <w:p>
      <w:pPr>
        <w:ind w:right="6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RECORD DATES: In order that the Company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determination of the stockholders entitled to notice of or to vote at the adjourned meeting.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 SEAL, BOOKS, FISCAL YEAR, AMENDMENT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1. SEAL: The corporate seal, if any, of the Company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2. PLACE FOR KEEPING BOOKS AND SEAL: The books of the Company, and its corporate minutes and corporate seal, shall be kept in the custody of the Secretary of the Company at the principal executive office of the Company, or at such other place or places and in the custody of such other person or persons as the Board may from time to time determine.</w:t>
      </w:r>
    </w:p>
    <w:p>
      <w:pPr>
        <w:spacing w:after="0" w:line="183"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Company, and such notice shall be deemed to be given at the time when the same shall be thus mailed, or may be given by facsimile or other electronic transmission to the extent authorized or allowed by law.</w:t>
      </w:r>
    </w:p>
    <w:p>
      <w:pPr>
        <w:spacing w:after="0" w:line="67" w:lineRule="exact"/>
        <w:rPr>
          <w:sz w:val="20"/>
          <w:szCs w:val="20"/>
          <w:color w:val="auto"/>
        </w:rPr>
      </w:pPr>
    </w:p>
    <w:p>
      <w:pPr>
        <w:ind w:firstLine="981"/>
        <w:spacing w:after="0" w:line="290" w:lineRule="auto"/>
        <w:tabs>
          <w:tab w:leader="none" w:pos="124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66" w:name="page267"/>
    <w:bookmarkEnd w:id="2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FISCAL YEAR: The fiscal year of the Company shall commence with the first day of October in each year.</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5. AMENDMENT: A majority of all of the members of the Board may amend, alter, change or repeal any provision of these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this Section 5 of Article V of these Bylaws in any manner that alters the stockholders’ power to amend, alter, change or repeal these Bylaws. The stockholders of the Company also may amend, alter, change or repeal any provision of these Bylaws upon the affirmative vote of a majority of all of the voting power of the Company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this Section 5 of Article V of these Bylaws in any manner that alters the Board’s power to amend, alter, change or repeal these Bylaws.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60" w:top="274" w:right="519" w:bottom="1440" w:gutter="0" w:footer="0" w:header="0"/>
        </w:sectPr>
      </w:pPr>
    </w:p>
    <w:bookmarkStart w:id="267" w:name="page268"/>
    <w:bookmarkEnd w:id="267"/>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186055</wp:posOffset>
            </wp:positionV>
            <wp:extent cx="7181850" cy="46342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1850" cy="463423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6601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866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9894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222885</wp:posOffset>
            </wp:positionV>
            <wp:extent cx="69894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MASTER TRANSACTION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BELLRING BRANDS,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237490</wp:posOffset>
            </wp:positionV>
            <wp:extent cx="14732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4560"/>
              <w:spacing w:after="0"/>
              <w:rPr>
                <w:sz w:val="20"/>
                <w:szCs w:val="20"/>
                <w:color w:val="auto"/>
              </w:rPr>
            </w:pPr>
            <w:r>
              <w:rPr>
                <w:rFonts w:ascii="Arial" w:cs="Arial" w:eastAsia="Arial" w:hAnsi="Arial"/>
                <w:sz w:val="18"/>
                <w:szCs w:val="18"/>
                <w:color w:val="auto"/>
              </w:rPr>
              <w:t>Dated as of</w:t>
            </w:r>
          </w:p>
        </w:tc>
        <w:tc>
          <w:tcPr>
            <w:tcW w:w="5320" w:type="dxa"/>
            <w:vAlign w:val="bottom"/>
          </w:tcPr>
          <w:p>
            <w:pPr>
              <w:jc w:val="right"/>
              <w:ind w:right="4490"/>
              <w:spacing w:after="0"/>
              <w:rPr>
                <w:sz w:val="20"/>
                <w:szCs w:val="20"/>
                <w:color w:val="auto"/>
              </w:rPr>
            </w:pPr>
            <w:r>
              <w:rPr>
                <w:rFonts w:ascii="Arial" w:cs="Arial" w:eastAsia="Arial" w:hAnsi="Arial"/>
                <w:sz w:val="18"/>
                <w:szCs w:val="18"/>
                <w:color w:val="auto"/>
              </w:rPr>
              <w:t>, 2019</w:t>
            </w:r>
          </w:p>
        </w:tc>
      </w:tr>
      <w:tr>
        <w:trPr>
          <w:trHeight w:val="256"/>
        </w:trPr>
        <w:tc>
          <w:tcPr>
            <w:tcW w:w="5680" w:type="dxa"/>
            <w:vAlign w:val="bottom"/>
            <w:tcBorders>
              <w:bottom w:val="single" w:sz="8" w:color="auto"/>
            </w:tcBorders>
          </w:tcPr>
          <w:p>
            <w:pPr>
              <w:spacing w:after="0"/>
              <w:rPr>
                <w:sz w:val="22"/>
                <w:szCs w:val="22"/>
                <w:color w:val="auto"/>
              </w:rPr>
            </w:pPr>
          </w:p>
        </w:tc>
        <w:tc>
          <w:tcPr>
            <w:tcW w:w="5320" w:type="dxa"/>
            <w:vAlign w:val="bottom"/>
            <w:tcBorders>
              <w:bottom w:val="single" w:sz="8" w:color="auto"/>
            </w:tcBorders>
          </w:tcPr>
          <w:p>
            <w:pPr>
              <w:spacing w:after="0"/>
              <w:rPr>
                <w:sz w:val="22"/>
                <w:szCs w:val="22"/>
                <w:color w:val="auto"/>
              </w:rPr>
            </w:pPr>
          </w:p>
        </w:tc>
      </w:tr>
      <w:tr>
        <w:trPr>
          <w:trHeight w:val="47"/>
        </w:trPr>
        <w:tc>
          <w:tcPr>
            <w:tcW w:w="568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r>
    </w:tbl>
    <w:p>
      <w:pPr>
        <w:sectPr>
          <w:pgSz w:w="11900" w:h="16838" w:orient="portrait"/>
          <w:cols w:equalWidth="0" w:num="1">
            <w:col w:w="11000"/>
          </w:cols>
          <w:pgMar w:left="460" w:top="122" w:right="439" w:bottom="1440" w:gutter="0" w:footer="0" w:header="0"/>
        </w:sectPr>
      </w:pPr>
    </w:p>
    <w:bookmarkStart w:id="270" w:name="page271"/>
    <w:bookmarkEnd w:id="2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778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300" w:type="dxa"/>
            <w:vAlign w:val="bottom"/>
          </w:tcPr>
          <w:p>
            <w:pPr>
              <w:spacing w:after="0"/>
              <w:rPr>
                <w:sz w:val="20"/>
                <w:szCs w:val="20"/>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9"/>
        </w:trPr>
        <w:tc>
          <w:tcPr>
            <w:tcW w:w="8640" w:type="dxa"/>
            <w:vAlign w:val="bottom"/>
            <w:gridSpan w:val="2"/>
          </w:tcPr>
          <w:p>
            <w:pPr>
              <w:spacing w:after="0"/>
              <w:rPr>
                <w:sz w:val="20"/>
                <w:szCs w:val="20"/>
                <w:color w:val="auto"/>
              </w:rPr>
            </w:pPr>
            <w:r>
              <w:rPr>
                <w:rFonts w:ascii="Arial" w:cs="Arial" w:eastAsia="Arial" w:hAnsi="Arial"/>
                <w:sz w:val="18"/>
                <w:szCs w:val="18"/>
                <w:color w:val="auto"/>
              </w:rPr>
              <w:t>ARTICLE II IPO</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2.1</w:t>
            </w:r>
          </w:p>
        </w:tc>
        <w:tc>
          <w:tcPr>
            <w:tcW w:w="7780" w:type="dxa"/>
            <w:vAlign w:val="bottom"/>
          </w:tcPr>
          <w:p>
            <w:pPr>
              <w:ind w:left="200"/>
              <w:spacing w:after="0"/>
              <w:rPr>
                <w:sz w:val="20"/>
                <w:szCs w:val="20"/>
                <w:color w:val="auto"/>
              </w:rPr>
            </w:pPr>
            <w:r>
              <w:rPr>
                <w:rFonts w:ascii="Arial" w:cs="Arial" w:eastAsia="Arial" w:hAnsi="Arial"/>
                <w:sz w:val="18"/>
                <w:szCs w:val="18"/>
                <w:color w:val="auto"/>
              </w:rPr>
              <w:t>Sole and Absolute Discretion;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2.2</w:t>
            </w:r>
          </w:p>
        </w:tc>
        <w:tc>
          <w:tcPr>
            <w:tcW w:w="7780" w:type="dxa"/>
            <w:vAlign w:val="bottom"/>
          </w:tcPr>
          <w:p>
            <w:pPr>
              <w:ind w:left="200"/>
              <w:spacing w:after="0"/>
              <w:rPr>
                <w:sz w:val="20"/>
                <w:szCs w:val="20"/>
                <w:color w:val="auto"/>
              </w:rPr>
            </w:pPr>
            <w:r>
              <w:rPr>
                <w:rFonts w:ascii="Arial" w:cs="Arial" w:eastAsia="Arial" w:hAnsi="Arial"/>
                <w:sz w:val="18"/>
                <w:szCs w:val="18"/>
                <w:color w:val="auto"/>
              </w:rPr>
              <w:t>Actions on IPO Closing Date</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9"/>
        </w:trPr>
        <w:tc>
          <w:tcPr>
            <w:tcW w:w="8640" w:type="dxa"/>
            <w:vAlign w:val="bottom"/>
            <w:gridSpan w:val="2"/>
          </w:tcPr>
          <w:p>
            <w:pPr>
              <w:spacing w:after="0"/>
              <w:rPr>
                <w:sz w:val="20"/>
                <w:szCs w:val="20"/>
                <w:color w:val="auto"/>
              </w:rPr>
            </w:pPr>
            <w:r>
              <w:rPr>
                <w:rFonts w:ascii="Arial" w:cs="Arial" w:eastAsia="Arial" w:hAnsi="Arial"/>
                <w:sz w:val="18"/>
                <w:szCs w:val="18"/>
                <w:color w:val="auto"/>
              </w:rPr>
              <w:t>ARTICLE III FORMATION TRANSACTIONS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w:t>
            </w:r>
          </w:p>
        </w:tc>
        <w:tc>
          <w:tcPr>
            <w:tcW w:w="7780" w:type="dxa"/>
            <w:vAlign w:val="bottom"/>
          </w:tcPr>
          <w:p>
            <w:pPr>
              <w:ind w:left="200"/>
              <w:spacing w:after="0"/>
              <w:rPr>
                <w:sz w:val="20"/>
                <w:szCs w:val="20"/>
                <w:color w:val="auto"/>
              </w:rPr>
            </w:pPr>
            <w:r>
              <w:rPr>
                <w:rFonts w:ascii="Arial" w:cs="Arial" w:eastAsia="Arial" w:hAnsi="Arial"/>
                <w:sz w:val="18"/>
                <w:szCs w:val="18"/>
                <w:color w:val="auto"/>
              </w:rPr>
              <w:t>Formation Transactions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3.2</w:t>
            </w:r>
          </w:p>
        </w:tc>
        <w:tc>
          <w:tcPr>
            <w:tcW w:w="7780" w:type="dxa"/>
            <w:vAlign w:val="bottom"/>
          </w:tcPr>
          <w:p>
            <w:pPr>
              <w:ind w:left="200"/>
              <w:spacing w:after="0"/>
              <w:rPr>
                <w:sz w:val="20"/>
                <w:szCs w:val="20"/>
                <w:color w:val="auto"/>
              </w:rPr>
            </w:pPr>
            <w:r>
              <w:rPr>
                <w:rFonts w:ascii="Arial" w:cs="Arial" w:eastAsia="Arial" w:hAnsi="Arial"/>
                <w:sz w:val="18"/>
                <w:szCs w:val="18"/>
                <w:color w:val="auto"/>
              </w:rPr>
              <w:t>Transfer of Assets and Assumption of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3.3</w:t>
            </w:r>
          </w:p>
        </w:tc>
        <w:tc>
          <w:tcPr>
            <w:tcW w:w="7780" w:type="dxa"/>
            <w:vAlign w:val="bottom"/>
          </w:tcPr>
          <w:p>
            <w:pPr>
              <w:ind w:left="200"/>
              <w:spacing w:after="0"/>
              <w:rPr>
                <w:sz w:val="20"/>
                <w:szCs w:val="20"/>
                <w:color w:val="auto"/>
              </w:rPr>
            </w:pPr>
            <w:r>
              <w:rPr>
                <w:rFonts w:ascii="Arial" w:cs="Arial" w:eastAsia="Arial" w:hAnsi="Arial"/>
                <w:sz w:val="18"/>
                <w:szCs w:val="18"/>
                <w:color w:val="auto"/>
              </w:rPr>
              <w:t>BellRing Assets; Post Assets</w:t>
            </w:r>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3.4</w:t>
            </w:r>
          </w:p>
        </w:tc>
        <w:tc>
          <w:tcPr>
            <w:tcW w:w="7780" w:type="dxa"/>
            <w:vAlign w:val="bottom"/>
          </w:tcPr>
          <w:p>
            <w:pPr>
              <w:ind w:left="200"/>
              <w:spacing w:after="0"/>
              <w:rPr>
                <w:sz w:val="20"/>
                <w:szCs w:val="20"/>
                <w:color w:val="auto"/>
              </w:rPr>
            </w:pPr>
            <w:r>
              <w:rPr>
                <w:rFonts w:ascii="Arial" w:cs="Arial" w:eastAsia="Arial" w:hAnsi="Arial"/>
                <w:sz w:val="18"/>
                <w:szCs w:val="18"/>
                <w:color w:val="auto"/>
              </w:rPr>
              <w:t>BellRing Liabilities; Post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3.5</w:t>
            </w:r>
          </w:p>
        </w:tc>
        <w:tc>
          <w:tcPr>
            <w:tcW w:w="7780" w:type="dxa"/>
            <w:vAlign w:val="bottom"/>
          </w:tcPr>
          <w:p>
            <w:pPr>
              <w:ind w:left="200"/>
              <w:spacing w:after="0"/>
              <w:rPr>
                <w:sz w:val="20"/>
                <w:szCs w:val="20"/>
                <w:color w:val="auto"/>
              </w:rPr>
            </w:pPr>
            <w:r>
              <w:rPr>
                <w:rFonts w:ascii="Arial" w:cs="Arial" w:eastAsia="Arial" w:hAnsi="Arial"/>
                <w:sz w:val="18"/>
                <w:szCs w:val="18"/>
                <w:color w:val="auto"/>
              </w:rPr>
              <w:t>Approvals and Notifications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3.6</w:t>
            </w:r>
          </w:p>
        </w:tc>
        <w:tc>
          <w:tcPr>
            <w:tcW w:w="7780" w:type="dxa"/>
            <w:vAlign w:val="bottom"/>
          </w:tcPr>
          <w:p>
            <w:pPr>
              <w:ind w:left="200"/>
              <w:spacing w:after="0"/>
              <w:rPr>
                <w:sz w:val="20"/>
                <w:szCs w:val="20"/>
                <w:color w:val="auto"/>
              </w:rPr>
            </w:pPr>
            <w:r>
              <w:rPr>
                <w:rFonts w:ascii="Arial" w:cs="Arial" w:eastAsia="Arial" w:hAnsi="Arial"/>
                <w:sz w:val="18"/>
                <w:szCs w:val="18"/>
                <w:color w:val="auto"/>
              </w:rPr>
              <w:t>Assignment and Novation of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3.7</w:t>
            </w:r>
          </w:p>
        </w:tc>
        <w:tc>
          <w:tcPr>
            <w:tcW w:w="7780" w:type="dxa"/>
            <w:vAlign w:val="bottom"/>
          </w:tcPr>
          <w:p>
            <w:pPr>
              <w:ind w:left="200"/>
              <w:spacing w:after="0"/>
              <w:rPr>
                <w:sz w:val="20"/>
                <w:szCs w:val="20"/>
                <w:color w:val="auto"/>
              </w:rPr>
            </w:pPr>
            <w:r>
              <w:rPr>
                <w:rFonts w:ascii="Arial" w:cs="Arial" w:eastAsia="Arial" w:hAnsi="Arial"/>
                <w:sz w:val="18"/>
                <w:szCs w:val="18"/>
                <w:color w:val="auto"/>
              </w:rPr>
              <w:t>Treatment of Intercompany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3.8</w:t>
            </w:r>
          </w:p>
        </w:tc>
        <w:tc>
          <w:tcPr>
            <w:tcW w:w="7780" w:type="dxa"/>
            <w:vAlign w:val="bottom"/>
          </w:tcPr>
          <w:p>
            <w:pPr>
              <w:ind w:left="200"/>
              <w:spacing w:after="0"/>
              <w:rPr>
                <w:sz w:val="20"/>
                <w:szCs w:val="20"/>
                <w:color w:val="auto"/>
              </w:rPr>
            </w:pPr>
            <w:r>
              <w:rPr>
                <w:rFonts w:ascii="Arial" w:cs="Arial" w:eastAsia="Arial" w:hAnsi="Arial"/>
                <w:sz w:val="18"/>
                <w:szCs w:val="18"/>
                <w:color w:val="auto"/>
              </w:rPr>
              <w:t>Disclaimer of 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IV CLOSING</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9"/>
        </w:trPr>
        <w:tc>
          <w:tcPr>
            <w:tcW w:w="8640" w:type="dxa"/>
            <w:vAlign w:val="bottom"/>
            <w:gridSpan w:val="2"/>
          </w:tcPr>
          <w:p>
            <w:pPr>
              <w:spacing w:after="0"/>
              <w:rPr>
                <w:sz w:val="20"/>
                <w:szCs w:val="20"/>
                <w:color w:val="auto"/>
              </w:rPr>
            </w:pPr>
            <w:r>
              <w:rPr>
                <w:rFonts w:ascii="Arial" w:cs="Arial" w:eastAsia="Arial" w:hAnsi="Arial"/>
                <w:sz w:val="18"/>
                <w:szCs w:val="18"/>
                <w:color w:val="auto"/>
              </w:rPr>
              <w:t>ARTICLE V MUTUAL RELEASES; INDEMNIFICATION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5.1</w:t>
            </w:r>
          </w:p>
        </w:tc>
        <w:tc>
          <w:tcPr>
            <w:tcW w:w="7780" w:type="dxa"/>
            <w:vAlign w:val="bottom"/>
          </w:tcPr>
          <w:p>
            <w:pPr>
              <w:ind w:left="200"/>
              <w:spacing w:after="0"/>
              <w:rPr>
                <w:sz w:val="20"/>
                <w:szCs w:val="20"/>
                <w:color w:val="auto"/>
              </w:rPr>
            </w:pPr>
            <w:r>
              <w:rPr>
                <w:rFonts w:ascii="Arial" w:cs="Arial" w:eastAsia="Arial" w:hAnsi="Arial"/>
                <w:sz w:val="18"/>
                <w:szCs w:val="18"/>
                <w:color w:val="auto"/>
              </w:rPr>
              <w:t>Release of Pre-Effective Time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5.2</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 by BellRing LLC</w:t>
            </w:r>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5.3</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 by Post</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5.4</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5.5</w:t>
            </w:r>
          </w:p>
        </w:tc>
        <w:tc>
          <w:tcPr>
            <w:tcW w:w="7780" w:type="dxa"/>
            <w:vAlign w:val="bottom"/>
          </w:tcPr>
          <w:p>
            <w:pPr>
              <w:ind w:left="200"/>
              <w:spacing w:after="0"/>
              <w:rPr>
                <w:sz w:val="20"/>
                <w:szCs w:val="20"/>
                <w:color w:val="auto"/>
              </w:rPr>
            </w:pPr>
            <w:r>
              <w:rPr>
                <w:rFonts w:ascii="Arial" w:cs="Arial" w:eastAsia="Arial" w:hAnsi="Arial"/>
                <w:sz w:val="18"/>
                <w:szCs w:val="18"/>
                <w:color w:val="auto"/>
              </w:rPr>
              <w:t>Procedures for Indemnification of Third Party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5.6</w:t>
            </w:r>
          </w:p>
        </w:tc>
        <w:tc>
          <w:tcPr>
            <w:tcW w:w="7780" w:type="dxa"/>
            <w:vAlign w:val="bottom"/>
          </w:tcPr>
          <w:p>
            <w:pPr>
              <w:ind w:left="200"/>
              <w:spacing w:after="0"/>
              <w:rPr>
                <w:sz w:val="20"/>
                <w:szCs w:val="20"/>
                <w:color w:val="auto"/>
              </w:rPr>
            </w:pPr>
            <w:r>
              <w:rPr>
                <w:rFonts w:ascii="Arial" w:cs="Arial" w:eastAsia="Arial" w:hAnsi="Arial"/>
                <w:sz w:val="18"/>
                <w:szCs w:val="18"/>
                <w:color w:val="auto"/>
              </w:rPr>
              <w:t>Additional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5.7</w:t>
            </w:r>
          </w:p>
        </w:tc>
        <w:tc>
          <w:tcPr>
            <w:tcW w:w="7780" w:type="dxa"/>
            <w:vAlign w:val="bottom"/>
          </w:tcPr>
          <w:p>
            <w:pPr>
              <w:ind w:left="200"/>
              <w:spacing w:after="0"/>
              <w:rPr>
                <w:sz w:val="20"/>
                <w:szCs w:val="20"/>
                <w:color w:val="auto"/>
              </w:rPr>
            </w:pPr>
            <w:r>
              <w:rPr>
                <w:rFonts w:ascii="Arial" w:cs="Arial" w:eastAsia="Arial" w:hAnsi="Arial"/>
                <w:sz w:val="18"/>
                <w:szCs w:val="18"/>
                <w:color w:val="auto"/>
              </w:rPr>
              <w:t>Right of Contribution</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5.8</w:t>
            </w:r>
          </w:p>
        </w:tc>
        <w:tc>
          <w:tcPr>
            <w:tcW w:w="7780" w:type="dxa"/>
            <w:vAlign w:val="bottom"/>
          </w:tcPr>
          <w:p>
            <w:pPr>
              <w:ind w:left="200"/>
              <w:spacing w:after="0"/>
              <w:rPr>
                <w:sz w:val="20"/>
                <w:szCs w:val="20"/>
                <w:color w:val="auto"/>
              </w:rPr>
            </w:pPr>
            <w:r>
              <w:rPr>
                <w:rFonts w:ascii="Arial" w:cs="Arial" w:eastAsia="Arial" w:hAnsi="Arial"/>
                <w:sz w:val="18"/>
                <w:szCs w:val="18"/>
                <w:color w:val="auto"/>
              </w:rPr>
              <w:t>Covenant Not to Sue</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5.9</w:t>
            </w:r>
          </w:p>
        </w:tc>
        <w:tc>
          <w:tcPr>
            <w:tcW w:w="7780" w:type="dxa"/>
            <w:vAlign w:val="bottom"/>
          </w:tcPr>
          <w:p>
            <w:pPr>
              <w:ind w:left="200"/>
              <w:spacing w:after="0"/>
              <w:rPr>
                <w:sz w:val="20"/>
                <w:szCs w:val="20"/>
                <w:color w:val="auto"/>
              </w:rPr>
            </w:pPr>
            <w:r>
              <w:rPr>
                <w:rFonts w:ascii="Arial" w:cs="Arial" w:eastAsia="Arial" w:hAnsi="Arial"/>
                <w:sz w:val="18"/>
                <w:szCs w:val="18"/>
                <w:color w:val="auto"/>
              </w:rPr>
              <w:t>Remedies Cumulative</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5.10</w:t>
            </w:r>
          </w:p>
        </w:tc>
        <w:tc>
          <w:tcPr>
            <w:tcW w:w="7780" w:type="dxa"/>
            <w:vAlign w:val="bottom"/>
          </w:tcPr>
          <w:p>
            <w:pPr>
              <w:ind w:left="200"/>
              <w:spacing w:after="0"/>
              <w:rPr>
                <w:sz w:val="20"/>
                <w:szCs w:val="20"/>
                <w:color w:val="auto"/>
              </w:rPr>
            </w:pPr>
            <w:r>
              <w:rPr>
                <w:rFonts w:ascii="Arial" w:cs="Arial" w:eastAsia="Arial" w:hAnsi="Arial"/>
                <w:sz w:val="18"/>
                <w:szCs w:val="18"/>
                <w:color w:val="auto"/>
              </w:rPr>
              <w:t>Survival of Indemnities</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9"/>
        </w:trPr>
        <w:tc>
          <w:tcPr>
            <w:tcW w:w="8640" w:type="dxa"/>
            <w:vAlign w:val="bottom"/>
            <w:gridSpan w:val="2"/>
          </w:tcPr>
          <w:p>
            <w:pPr>
              <w:spacing w:after="0"/>
              <w:rPr>
                <w:sz w:val="20"/>
                <w:szCs w:val="20"/>
                <w:color w:val="auto"/>
              </w:rPr>
            </w:pPr>
            <w:r>
              <w:rPr>
                <w:rFonts w:ascii="Arial" w:cs="Arial" w:eastAsia="Arial" w:hAnsi="Arial"/>
                <w:sz w:val="18"/>
                <w:szCs w:val="18"/>
                <w:color w:val="auto"/>
              </w:rPr>
              <w:t>ARTICLE VI CERTAIN OTHER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w:t>
            </w:r>
          </w:p>
        </w:tc>
        <w:tc>
          <w:tcPr>
            <w:tcW w:w="7780" w:type="dxa"/>
            <w:vAlign w:val="bottom"/>
          </w:tcPr>
          <w:p>
            <w:pPr>
              <w:ind w:left="200"/>
              <w:spacing w:after="0"/>
              <w:rPr>
                <w:sz w:val="20"/>
                <w:szCs w:val="20"/>
                <w:color w:val="auto"/>
              </w:rPr>
            </w:pPr>
            <w:r>
              <w:rPr>
                <w:rFonts w:ascii="Arial" w:cs="Arial" w:eastAsia="Arial" w:hAnsi="Arial"/>
                <w:sz w:val="18"/>
                <w:szCs w:val="18"/>
                <w:color w:val="auto"/>
              </w:rPr>
              <w:t>Financial Covenants</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w:t>
            </w:r>
          </w:p>
        </w:tc>
        <w:tc>
          <w:tcPr>
            <w:tcW w:w="7780" w:type="dxa"/>
            <w:vAlign w:val="bottom"/>
          </w:tcPr>
          <w:p>
            <w:pPr>
              <w:ind w:left="200"/>
              <w:spacing w:after="0"/>
              <w:rPr>
                <w:sz w:val="20"/>
                <w:szCs w:val="20"/>
                <w:color w:val="auto"/>
              </w:rPr>
            </w:pPr>
            <w:r>
              <w:rPr>
                <w:rFonts w:ascii="Arial" w:cs="Arial" w:eastAsia="Arial" w:hAnsi="Arial"/>
                <w:sz w:val="18"/>
                <w:szCs w:val="18"/>
                <w:color w:val="auto"/>
              </w:rPr>
              <w:t>Auditors and Audits; Annual Financial Statements and Accounting</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6.3</w:t>
            </w:r>
          </w:p>
        </w:tc>
        <w:tc>
          <w:tcPr>
            <w:tcW w:w="7780" w:type="dxa"/>
            <w:vAlign w:val="bottom"/>
          </w:tcPr>
          <w:p>
            <w:pPr>
              <w:ind w:left="200"/>
              <w:spacing w:after="0"/>
              <w:rPr>
                <w:sz w:val="20"/>
                <w:szCs w:val="20"/>
                <w:color w:val="auto"/>
              </w:rPr>
            </w:pPr>
            <w:r>
              <w:rPr>
                <w:rFonts w:ascii="Arial" w:cs="Arial" w:eastAsia="Arial" w:hAnsi="Arial"/>
                <w:sz w:val="18"/>
                <w:szCs w:val="18"/>
                <w:color w:val="auto"/>
              </w:rPr>
              <w:t>Names Following the Effective Time</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6.4</w:t>
            </w:r>
          </w:p>
        </w:tc>
        <w:tc>
          <w:tcPr>
            <w:tcW w:w="7780" w:type="dxa"/>
            <w:vAlign w:val="bottom"/>
          </w:tcPr>
          <w:p>
            <w:pPr>
              <w:ind w:left="200"/>
              <w:spacing w:after="0"/>
              <w:rPr>
                <w:sz w:val="20"/>
                <w:szCs w:val="20"/>
                <w:color w:val="auto"/>
              </w:rPr>
            </w:pPr>
            <w:r>
              <w:rPr>
                <w:rFonts w:ascii="Arial" w:cs="Arial" w:eastAsia="Arial" w:hAnsi="Arial"/>
                <w:sz w:val="18"/>
                <w:szCs w:val="18"/>
                <w:color w:val="auto"/>
              </w:rPr>
              <w:t>Insurance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6.5</w:t>
            </w:r>
          </w:p>
        </w:tc>
        <w:tc>
          <w:tcPr>
            <w:tcW w:w="778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6.6</w:t>
            </w:r>
          </w:p>
        </w:tc>
        <w:tc>
          <w:tcPr>
            <w:tcW w:w="7780" w:type="dxa"/>
            <w:vAlign w:val="bottom"/>
          </w:tcPr>
          <w:p>
            <w:pPr>
              <w:ind w:left="200"/>
              <w:spacing w:after="0"/>
              <w:rPr>
                <w:sz w:val="20"/>
                <w:szCs w:val="20"/>
                <w:color w:val="auto"/>
              </w:rPr>
            </w:pPr>
            <w:r>
              <w:rPr>
                <w:rFonts w:ascii="Arial" w:cs="Arial" w:eastAsia="Arial" w:hAnsi="Arial"/>
                <w:sz w:val="18"/>
                <w:szCs w:val="18"/>
                <w:color w:val="auto"/>
              </w:rPr>
              <w:t>Inducement</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6.7</w:t>
            </w:r>
          </w:p>
        </w:tc>
        <w:tc>
          <w:tcPr>
            <w:tcW w:w="7780" w:type="dxa"/>
            <w:vAlign w:val="bottom"/>
          </w:tcPr>
          <w:p>
            <w:pPr>
              <w:ind w:left="200"/>
              <w:spacing w:after="0"/>
              <w:rPr>
                <w:sz w:val="20"/>
                <w:szCs w:val="20"/>
                <w:color w:val="auto"/>
              </w:rPr>
            </w:pPr>
            <w:r>
              <w:rPr>
                <w:rFonts w:ascii="Arial" w:cs="Arial" w:eastAsia="Arial" w:hAnsi="Arial"/>
                <w:sz w:val="18"/>
                <w:szCs w:val="18"/>
                <w:color w:val="auto"/>
              </w:rPr>
              <w:t>No Restrictions on Competition</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9"/>
        </w:trPr>
        <w:tc>
          <w:tcPr>
            <w:tcW w:w="8640" w:type="dxa"/>
            <w:vAlign w:val="bottom"/>
            <w:gridSpan w:val="2"/>
          </w:tcPr>
          <w:p>
            <w:pPr>
              <w:spacing w:after="0"/>
              <w:rPr>
                <w:sz w:val="20"/>
                <w:szCs w:val="20"/>
                <w:color w:val="auto"/>
              </w:rPr>
            </w:pPr>
            <w:r>
              <w:rPr>
                <w:rFonts w:ascii="Arial" w:cs="Arial" w:eastAsia="Arial" w:hAnsi="Arial"/>
                <w:sz w:val="18"/>
                <w:szCs w:val="18"/>
                <w:color w:val="auto"/>
              </w:rPr>
              <w:t>ARTICLE VII EXCHANGE OF INFORMATION; CONFIDENTIALITY</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7.1</w:t>
            </w:r>
          </w:p>
        </w:tc>
        <w:tc>
          <w:tcPr>
            <w:tcW w:w="7780" w:type="dxa"/>
            <w:vAlign w:val="bottom"/>
          </w:tcPr>
          <w:p>
            <w:pPr>
              <w:ind w:left="200"/>
              <w:spacing w:after="0"/>
              <w:rPr>
                <w:sz w:val="20"/>
                <w:szCs w:val="20"/>
                <w:color w:val="auto"/>
              </w:rPr>
            </w:pPr>
            <w:r>
              <w:rPr>
                <w:rFonts w:ascii="Arial" w:cs="Arial" w:eastAsia="Arial" w:hAnsi="Arial"/>
                <w:sz w:val="18"/>
                <w:szCs w:val="18"/>
                <w:color w:val="auto"/>
              </w:rPr>
              <w:t>Agreement for Exchange of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7.2</w:t>
            </w:r>
          </w:p>
        </w:tc>
        <w:tc>
          <w:tcPr>
            <w:tcW w:w="7780" w:type="dxa"/>
            <w:vAlign w:val="bottom"/>
          </w:tcPr>
          <w:p>
            <w:pPr>
              <w:ind w:left="200"/>
              <w:spacing w:after="0"/>
              <w:rPr>
                <w:sz w:val="20"/>
                <w:szCs w:val="20"/>
                <w:color w:val="auto"/>
              </w:rPr>
            </w:pPr>
            <w:r>
              <w:rPr>
                <w:rFonts w:ascii="Arial" w:cs="Arial" w:eastAsia="Arial" w:hAnsi="Arial"/>
                <w:sz w:val="18"/>
                <w:szCs w:val="18"/>
                <w:color w:val="auto"/>
              </w:rPr>
              <w:t>Ownership of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7.3</w:t>
            </w:r>
          </w:p>
        </w:tc>
        <w:tc>
          <w:tcPr>
            <w:tcW w:w="7780" w:type="dxa"/>
            <w:vAlign w:val="bottom"/>
          </w:tcPr>
          <w:p>
            <w:pPr>
              <w:ind w:left="200"/>
              <w:spacing w:after="0"/>
              <w:rPr>
                <w:sz w:val="20"/>
                <w:szCs w:val="20"/>
                <w:color w:val="auto"/>
              </w:rPr>
            </w:pPr>
            <w:r>
              <w:rPr>
                <w:rFonts w:ascii="Arial" w:cs="Arial" w:eastAsia="Arial" w:hAnsi="Arial"/>
                <w:sz w:val="18"/>
                <w:szCs w:val="18"/>
                <w:color w:val="auto"/>
              </w:rPr>
              <w:t>Record Retention</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7.4</w:t>
            </w:r>
          </w:p>
        </w:tc>
        <w:tc>
          <w:tcPr>
            <w:tcW w:w="7780" w:type="dxa"/>
            <w:vAlign w:val="bottom"/>
          </w:tcPr>
          <w:p>
            <w:pPr>
              <w:ind w:left="200"/>
              <w:spacing w:after="0"/>
              <w:rPr>
                <w:sz w:val="20"/>
                <w:szCs w:val="20"/>
                <w:color w:val="auto"/>
              </w:rPr>
            </w:pPr>
            <w:r>
              <w:rPr>
                <w:rFonts w:ascii="Arial" w:cs="Arial" w:eastAsia="Arial" w:hAnsi="Arial"/>
                <w:sz w:val="18"/>
                <w:szCs w:val="18"/>
                <w:color w:val="auto"/>
              </w:rPr>
              <w:t>Limitations of Liability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7.5</w:t>
            </w:r>
          </w:p>
        </w:tc>
        <w:tc>
          <w:tcPr>
            <w:tcW w:w="7780" w:type="dxa"/>
            <w:vAlign w:val="bottom"/>
          </w:tcPr>
          <w:p>
            <w:pPr>
              <w:ind w:left="200"/>
              <w:spacing w:after="0"/>
              <w:rPr>
                <w:sz w:val="20"/>
                <w:szCs w:val="20"/>
                <w:color w:val="auto"/>
              </w:rPr>
            </w:pPr>
            <w:r>
              <w:rPr>
                <w:rFonts w:ascii="Arial" w:cs="Arial" w:eastAsia="Arial" w:hAnsi="Arial"/>
                <w:sz w:val="18"/>
                <w:szCs w:val="18"/>
                <w:color w:val="auto"/>
              </w:rPr>
              <w:t>Other Agreements Providing for Exchange of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7.6</w:t>
            </w:r>
          </w:p>
        </w:tc>
        <w:tc>
          <w:tcPr>
            <w:tcW w:w="778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7.7</w:t>
            </w:r>
          </w:p>
        </w:tc>
        <w:tc>
          <w:tcPr>
            <w:tcW w:w="7780" w:type="dxa"/>
            <w:vAlign w:val="bottom"/>
          </w:tcPr>
          <w:p>
            <w:pPr>
              <w:ind w:left="200"/>
              <w:spacing w:after="0"/>
              <w:rPr>
                <w:sz w:val="20"/>
                <w:szCs w:val="20"/>
                <w:color w:val="auto"/>
              </w:rPr>
            </w:pPr>
            <w:r>
              <w:rPr>
                <w:rFonts w:ascii="Arial" w:cs="Arial" w:eastAsia="Arial" w:hAnsi="Arial"/>
                <w:sz w:val="18"/>
                <w:szCs w:val="18"/>
                <w:color w:val="auto"/>
              </w:rPr>
              <w:t>Protective Arrangements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0940"/>
          </w:cols>
          <w:pgMar w:left="460" w:top="274" w:right="499" w:bottom="1440" w:gutter="0" w:footer="0" w:header="0"/>
        </w:sectPr>
      </w:pPr>
    </w:p>
    <w:bookmarkStart w:id="271" w:name="page272"/>
    <w:bookmarkEnd w:id="2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ARTICLE VIII DISPUTE RESOLUTION</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8.1</w:t>
            </w:r>
          </w:p>
        </w:tc>
        <w:tc>
          <w:tcPr>
            <w:tcW w:w="6860" w:type="dxa"/>
            <w:vAlign w:val="bottom"/>
          </w:tcPr>
          <w:p>
            <w:pPr>
              <w:ind w:left="200"/>
              <w:spacing w:after="0"/>
              <w:rPr>
                <w:sz w:val="20"/>
                <w:szCs w:val="20"/>
                <w:color w:val="auto"/>
              </w:rPr>
            </w:pPr>
            <w:r>
              <w:rPr>
                <w:rFonts w:ascii="Arial" w:cs="Arial" w:eastAsia="Arial" w:hAnsi="Arial"/>
                <w:sz w:val="18"/>
                <w:szCs w:val="18"/>
                <w:color w:val="auto"/>
              </w:rPr>
              <w:t>Good Faith Officer Negotiation</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8.2</w:t>
            </w:r>
          </w:p>
        </w:tc>
        <w:tc>
          <w:tcPr>
            <w:tcW w:w="6860" w:type="dxa"/>
            <w:vAlign w:val="bottom"/>
          </w:tcPr>
          <w:p>
            <w:pPr>
              <w:ind w:left="200"/>
              <w:spacing w:after="0"/>
              <w:rPr>
                <w:sz w:val="20"/>
                <w:szCs w:val="20"/>
                <w:color w:val="auto"/>
              </w:rPr>
            </w:pPr>
            <w:r>
              <w:rPr>
                <w:rFonts w:ascii="Arial" w:cs="Arial" w:eastAsia="Arial" w:hAnsi="Arial"/>
                <w:sz w:val="18"/>
                <w:szCs w:val="18"/>
                <w:color w:val="auto"/>
              </w:rPr>
              <w:t>CEO Negotiation</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8.3</w:t>
            </w:r>
          </w:p>
        </w:tc>
        <w:tc>
          <w:tcPr>
            <w:tcW w:w="6860" w:type="dxa"/>
            <w:vAlign w:val="bottom"/>
          </w:tcPr>
          <w:p>
            <w:pPr>
              <w:ind w:left="200"/>
              <w:spacing w:after="0"/>
              <w:rPr>
                <w:sz w:val="20"/>
                <w:szCs w:val="20"/>
                <w:color w:val="auto"/>
              </w:rPr>
            </w:pPr>
            <w:r>
              <w:rPr>
                <w:rFonts w:ascii="Arial" w:cs="Arial" w:eastAsia="Arial" w:hAnsi="Arial"/>
                <w:sz w:val="18"/>
                <w:szCs w:val="18"/>
                <w:color w:val="auto"/>
              </w:rPr>
              <w:t>Dispute Resolution and Injunctive Relief</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8.4</w:t>
            </w:r>
          </w:p>
        </w:tc>
        <w:tc>
          <w:tcPr>
            <w:tcW w:w="6860" w:type="dxa"/>
            <w:vAlign w:val="bottom"/>
          </w:tcPr>
          <w:p>
            <w:pPr>
              <w:ind w:left="200"/>
              <w:spacing w:after="0"/>
              <w:rPr>
                <w:sz w:val="20"/>
                <w:szCs w:val="20"/>
                <w:color w:val="auto"/>
              </w:rPr>
            </w:pPr>
            <w:r>
              <w:rPr>
                <w:rFonts w:ascii="Arial" w:cs="Arial" w:eastAsia="Arial" w:hAnsi="Arial"/>
                <w:sz w:val="18"/>
                <w:szCs w:val="18"/>
                <w:color w:val="auto"/>
              </w:rPr>
              <w:t>Conduct During Dispute Resolution Process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9"/>
        </w:trPr>
        <w:tc>
          <w:tcPr>
            <w:tcW w:w="772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w:t>
            </w:r>
          </w:p>
        </w:tc>
        <w:tc>
          <w:tcPr>
            <w:tcW w:w="6860" w:type="dxa"/>
            <w:vAlign w:val="bottom"/>
          </w:tcPr>
          <w:p>
            <w:pPr>
              <w:ind w:left="200"/>
              <w:spacing w:after="0"/>
              <w:rPr>
                <w:sz w:val="20"/>
                <w:szCs w:val="20"/>
                <w:color w:val="auto"/>
              </w:rPr>
            </w:pPr>
            <w:r>
              <w:rPr>
                <w:rFonts w:ascii="Arial" w:cs="Arial" w:eastAsia="Arial" w:hAnsi="Arial"/>
                <w:sz w:val="18"/>
                <w:szCs w:val="18"/>
                <w:color w:val="auto"/>
              </w:rPr>
              <w:t>Termination; Waiver and Amendments</w:t>
            </w:r>
          </w:p>
        </w:tc>
        <w:tc>
          <w:tcPr>
            <w:tcW w:w="3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9.2</w:t>
            </w:r>
          </w:p>
        </w:tc>
        <w:tc>
          <w:tcPr>
            <w:tcW w:w="686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3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9.3</w:t>
            </w:r>
          </w:p>
        </w:tc>
        <w:tc>
          <w:tcPr>
            <w:tcW w:w="6860" w:type="dxa"/>
            <w:vAlign w:val="bottom"/>
          </w:tcPr>
          <w:p>
            <w:pPr>
              <w:ind w:left="200"/>
              <w:spacing w:after="0"/>
              <w:rPr>
                <w:sz w:val="20"/>
                <w:szCs w:val="20"/>
                <w:color w:val="auto"/>
              </w:rPr>
            </w:pPr>
            <w:r>
              <w:rPr>
                <w:rFonts w:ascii="Arial" w:cs="Arial" w:eastAsia="Arial" w:hAnsi="Arial"/>
                <w:sz w:val="18"/>
                <w:szCs w:val="18"/>
                <w:color w:val="auto"/>
              </w:rPr>
              <w:t>Counterparts; Entire Agreement; Corporate Power</w:t>
            </w:r>
          </w:p>
        </w:tc>
        <w:tc>
          <w:tcPr>
            <w:tcW w:w="3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9.4</w:t>
            </w:r>
          </w:p>
        </w:tc>
        <w:tc>
          <w:tcPr>
            <w:tcW w:w="68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9.5</w:t>
            </w:r>
          </w:p>
        </w:tc>
        <w:tc>
          <w:tcPr>
            <w:tcW w:w="6860" w:type="dxa"/>
            <w:vAlign w:val="bottom"/>
          </w:tcPr>
          <w:p>
            <w:pPr>
              <w:ind w:left="200"/>
              <w:spacing w:after="0"/>
              <w:rPr>
                <w:sz w:val="20"/>
                <w:szCs w:val="20"/>
                <w:color w:val="auto"/>
              </w:rPr>
            </w:pPr>
            <w:r>
              <w:rPr>
                <w:rFonts w:ascii="Arial" w:cs="Arial" w:eastAsia="Arial" w:hAnsi="Arial"/>
                <w:sz w:val="18"/>
                <w:szCs w:val="18"/>
                <w:color w:val="auto"/>
              </w:rPr>
              <w:t>Assignability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9.6</w:t>
            </w:r>
          </w:p>
        </w:tc>
        <w:tc>
          <w:tcPr>
            <w:tcW w:w="6860" w:type="dxa"/>
            <w:vAlign w:val="bottom"/>
          </w:tcPr>
          <w:p>
            <w:pPr>
              <w:ind w:left="200"/>
              <w:spacing w:after="0"/>
              <w:rPr>
                <w:sz w:val="20"/>
                <w:szCs w:val="20"/>
                <w:color w:val="auto"/>
              </w:rPr>
            </w:pPr>
            <w:r>
              <w:rPr>
                <w:rFonts w:ascii="Arial" w:cs="Arial" w:eastAsia="Arial" w:hAnsi="Arial"/>
                <w:sz w:val="18"/>
                <w:szCs w:val="18"/>
                <w:color w:val="auto"/>
              </w:rPr>
              <w:t>Third Party Beneficiaries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9.7</w:t>
            </w:r>
          </w:p>
        </w:tc>
        <w:tc>
          <w:tcPr>
            <w:tcW w:w="6860" w:type="dxa"/>
            <w:vAlign w:val="bottom"/>
          </w:tcPr>
          <w:p>
            <w:pPr>
              <w:ind w:left="200"/>
              <w:spacing w:after="0"/>
              <w:rPr>
                <w:sz w:val="20"/>
                <w:szCs w:val="20"/>
                <w:color w:val="auto"/>
              </w:rPr>
            </w:pPr>
            <w:r>
              <w:rPr>
                <w:rFonts w:ascii="Arial" w:cs="Arial" w:eastAsia="Arial" w:hAnsi="Arial"/>
                <w:sz w:val="18"/>
                <w:szCs w:val="18"/>
                <w:color w:val="auto"/>
              </w:rPr>
              <w:t>Notices</w:t>
            </w:r>
          </w:p>
        </w:tc>
        <w:tc>
          <w:tcPr>
            <w:tcW w:w="3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9.8</w:t>
            </w:r>
          </w:p>
        </w:tc>
        <w:tc>
          <w:tcPr>
            <w:tcW w:w="68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9.9</w:t>
            </w:r>
          </w:p>
        </w:tc>
        <w:tc>
          <w:tcPr>
            <w:tcW w:w="6860" w:type="dxa"/>
            <w:vAlign w:val="bottom"/>
          </w:tcPr>
          <w:p>
            <w:pPr>
              <w:ind w:left="200"/>
              <w:spacing w:after="0"/>
              <w:rPr>
                <w:sz w:val="20"/>
                <w:szCs w:val="20"/>
                <w:color w:val="auto"/>
              </w:rPr>
            </w:pPr>
            <w:r>
              <w:rPr>
                <w:rFonts w:ascii="Arial" w:cs="Arial" w:eastAsia="Arial" w:hAnsi="Arial"/>
                <w:sz w:val="18"/>
                <w:szCs w:val="18"/>
                <w:color w:val="auto"/>
              </w:rPr>
              <w:t>Force Majeure</w:t>
            </w:r>
          </w:p>
        </w:tc>
        <w:tc>
          <w:tcPr>
            <w:tcW w:w="3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9.10</w:t>
            </w:r>
          </w:p>
        </w:tc>
        <w:tc>
          <w:tcPr>
            <w:tcW w:w="6860" w:type="dxa"/>
            <w:vAlign w:val="bottom"/>
          </w:tcPr>
          <w:p>
            <w:pPr>
              <w:ind w:left="200"/>
              <w:spacing w:after="0"/>
              <w:rPr>
                <w:sz w:val="20"/>
                <w:szCs w:val="20"/>
                <w:color w:val="auto"/>
              </w:rPr>
            </w:pPr>
            <w:r>
              <w:rPr>
                <w:rFonts w:ascii="Arial" w:cs="Arial" w:eastAsia="Arial" w:hAnsi="Arial"/>
                <w:sz w:val="18"/>
                <w:szCs w:val="18"/>
                <w:color w:val="auto"/>
              </w:rPr>
              <w:t>No Set-Off</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9.11</w:t>
            </w:r>
          </w:p>
        </w:tc>
        <w:tc>
          <w:tcPr>
            <w:tcW w:w="68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9.12</w:t>
            </w:r>
          </w:p>
        </w:tc>
        <w:tc>
          <w:tcPr>
            <w:tcW w:w="6860" w:type="dxa"/>
            <w:vAlign w:val="bottom"/>
          </w:tcPr>
          <w:p>
            <w:pPr>
              <w:ind w:left="200"/>
              <w:spacing w:after="0"/>
              <w:rPr>
                <w:sz w:val="20"/>
                <w:szCs w:val="20"/>
                <w:color w:val="auto"/>
              </w:rPr>
            </w:pPr>
            <w:r>
              <w:rPr>
                <w:rFonts w:ascii="Arial" w:cs="Arial" w:eastAsia="Arial" w:hAnsi="Arial"/>
                <w:sz w:val="18"/>
                <w:szCs w:val="18"/>
                <w:color w:val="auto"/>
              </w:rPr>
              <w:t>Headings</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9.13</w:t>
            </w:r>
          </w:p>
        </w:tc>
        <w:tc>
          <w:tcPr>
            <w:tcW w:w="6860" w:type="dxa"/>
            <w:vAlign w:val="bottom"/>
          </w:tcPr>
          <w:p>
            <w:pPr>
              <w:ind w:left="200"/>
              <w:spacing w:after="0"/>
              <w:rPr>
                <w:sz w:val="20"/>
                <w:szCs w:val="20"/>
                <w:color w:val="auto"/>
              </w:rPr>
            </w:pPr>
            <w:r>
              <w:rPr>
                <w:rFonts w:ascii="Arial" w:cs="Arial" w:eastAsia="Arial" w:hAnsi="Arial"/>
                <w:sz w:val="18"/>
                <w:szCs w:val="18"/>
                <w:color w:val="auto"/>
              </w:rPr>
              <w:t>Survival of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9.14</w:t>
            </w:r>
          </w:p>
        </w:tc>
        <w:tc>
          <w:tcPr>
            <w:tcW w:w="6860" w:type="dxa"/>
            <w:vAlign w:val="bottom"/>
          </w:tcPr>
          <w:p>
            <w:pPr>
              <w:ind w:left="200"/>
              <w:spacing w:after="0"/>
              <w:rPr>
                <w:sz w:val="20"/>
                <w:szCs w:val="20"/>
                <w:color w:val="auto"/>
              </w:rPr>
            </w:pPr>
            <w:r>
              <w:rPr>
                <w:rFonts w:ascii="Arial" w:cs="Arial" w:eastAsia="Arial" w:hAnsi="Arial"/>
                <w:sz w:val="18"/>
                <w:szCs w:val="18"/>
                <w:color w:val="auto"/>
              </w:rPr>
              <w:t>Waivers of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9.15</w:t>
            </w:r>
          </w:p>
        </w:tc>
        <w:tc>
          <w:tcPr>
            <w:tcW w:w="686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9.16</w:t>
            </w:r>
          </w:p>
        </w:tc>
        <w:tc>
          <w:tcPr>
            <w:tcW w:w="686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3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9.17</w:t>
            </w:r>
          </w:p>
        </w:tc>
        <w:tc>
          <w:tcPr>
            <w:tcW w:w="6860" w:type="dxa"/>
            <w:vAlign w:val="bottom"/>
          </w:tcPr>
          <w:p>
            <w:pPr>
              <w:ind w:left="200"/>
              <w:spacing w:after="0"/>
              <w:rPr>
                <w:sz w:val="20"/>
                <w:szCs w:val="20"/>
                <w:color w:val="auto"/>
              </w:rPr>
            </w:pPr>
            <w:r>
              <w:rPr>
                <w:rFonts w:ascii="Arial" w:cs="Arial" w:eastAsia="Arial" w:hAnsi="Arial"/>
                <w:sz w:val="18"/>
                <w:szCs w:val="18"/>
                <w:color w:val="auto"/>
              </w:rPr>
              <w:t>Limitations of Liability; No Recourse</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9.18</w:t>
            </w:r>
          </w:p>
        </w:tc>
        <w:tc>
          <w:tcPr>
            <w:tcW w:w="6860" w:type="dxa"/>
            <w:vAlign w:val="bottom"/>
          </w:tcPr>
          <w:p>
            <w:pPr>
              <w:ind w:left="200"/>
              <w:spacing w:after="0"/>
              <w:rPr>
                <w:sz w:val="20"/>
                <w:szCs w:val="20"/>
                <w:color w:val="auto"/>
              </w:rPr>
            </w:pPr>
            <w:r>
              <w:rPr>
                <w:rFonts w:ascii="Arial" w:cs="Arial" w:eastAsia="Arial" w:hAnsi="Arial"/>
                <w:sz w:val="18"/>
                <w:szCs w:val="18"/>
                <w:color w:val="auto"/>
              </w:rPr>
              <w:t>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9.19</w:t>
            </w:r>
          </w:p>
        </w:tc>
        <w:tc>
          <w:tcPr>
            <w:tcW w:w="6860" w:type="dxa"/>
            <w:vAlign w:val="bottom"/>
          </w:tcPr>
          <w:p>
            <w:pPr>
              <w:ind w:left="200"/>
              <w:spacing w:after="0"/>
              <w:rPr>
                <w:sz w:val="20"/>
                <w:szCs w:val="20"/>
                <w:color w:val="auto"/>
              </w:rPr>
            </w:pPr>
            <w:r>
              <w:rPr>
                <w:rFonts w:ascii="Arial" w:cs="Arial" w:eastAsia="Arial" w:hAnsi="Arial"/>
                <w:sz w:val="18"/>
                <w:szCs w:val="18"/>
                <w:color w:val="auto"/>
              </w:rPr>
              <w:t>Mutual Drafting</w:t>
            </w:r>
          </w:p>
        </w:tc>
        <w:tc>
          <w:tcPr>
            <w:tcW w:w="32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60" w:top="274" w:right="49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2180" w:type="dxa"/>
            <w:vAlign w:val="bottom"/>
          </w:tcPr>
          <w:p>
            <w:pPr>
              <w:spacing w:after="0"/>
              <w:rPr>
                <w:sz w:val="20"/>
                <w:szCs w:val="20"/>
                <w:color w:val="auto"/>
              </w:rPr>
            </w:pPr>
          </w:p>
        </w:tc>
      </w:tr>
      <w:tr>
        <w:trPr>
          <w:trHeight w:val="418"/>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Schedule 1.1</w:t>
            </w:r>
          </w:p>
        </w:tc>
        <w:tc>
          <w:tcPr>
            <w:tcW w:w="500" w:type="dxa"/>
            <w:vAlign w:val="bottom"/>
            <w:gridSpan w:val="2"/>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w w:val="98"/>
              </w:rPr>
              <w:t>Active Nutrition Entities</w:t>
            </w:r>
          </w:p>
        </w:tc>
      </w:tr>
      <w:tr>
        <w:trPr>
          <w:trHeight w:val="30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Schedule 1.2</w:t>
            </w:r>
          </w:p>
        </w:tc>
        <w:tc>
          <w:tcPr>
            <w:tcW w:w="500" w:type="dxa"/>
            <w:vAlign w:val="bottom"/>
            <w:gridSpan w:val="2"/>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rPr>
              <w:t>Excluded Contracts</w:t>
            </w:r>
          </w:p>
        </w:tc>
      </w:tr>
      <w:tr>
        <w:trPr>
          <w:trHeight w:val="30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Schedule 1.3</w:t>
            </w:r>
          </w:p>
        </w:tc>
        <w:tc>
          <w:tcPr>
            <w:tcW w:w="500" w:type="dxa"/>
            <w:vAlign w:val="bottom"/>
            <w:gridSpan w:val="2"/>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w w:val="91"/>
              </w:rPr>
              <w:t>Other BellRing Contracts</w:t>
            </w:r>
          </w:p>
        </w:tc>
      </w:tr>
      <w:tr>
        <w:trPr>
          <w:trHeight w:val="304"/>
        </w:trPr>
        <w:tc>
          <w:tcPr>
            <w:tcW w:w="1420" w:type="dxa"/>
            <w:vAlign w:val="bottom"/>
            <w:gridSpan w:val="3"/>
          </w:tcPr>
          <w:p>
            <w:pPr>
              <w:spacing w:after="0"/>
              <w:rPr>
                <w:sz w:val="20"/>
                <w:szCs w:val="20"/>
                <w:color w:val="auto"/>
              </w:rPr>
            </w:pPr>
            <w:r>
              <w:rPr>
                <w:rFonts w:ascii="Arial" w:cs="Arial" w:eastAsia="Arial" w:hAnsi="Arial"/>
                <w:sz w:val="18"/>
                <w:szCs w:val="18"/>
                <w:color w:val="auto"/>
              </w:rPr>
              <w:t>Schedule 9.11</w:t>
            </w:r>
          </w:p>
        </w:tc>
        <w:tc>
          <w:tcPr>
            <w:tcW w:w="2180" w:type="dxa"/>
            <w:vAlign w:val="bottom"/>
          </w:tcPr>
          <w:p>
            <w:pPr>
              <w:ind w:left="340"/>
              <w:spacing w:after="0"/>
              <w:rPr>
                <w:sz w:val="20"/>
                <w:szCs w:val="20"/>
                <w:color w:val="auto"/>
              </w:rPr>
            </w:pPr>
            <w:r>
              <w:rPr>
                <w:rFonts w:ascii="Arial" w:cs="Arial" w:eastAsia="Arial" w:hAnsi="Arial"/>
                <w:sz w:val="18"/>
                <w:szCs w:val="18"/>
                <w:color w:val="auto"/>
              </w:rPr>
              <w:t>Certain Expenses</w:t>
            </w:r>
          </w:p>
        </w:tc>
      </w:tr>
      <w:tr>
        <w:trPr>
          <w:trHeight w:val="20"/>
        </w:trPr>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999"/>
          </w:cols>
          <w:pgMar w:left="460" w:top="274" w:right="1440"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TRANSACTION AGREEMENT</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This MASTER TRANSACTION AGREEMENT, dated as of , 2019 (this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among POST HOLDINGS, INC., a Missouri corporation (“</w:t>
      </w:r>
      <w:r>
        <w:rPr>
          <w:rFonts w:ascii="Arial" w:cs="Arial" w:eastAsia="Arial" w:hAnsi="Arial"/>
          <w:sz w:val="16"/>
          <w:szCs w:val="16"/>
          <w:u w:val="single" w:color="auto"/>
          <w:color w:val="auto"/>
        </w:rPr>
        <w:t>Post</w:t>
      </w:r>
      <w:r>
        <w:rPr>
          <w:rFonts w:ascii="Arial" w:cs="Arial" w:eastAsia="Arial" w:hAnsi="Arial"/>
          <w:sz w:val="16"/>
          <w:szCs w:val="16"/>
          <w:color w:val="auto"/>
        </w:rPr>
        <w:t>”), BELLRING BRANDS, INC., a Delaware corporation (“</w:t>
      </w:r>
      <w:r>
        <w:rPr>
          <w:rFonts w:ascii="Arial" w:cs="Arial" w:eastAsia="Arial" w:hAnsi="Arial"/>
          <w:sz w:val="16"/>
          <w:szCs w:val="16"/>
          <w:u w:val="single" w:color="auto"/>
          <w:color w:val="auto"/>
        </w:rPr>
        <w:t>BellRing Inc.</w:t>
      </w:r>
      <w:r>
        <w:rPr>
          <w:rFonts w:ascii="Arial" w:cs="Arial" w:eastAsia="Arial" w:hAnsi="Arial"/>
          <w:sz w:val="16"/>
          <w:szCs w:val="16"/>
          <w:color w:val="auto"/>
        </w:rPr>
        <w:t>”), and BELLRING BRANDS, LLC, a Delaware limited liability company (“</w:t>
      </w:r>
      <w:r>
        <w:rPr>
          <w:rFonts w:ascii="Arial" w:cs="Arial" w:eastAsia="Arial" w:hAnsi="Arial"/>
          <w:sz w:val="16"/>
          <w:szCs w:val="16"/>
          <w:u w:val="single" w:color="auto"/>
          <w:color w:val="auto"/>
        </w:rPr>
        <w:t>BellRing LLC</w:t>
      </w:r>
      <w:r>
        <w:rPr>
          <w:rFonts w:ascii="Arial" w:cs="Arial" w:eastAsia="Arial" w:hAnsi="Arial"/>
          <w:sz w:val="16"/>
          <w:szCs w:val="16"/>
          <w:color w:val="auto"/>
        </w:rPr>
        <w:t>”; Post, BellRing Inc. and BellRing LLC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Capitalized terms used herein and not otherwise defined shall have the respective meanings assigned to them in </w:t>
      </w:r>
      <w:r>
        <w:rPr>
          <w:rFonts w:ascii="Arial" w:cs="Arial" w:eastAsia="Arial" w:hAnsi="Arial"/>
          <w:sz w:val="16"/>
          <w:szCs w:val="16"/>
          <w:u w:val="single" w:color="auto"/>
          <w:color w:val="auto"/>
        </w:rPr>
        <w:t>ARTICLE I</w:t>
      </w:r>
      <w:r>
        <w:rPr>
          <w:rFonts w:ascii="Arial" w:cs="Arial" w:eastAsia="Arial" w:hAnsi="Arial"/>
          <w:sz w:val="16"/>
          <w:szCs w:val="16"/>
          <w:color w:val="auto"/>
        </w:rPr>
        <w: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40" w:firstLine="440"/>
        <w:spacing w:after="0" w:line="307" w:lineRule="auto"/>
        <w:rPr>
          <w:sz w:val="20"/>
          <w:szCs w:val="20"/>
          <w:color w:val="auto"/>
        </w:rPr>
      </w:pPr>
      <w:r>
        <w:rPr>
          <w:rFonts w:ascii="Arial" w:cs="Arial" w:eastAsia="Arial" w:hAnsi="Arial"/>
          <w:sz w:val="17"/>
          <w:szCs w:val="17"/>
          <w:color w:val="auto"/>
        </w:rPr>
        <w:t>WHEREAS, the board of directors of Post (the “</w:t>
      </w:r>
      <w:r>
        <w:rPr>
          <w:rFonts w:ascii="Arial" w:cs="Arial" w:eastAsia="Arial" w:hAnsi="Arial"/>
          <w:sz w:val="17"/>
          <w:szCs w:val="17"/>
          <w:u w:val="single" w:color="auto"/>
          <w:color w:val="auto"/>
        </w:rPr>
        <w:t>Post Board</w:t>
      </w:r>
      <w:r>
        <w:rPr>
          <w:rFonts w:ascii="Arial" w:cs="Arial" w:eastAsia="Arial" w:hAnsi="Arial"/>
          <w:sz w:val="17"/>
          <w:szCs w:val="17"/>
          <w:color w:val="auto"/>
        </w:rPr>
        <w:t>”), the board of directors of BellRing Inc. (the “</w:t>
      </w:r>
      <w:r>
        <w:rPr>
          <w:rFonts w:ascii="Arial" w:cs="Arial" w:eastAsia="Arial" w:hAnsi="Arial"/>
          <w:sz w:val="17"/>
          <w:szCs w:val="17"/>
          <w:u w:val="single" w:color="auto"/>
          <w:color w:val="auto"/>
        </w:rPr>
        <w:t>BellRing Inc. Board</w:t>
      </w:r>
      <w:r>
        <w:rPr>
          <w:rFonts w:ascii="Arial" w:cs="Arial" w:eastAsia="Arial" w:hAnsi="Arial"/>
          <w:sz w:val="17"/>
          <w:szCs w:val="17"/>
          <w:color w:val="auto"/>
        </w:rPr>
        <w:t>”) and Post, as the sole member of BellRing LLC, desire to effect an underwritten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BellRing Inc. Class A Common Stock;</w:t>
      </w:r>
    </w:p>
    <w:p>
      <w:pPr>
        <w:spacing w:after="0" w:line="14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prior to the completion of the IPO, Post intends to incur indebtedness in an amount to be determined under an unsecured bridge loan (the “</w:t>
      </w:r>
      <w:r>
        <w:rPr>
          <w:rFonts w:ascii="Arial" w:cs="Arial" w:eastAsia="Arial" w:hAnsi="Arial"/>
          <w:sz w:val="18"/>
          <w:szCs w:val="18"/>
          <w:u w:val="single" w:color="auto"/>
          <w:color w:val="auto"/>
        </w:rPr>
        <w:t>Bridge Loan</w:t>
      </w:r>
      <w:r>
        <w:rPr>
          <w:rFonts w:ascii="Arial" w:cs="Arial" w:eastAsia="Arial" w:hAnsi="Arial"/>
          <w:sz w:val="18"/>
          <w:szCs w:val="18"/>
          <w:color w:val="auto"/>
        </w:rPr>
        <w:t>”) that Post and certain of its subsidiaries as guarantors (other than BellRing Inc., but including BellRing LLC and its direct and indirect domestic subsidiaries) will enter into with one or more financial institutions, the net proceeds of which shall be used by Post to refinance and repay a portion of the term loan under Post’s existing credit agreement;</w:t>
      </w:r>
    </w:p>
    <w:p>
      <w:pPr>
        <w:spacing w:after="0" w:line="18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in connection with the IPO, the Parties shall effect the Formation Transactions pursuant to which, among other things, the BellRing Business shall be separated from the Post Business, as more fully described in this Agreement;</w:t>
      </w:r>
    </w:p>
    <w:p>
      <w:pPr>
        <w:spacing w:after="0" w:line="170"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WHEREAS, by means of the Transfer and Assumption Documents, the BellRing Assets shall be transferred by Post and its applicable Subsidiaries to BellRing LLC and its applicable Subsidiaries, and the BellRing Liabilities shall be assumed by BellRing LLC and its applicable Subsidiaries, as more fully described in this Agreement and the Ancillary Agreements, and the Parties intend for such transfer to be treated for U.S. federal income tax purposes as a tax-free contribution of the BellRing Assets to BellRing LLC by Post under Section 721(a) of the Code;</w:t>
      </w:r>
    </w:p>
    <w:p>
      <w:pPr>
        <w:spacing w:after="0" w:line="156"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WHEREAS, the Parties desire to set forth in this Agreement (a) the principal transactions and other actions required to effect the Formation Transactions and the IPO and (b) certain agreements that will, following consummation of the Formation Transactions and the IPO, govern the relationship of the Parties and their respective Groups (as applicable).</w:t>
      </w:r>
    </w:p>
    <w:p>
      <w:pPr>
        <w:spacing w:after="0" w:line="183"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 Blocker</w:t>
      </w:r>
      <w:r>
        <w:rPr>
          <w:rFonts w:ascii="Arial" w:cs="Arial" w:eastAsia="Arial" w:hAnsi="Arial"/>
          <w:sz w:val="18"/>
          <w:szCs w:val="18"/>
          <w:color w:val="auto"/>
        </w:rPr>
        <w:t>” shall mean TA/DEI-A Acquisition Corp., a Delaware corporation.</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Payable</w:t>
      </w:r>
      <w:r>
        <w:rPr>
          <w:rFonts w:ascii="Arial" w:cs="Arial" w:eastAsia="Arial" w:hAnsi="Arial"/>
          <w:sz w:val="18"/>
          <w:szCs w:val="18"/>
          <w:color w:val="auto"/>
        </w:rPr>
        <w:t>” shall mean any and all trade and non-trade accounts payable of Post or BellRing LLC or any other member of their respective Groups.</w:t>
      </w:r>
    </w:p>
    <w:p>
      <w:pPr>
        <w:sectPr>
          <w:pgSz w:w="11900" w:h="16838" w:orient="portrait"/>
          <w:cols w:equalWidth="0" w:num="1">
            <w:col w:w="10960"/>
          </w:cols>
          <w:pgMar w:left="460" w:top="274" w:right="479" w:bottom="1440" w:gutter="0" w:footer="0" w:header="0"/>
        </w:sectPr>
      </w:pPr>
    </w:p>
    <w:bookmarkStart w:id="274" w:name="page275"/>
    <w:bookmarkEnd w:id="274"/>
    <w:p>
      <w:pPr>
        <w:ind w:right="4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Accounts Receivable</w:t>
      </w:r>
      <w:r>
        <w:rPr>
          <w:rFonts w:ascii="Arial" w:cs="Arial" w:eastAsia="Arial" w:hAnsi="Arial"/>
          <w:sz w:val="18"/>
          <w:szCs w:val="18"/>
          <w:color w:val="auto"/>
        </w:rPr>
        <w:t>” shall mean any and all trade and non-trade accounts receivable of Post or BellRing LLC or any other member of their respective Groups.</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Nutrition Entities</w:t>
      </w:r>
      <w:r>
        <w:rPr>
          <w:rFonts w:ascii="Arial" w:cs="Arial" w:eastAsia="Arial" w:hAnsi="Arial"/>
          <w:sz w:val="18"/>
          <w:szCs w:val="18"/>
          <w:color w:val="auto"/>
        </w:rPr>
        <w:t xml:space="preserve">” shall mean the entities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prior to, at and after the Effective Time, for purposes of this Agreement and the Ancillary Agreements, except as otherwise specifically provided in this Agreement or any of the Ancillary Agreements (a) none of BellRing Inc., BellRing LLC or any other member of the BellRing Group shall be deemed to be an Affiliate of any member of the Post Group and (b) none of BellRing Inc., Post or any other member of the Post Group shall be deemed to be an Affiliate of any member of the BellRing Group.</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6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mean all agreements (other than this Agreement) entered into by any of the Parties or the members of their respective Groups (but as to which no Third Party is a party) in connection with the Formation Transactions and the IPO or the other transactions contemplated by this Agreement, including the Employee Matters Agreement, the Investor Rights Agreement, the License Agreement, the BellRing Limited Liability Company Agreement, the Tax Matters Agreement, the Tax Receivable Agreement, the Master Services Agreement and the Transfer and Assumption Documents.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Nutrition International</w:t>
      </w:r>
      <w:r>
        <w:rPr>
          <w:rFonts w:ascii="Arial" w:cs="Arial" w:eastAsia="Arial" w:hAnsi="Arial"/>
          <w:sz w:val="18"/>
          <w:szCs w:val="18"/>
          <w:color w:val="auto"/>
        </w:rPr>
        <w:t>” shall mean Active Nutrition International GmbH, a German limited liability company.</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Approvals or Notifications</w:t>
      </w:r>
      <w:r>
        <w:rPr>
          <w:rFonts w:ascii="Arial" w:cs="Arial" w:eastAsia="Arial" w:hAnsi="Arial"/>
          <w:sz w:val="18"/>
          <w:szCs w:val="18"/>
          <w:color w:val="auto"/>
        </w:rPr>
        <w:t>” shall mean any consents, waivers, approvals, permits or authorizations to be obtained from, notices, registrations or reports to be submitted to, or other filings to be made with, any third Person, including any Governmental Authority, including any filings relating to transfer or other Taxes.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mean Post Acquisition Sub IV, LLC, a Delaware limited liability company.</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shall mean, with respect to any Person, the assets, properties, claims and rights (including goodwill) of such Person, wherever located (including in the possession of vendors or other third Persons or elsewhere), of every kind, character and description, whether real, personal or mixed, tangible (including Tangible Personal Property), intangible or contingent, in each case whether or not recorded or reflected or required to be recorded or reflected on the books and records or financial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275" w:name="page276"/>
    <w:bookmarkEnd w:id="275"/>
    <w:p>
      <w:pPr>
        <w:ind w:left="10"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of such Person, including rights and benefits pursuant to any contract, license, permit, indenture, note, bond, mortgage, agreement, concession, franchise, instrument, undertaking, commitment, understanding or other arrangement.</w:t>
      </w:r>
    </w:p>
    <w:p>
      <w:pPr>
        <w:spacing w:after="0" w:line="170" w:lineRule="exact"/>
        <w:rPr>
          <w:sz w:val="20"/>
          <w:szCs w:val="20"/>
          <w:color w:val="auto"/>
        </w:rPr>
      </w:pPr>
    </w:p>
    <w:p>
      <w:pPr>
        <w:ind w:left="1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 Blockers</w:t>
      </w:r>
      <w:r>
        <w:rPr>
          <w:rFonts w:ascii="Arial" w:cs="Arial" w:eastAsia="Arial" w:hAnsi="Arial"/>
          <w:sz w:val="18"/>
          <w:szCs w:val="18"/>
          <w:color w:val="auto"/>
        </w:rPr>
        <w:t>” shall mean, collectively, (i) TA/DEI-B1 Acquisition Corp., a Delaware corporation, (ii) TA/DEI-B2 Acquisition Corp., a Delaware corporation and (iii) TA/DEI-B3 Acquisition Corp., a Delaware corporation.</w:t>
      </w:r>
    </w:p>
    <w:p>
      <w:pPr>
        <w:spacing w:after="0" w:line="170" w:lineRule="exact"/>
        <w:rPr>
          <w:sz w:val="20"/>
          <w:szCs w:val="20"/>
          <w:color w:val="auto"/>
        </w:rPr>
      </w:pPr>
    </w:p>
    <w:p>
      <w:pPr>
        <w:ind w:left="1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Accounts Payable</w:t>
      </w:r>
      <w:r>
        <w:rPr>
          <w:rFonts w:ascii="Arial" w:cs="Arial" w:eastAsia="Arial" w:hAnsi="Arial"/>
          <w:sz w:val="18"/>
          <w:szCs w:val="18"/>
          <w:color w:val="auto"/>
        </w:rPr>
        <w:t>” shall mean any and all Accounts Payable outstanding as of immediately prior to the Effective Time, to the extent related to the BellRing Business or arising out of any BellRing Contract.</w:t>
      </w:r>
    </w:p>
    <w:p>
      <w:pPr>
        <w:spacing w:after="0" w:line="170" w:lineRule="exact"/>
        <w:rPr>
          <w:sz w:val="20"/>
          <w:szCs w:val="20"/>
          <w:color w:val="auto"/>
        </w:rPr>
      </w:pPr>
    </w:p>
    <w:p>
      <w:pPr>
        <w:ind w:left="1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Accounts Receivable</w:t>
      </w:r>
      <w:r>
        <w:rPr>
          <w:rFonts w:ascii="Arial" w:cs="Arial" w:eastAsia="Arial" w:hAnsi="Arial"/>
          <w:sz w:val="18"/>
          <w:szCs w:val="18"/>
          <w:color w:val="auto"/>
        </w:rPr>
        <w:t>” shall mean any and all Accounts Receivable outstanding as of immediately prior to the Effective Time, to the extent related to the BellRing Business or arising out of any BellRing Contract.</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1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Balance Sheet</w:t>
      </w:r>
      <w:r>
        <w:rPr>
          <w:rFonts w:ascii="Arial" w:cs="Arial" w:eastAsia="Arial" w:hAnsi="Arial"/>
          <w:sz w:val="18"/>
          <w:szCs w:val="18"/>
          <w:color w:val="auto"/>
        </w:rPr>
        <w:t>” shall mean the actual condensed consolidated balance sheet of the BellRing Business, as of June 30, 2019 as presented in the IPO Registration Statement.</w:t>
      </w:r>
    </w:p>
    <w:p>
      <w:pPr>
        <w:spacing w:after="0" w:line="170" w:lineRule="exact"/>
        <w:rPr>
          <w:sz w:val="20"/>
          <w:szCs w:val="20"/>
          <w:color w:val="auto"/>
        </w:rPr>
      </w:pPr>
    </w:p>
    <w:p>
      <w:pPr>
        <w:ind w:left="1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Business</w:t>
      </w:r>
      <w:r>
        <w:rPr>
          <w:rFonts w:ascii="Arial" w:cs="Arial" w:eastAsia="Arial" w:hAnsi="Arial"/>
          <w:sz w:val="18"/>
          <w:szCs w:val="18"/>
          <w:color w:val="auto"/>
        </w:rPr>
        <w:t>” shall mean the business, operations and activities of Post’s Active Nutrition business conducted immediately prior to the Effective Time as described in the IPO Registration Statement.</w:t>
      </w:r>
    </w:p>
    <w:p>
      <w:pPr>
        <w:spacing w:after="0" w:line="170" w:lineRule="exact"/>
        <w:rPr>
          <w:sz w:val="20"/>
          <w:szCs w:val="20"/>
          <w:color w:val="auto"/>
        </w:rPr>
      </w:pPr>
    </w:p>
    <w:p>
      <w:pPr>
        <w:ind w:left="1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Contracts</w:t>
      </w:r>
      <w:r>
        <w:rPr>
          <w:rFonts w:ascii="Arial" w:cs="Arial" w:eastAsia="Arial" w:hAnsi="Arial"/>
          <w:sz w:val="16"/>
          <w:szCs w:val="16"/>
          <w:color w:val="auto"/>
        </w:rPr>
        <w:t xml:space="preserve">” shall mean the following contracts and agreements to which BellRing Inc. or either of Post or BellRing LLC or any other member of their respective Groups ,as applicable, is a party or by which they or any member of their respective Groups or any of their respective Assets is bound, whether or not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BellRing Contracts shall not include any contract or agreement that (i) is set forth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or</w:t>
      </w:r>
    </w:p>
    <w:p>
      <w:pPr>
        <w:spacing w:after="0" w:line="2" w:lineRule="exact"/>
        <w:rPr>
          <w:sz w:val="20"/>
          <w:szCs w:val="20"/>
          <w:color w:val="auto"/>
        </w:rPr>
      </w:pPr>
    </w:p>
    <w:p>
      <w:pPr>
        <w:ind w:left="10" w:right="160" w:hanging="10"/>
        <w:spacing w:after="0" w:line="260" w:lineRule="auto"/>
        <w:tabs>
          <w:tab w:leader="none" w:pos="27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shall be retained by BellRing Inc., Post or any other member of the Post Group from and after the Effective Time pursuant to any provision of this Agreement or any Ancillary Agreement:</w:t>
      </w:r>
    </w:p>
    <w:p>
      <w:pPr>
        <w:spacing w:after="0" w:line="184" w:lineRule="exact"/>
        <w:rPr>
          <w:rFonts w:ascii="Arial" w:cs="Arial" w:eastAsia="Arial" w:hAnsi="Arial"/>
          <w:sz w:val="18"/>
          <w:szCs w:val="18"/>
          <w:color w:val="auto"/>
        </w:rPr>
      </w:pPr>
    </w:p>
    <w:p>
      <w:pPr>
        <w:ind w:left="1370" w:hanging="379"/>
        <w:spacing w:after="0"/>
        <w:tabs>
          <w:tab w:leader="none" w:pos="137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any contract or agreement entered into prior to the Effective Time exclusively related to the BellRing Business, including the</w:t>
      </w:r>
    </w:p>
    <w:p>
      <w:pPr>
        <w:spacing w:after="0" w:line="34" w:lineRule="exact"/>
        <w:rPr>
          <w:rFonts w:ascii="Arial" w:cs="Arial" w:eastAsia="Arial" w:hAnsi="Arial"/>
          <w:sz w:val="17"/>
          <w:szCs w:val="17"/>
          <w:color w:val="auto"/>
        </w:rPr>
      </w:pPr>
    </w:p>
    <w:p>
      <w:pPr>
        <w:ind w:left="10"/>
        <w:spacing w:after="0"/>
        <w:rPr>
          <w:rFonts w:ascii="Arial" w:cs="Arial" w:eastAsia="Arial" w:hAnsi="Arial"/>
          <w:sz w:val="17"/>
          <w:szCs w:val="17"/>
          <w:color w:val="auto"/>
        </w:rPr>
      </w:pPr>
      <w:r>
        <w:rPr>
          <w:rFonts w:ascii="Arial" w:cs="Arial" w:eastAsia="Arial" w:hAnsi="Arial"/>
          <w:sz w:val="18"/>
          <w:szCs w:val="18"/>
          <w:color w:val="auto"/>
        </w:rPr>
        <w:t>BellRing Leases;</w:t>
      </w:r>
    </w:p>
    <w:p>
      <w:pPr>
        <w:spacing w:after="0" w:line="210" w:lineRule="exact"/>
        <w:rPr>
          <w:rFonts w:ascii="Arial" w:cs="Arial" w:eastAsia="Arial" w:hAnsi="Arial"/>
          <w:sz w:val="17"/>
          <w:szCs w:val="17"/>
          <w:color w:val="auto"/>
        </w:rPr>
      </w:pPr>
    </w:p>
    <w:p>
      <w:pPr>
        <w:jc w:val="both"/>
        <w:ind w:left="10" w:right="40" w:firstLine="981"/>
        <w:spacing w:after="0" w:line="341" w:lineRule="auto"/>
        <w:tabs>
          <w:tab w:leader="none" w:pos="139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guarantee, indemnity, representation, covenant, warranty or other liability of BellRing Inc. or either of Post or BellRing LLC or any other member of their respective Groups, as applicable, in respect of any other BellRing Contract, any BellRing Liability or the BellRing Business;</w:t>
      </w:r>
    </w:p>
    <w:p>
      <w:pPr>
        <w:spacing w:after="0" w:line="124" w:lineRule="exact"/>
        <w:rPr>
          <w:rFonts w:ascii="Arial" w:cs="Arial" w:eastAsia="Arial" w:hAnsi="Arial"/>
          <w:sz w:val="16"/>
          <w:szCs w:val="16"/>
          <w:color w:val="auto"/>
        </w:rPr>
      </w:pPr>
    </w:p>
    <w:p>
      <w:pPr>
        <w:ind w:left="10" w:right="80" w:firstLine="981"/>
        <w:spacing w:after="0" w:line="263" w:lineRule="auto"/>
        <w:tabs>
          <w:tab w:leader="none" w:pos="13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proprietary information and inventions agreement or similar Intellectual Property Rights assignment or license agreement with any current or former BellRing Group employee, Post Group employee, consultant of the BellRing Group or consultant of the Post Group, in each case entered into prior to the Effective Time that is exclusively related to the BellRing Business;</w:t>
      </w:r>
    </w:p>
    <w:p>
      <w:pPr>
        <w:spacing w:after="0" w:line="182" w:lineRule="exact"/>
        <w:rPr>
          <w:rFonts w:ascii="Arial" w:cs="Arial" w:eastAsia="Arial" w:hAnsi="Arial"/>
          <w:sz w:val="18"/>
          <w:szCs w:val="18"/>
          <w:color w:val="auto"/>
        </w:rPr>
      </w:pPr>
    </w:p>
    <w:p>
      <w:pPr>
        <w:ind w:left="10" w:right="500" w:firstLine="981"/>
        <w:spacing w:after="0" w:line="307" w:lineRule="auto"/>
        <w:tabs>
          <w:tab w:leader="none" w:pos="139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any contract or agreement that is expressly contemplated pursuant to this Agreement or any of the Ancillary Agreements to be assigned to, or to be a contract or agreement in the name of, BellRing LLC or any other member of the BellRing Group; and</w:t>
      </w:r>
    </w:p>
    <w:p>
      <w:pPr>
        <w:spacing w:after="0" w:line="147" w:lineRule="exact"/>
        <w:rPr>
          <w:rFonts w:ascii="Arial" w:cs="Arial" w:eastAsia="Arial" w:hAnsi="Arial"/>
          <w:sz w:val="17"/>
          <w:szCs w:val="17"/>
          <w:color w:val="auto"/>
        </w:rPr>
      </w:pPr>
    </w:p>
    <w:p>
      <w:pPr>
        <w:ind w:left="10" w:right="120" w:firstLine="981"/>
        <w:spacing w:after="0" w:line="277" w:lineRule="auto"/>
        <w:tabs>
          <w:tab w:leader="none" w:pos="13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any contracts, agreements or settlements set forth on </w:t>
      </w:r>
      <w:r>
        <w:rPr>
          <w:rFonts w:ascii="Arial" w:cs="Arial" w:eastAsia="Arial" w:hAnsi="Arial"/>
          <w:sz w:val="18"/>
          <w:szCs w:val="18"/>
          <w:u w:val="single" w:color="auto"/>
          <w:color w:val="auto"/>
        </w:rPr>
        <w:t>Schedule 1.3</w:t>
      </w:r>
      <w:r>
        <w:rPr>
          <w:rFonts w:ascii="Arial" w:cs="Arial" w:eastAsia="Arial" w:hAnsi="Arial"/>
          <w:sz w:val="18"/>
          <w:szCs w:val="18"/>
          <w:color w:val="auto"/>
        </w:rPr>
        <w:t>, including the right to recover any amounts under such contracts, agreements or settlements.</w:t>
      </w:r>
    </w:p>
    <w:p>
      <w:pPr>
        <w:spacing w:after="0" w:line="102"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50"/>
          </w:cols>
          <w:pgMar w:left="450" w:top="274" w:right="499" w:bottom="1440" w:gutter="0" w:footer="0" w:header="0"/>
        </w:sectPr>
      </w:pPr>
    </w:p>
    <w:bookmarkStart w:id="276" w:name="page277"/>
    <w:bookmarkEnd w:id="27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BellRing Designees</w:t>
      </w:r>
      <w:r>
        <w:rPr>
          <w:rFonts w:ascii="Arial" w:cs="Arial" w:eastAsia="Arial" w:hAnsi="Arial"/>
          <w:sz w:val="18"/>
          <w:szCs w:val="18"/>
          <w:color w:val="auto"/>
        </w:rPr>
        <w:t>” shall mean any and all entities (including corporations, general or limited partnerships, trusts, joint ventures, unincorporated organizations, limited liability entities or other entities) designated by Post that will be members of the BellRing Group as of immediately prior to the Effective Time.</w:t>
      </w:r>
    </w:p>
    <w:p>
      <w:pPr>
        <w:spacing w:after="0" w:line="183"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Group</w:t>
      </w:r>
      <w:r>
        <w:rPr>
          <w:rFonts w:ascii="Arial" w:cs="Arial" w:eastAsia="Arial" w:hAnsi="Arial"/>
          <w:sz w:val="18"/>
          <w:szCs w:val="18"/>
          <w:color w:val="auto"/>
        </w:rPr>
        <w:t xml:space="preserve">” shall mean (a) BellRing LLC, (b) each Subsidiary of BellRing LLC immediately after the Effective Time, including the Active Nutrition Entities, and (c) each other Person that is controlled directly or indirectly by BellRing LLC immediately after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for the avoidance of doubt, that, except as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w:t>
      </w:r>
      <w:r>
        <w:rPr>
          <w:rFonts w:ascii="Arial" w:cs="Arial" w:eastAsia="Arial" w:hAnsi="Arial"/>
          <w:sz w:val="18"/>
          <w:szCs w:val="18"/>
          <w:color w:val="auto"/>
        </w:rPr>
        <w:t>, BellRing Inc. shall not be deemed to be a member of the BellRing Group.</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Auditors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Bylaws</w:t>
      </w:r>
      <w:r>
        <w:rPr>
          <w:rFonts w:ascii="Arial" w:cs="Arial" w:eastAsia="Arial" w:hAnsi="Arial"/>
          <w:sz w:val="18"/>
          <w:szCs w:val="18"/>
          <w:color w:val="auto"/>
        </w:rPr>
        <w:t>” shall mean the Amended and Restated Bylaws of BellRing Inc., substantially in the form attached as Exhibit 3.2 to the IPO Registration Statement, as they may be amended from time to time.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Certificate of Incorporation</w:t>
      </w:r>
      <w:r>
        <w:rPr>
          <w:rFonts w:ascii="Arial" w:cs="Arial" w:eastAsia="Arial" w:hAnsi="Arial"/>
          <w:sz w:val="18"/>
          <w:szCs w:val="18"/>
          <w:color w:val="auto"/>
        </w:rPr>
        <w:t>” shall mean the Amended and Restated Certificate of Incorporation of BellRing Inc., substantially in the form attached as Exhibit 3.1 to the IPO Registration Statement,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Class A Common Stock</w:t>
      </w:r>
      <w:r>
        <w:rPr>
          <w:rFonts w:ascii="Arial" w:cs="Arial" w:eastAsia="Arial" w:hAnsi="Arial"/>
          <w:sz w:val="18"/>
          <w:szCs w:val="18"/>
          <w:color w:val="auto"/>
        </w:rPr>
        <w:t>” shall mean the class A common stock, par value $0.01 per share, of BellRing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Inc. Class B Common Stock</w:t>
      </w:r>
      <w:r>
        <w:rPr>
          <w:rFonts w:ascii="Arial" w:cs="Arial" w:eastAsia="Arial" w:hAnsi="Arial"/>
          <w:sz w:val="18"/>
          <w:szCs w:val="18"/>
          <w:color w:val="auto"/>
        </w:rPr>
        <w:t>” shall mean the class B common stock, par value $0.01 per share, of BellRing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Intellectual Property Rights</w:t>
      </w:r>
      <w:r>
        <w:rPr>
          <w:rFonts w:ascii="Arial" w:cs="Arial" w:eastAsia="Arial" w:hAnsi="Arial"/>
          <w:sz w:val="17"/>
          <w:szCs w:val="17"/>
          <w:color w:val="auto"/>
        </w:rPr>
        <w:t>” shall mean all (a) Intellectual Property Rights owned by either Post or BellRing LLC or any other member of their respective Groups that are exclusively used or exclusively held for use in the BellRing Business as of immediately prior to the Effective Time and (b) the right to all past and future damages and claims for the infringement or misappropriation of any of the foregoing.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Inventory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Leases</w:t>
      </w:r>
      <w:r>
        <w:rPr>
          <w:rFonts w:ascii="Arial" w:cs="Arial" w:eastAsia="Arial" w:hAnsi="Arial"/>
          <w:sz w:val="18"/>
          <w:szCs w:val="18"/>
          <w:color w:val="auto"/>
        </w:rPr>
        <w:t>” shall have the meaning set forth in the definition of BellRing Real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Limited Liability Company Agreement</w:t>
      </w:r>
      <w:r>
        <w:rPr>
          <w:rFonts w:ascii="Arial" w:cs="Arial" w:eastAsia="Arial" w:hAnsi="Arial"/>
          <w:sz w:val="18"/>
          <w:szCs w:val="18"/>
          <w:color w:val="auto"/>
        </w:rPr>
        <w:t>” shall mean the Amended and Restated Limited Liability Company Agreement of BellRing LLC to be entered into by and among BellRing Inc and Post and BellRing LLC or the members of their respective Groups, as applicable, in connection with the Formation Transactions and the IPO or the other transactions contemplated by this Agreement, substantially in the form attached as Exhibit 10.4 to the IPO Registration Statement, as it may be amended from time to time.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shall have the meaning set forth in the Preamble.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277" w:name="page278"/>
    <w:bookmarkEnd w:id="2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BellRing LLC Auditors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Managers</w:t>
      </w:r>
      <w:r>
        <w:rPr>
          <w:rFonts w:ascii="Arial" w:cs="Arial" w:eastAsia="Arial" w:hAnsi="Arial"/>
          <w:sz w:val="18"/>
          <w:szCs w:val="18"/>
          <w:color w:val="auto"/>
        </w:rPr>
        <w:t>” shall have the same meaning as “Managers” under the BellRing Limited Liability Company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Nonvoting Unit</w:t>
      </w:r>
      <w:r>
        <w:rPr>
          <w:rFonts w:ascii="Arial" w:cs="Arial" w:eastAsia="Arial" w:hAnsi="Arial"/>
          <w:sz w:val="18"/>
          <w:szCs w:val="18"/>
          <w:color w:val="auto"/>
        </w:rPr>
        <w:t>” shall mean a “Nonvoting Common Unit” under the BellRing Limited Liability Company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Voting Unit</w:t>
      </w:r>
      <w:r>
        <w:rPr>
          <w:rFonts w:ascii="Arial" w:cs="Arial" w:eastAsia="Arial" w:hAnsi="Arial"/>
          <w:sz w:val="18"/>
          <w:szCs w:val="18"/>
          <w:color w:val="auto"/>
        </w:rPr>
        <w:t>” shall mean the “Voting Common Unit” under the BellRing Limited Liability Company Agreement.</w:t>
      </w:r>
    </w:p>
    <w:p>
      <w:pPr>
        <w:spacing w:after="0" w:line="225" w:lineRule="exact"/>
        <w:rPr>
          <w:sz w:val="20"/>
          <w:szCs w:val="20"/>
          <w:color w:val="auto"/>
        </w:rPr>
      </w:pPr>
    </w:p>
    <w:p>
      <w:pPr>
        <w:jc w:val="both"/>
        <w:ind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Marks</w:t>
      </w:r>
      <w:r>
        <w:rPr>
          <w:rFonts w:ascii="Arial" w:cs="Arial" w:eastAsia="Arial" w:hAnsi="Arial"/>
          <w:sz w:val="16"/>
          <w:szCs w:val="16"/>
          <w:color w:val="auto"/>
        </w:rPr>
        <w:t>” shall mean the names, marks, trade dress, logos, monograms, domain names and other source or business identifiers (“</w:t>
      </w:r>
      <w:r>
        <w:rPr>
          <w:rFonts w:ascii="Arial" w:cs="Arial" w:eastAsia="Arial" w:hAnsi="Arial"/>
          <w:sz w:val="16"/>
          <w:szCs w:val="16"/>
          <w:u w:val="single" w:color="auto"/>
          <w:color w:val="auto"/>
        </w:rPr>
        <w:t>Marks</w:t>
      </w:r>
      <w:r>
        <w:rPr>
          <w:rFonts w:ascii="Arial" w:cs="Arial" w:eastAsia="Arial" w:hAnsi="Arial"/>
          <w:sz w:val="16"/>
          <w:szCs w:val="16"/>
          <w:color w:val="auto"/>
        </w:rPr>
        <w:t>”) owned by BellRing LLC or any member of its Group and used in connection with the BellRing Business immediately prior to the Effective Time.</w:t>
      </w:r>
    </w:p>
    <w:p>
      <w:pPr>
        <w:spacing w:after="0" w:line="125" w:lineRule="exact"/>
        <w:rPr>
          <w:sz w:val="20"/>
          <w:szCs w:val="20"/>
          <w:color w:val="auto"/>
        </w:rPr>
      </w:pPr>
    </w:p>
    <w:p>
      <w:pPr>
        <w:ind w:right="70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Permits</w:t>
      </w:r>
      <w:r>
        <w:rPr>
          <w:rFonts w:ascii="Arial" w:cs="Arial" w:eastAsia="Arial" w:hAnsi="Arial"/>
          <w:sz w:val="17"/>
          <w:szCs w:val="17"/>
          <w:color w:val="auto"/>
        </w:rPr>
        <w:t>” shall mean all Permits owned or licensed by any of Post or BellRing LLC or any member of their respective Groups exclusively used or exclusively held for use in the BellRing Business as of immediately prior to the Effective Time.</w:t>
      </w:r>
    </w:p>
    <w:p>
      <w:pPr>
        <w:spacing w:after="0" w:line="14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Products</w:t>
      </w:r>
      <w:r>
        <w:rPr>
          <w:rFonts w:ascii="Arial" w:cs="Arial" w:eastAsia="Arial" w:hAnsi="Arial"/>
          <w:sz w:val="18"/>
          <w:szCs w:val="18"/>
          <w:color w:val="auto"/>
        </w:rPr>
        <w:t>” shall mean all products and services manufactured, supplied, sold, provided or distributed, as the case may be, (a) by Post or BellRing LLC or any member of its Group as of immediately prior to the Effective Time as described in the IPO Registration Statement, and (b) at any time, by BellRing LLC or members of its Group under a BellRing Mark.</w:t>
      </w:r>
    </w:p>
    <w:p>
      <w:pPr>
        <w:spacing w:after="0" w:line="183"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Real Property</w:t>
      </w:r>
      <w:r>
        <w:rPr>
          <w:rFonts w:ascii="Arial" w:cs="Arial" w:eastAsia="Arial" w:hAnsi="Arial"/>
          <w:sz w:val="17"/>
          <w:szCs w:val="17"/>
          <w:color w:val="auto"/>
        </w:rPr>
        <w:t>” shall mean (a) all of the Real Property owned by BellRing LLC or any other member of the BellRing Group as of immediately prior to the Effective Time, (b) the Real Property Leases to which BellRing LLC or a member of the BellRing Group is party as of immediately prior to the Effective Time (the “</w:t>
      </w:r>
      <w:r>
        <w:rPr>
          <w:rFonts w:ascii="Arial" w:cs="Arial" w:eastAsia="Arial" w:hAnsi="Arial"/>
          <w:sz w:val="17"/>
          <w:szCs w:val="17"/>
          <w:u w:val="single" w:color="auto"/>
          <w:color w:val="auto"/>
        </w:rPr>
        <w:t>BellRing Leases</w:t>
      </w:r>
      <w:r>
        <w:rPr>
          <w:rFonts w:ascii="Arial" w:cs="Arial" w:eastAsia="Arial" w:hAnsi="Arial"/>
          <w:sz w:val="17"/>
          <w:szCs w:val="17"/>
          <w:color w:val="auto"/>
        </w:rPr>
        <w:t>”) and (c) all recorded Real Property notices, easements and obligations with respect to the Real Property and/or Real Property leases described in clauses (a) and (b) of this definition.</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Records</w:t>
      </w:r>
      <w:r>
        <w:rPr>
          <w:rFonts w:ascii="Arial" w:cs="Arial" w:eastAsia="Arial" w:hAnsi="Arial"/>
          <w:sz w:val="16"/>
          <w:szCs w:val="16"/>
          <w:color w:val="auto"/>
        </w:rPr>
        <w:t>” shall mean (a) all books and records used in or necessary, as of immediately prior to the Effective Time, for the general financial and administrative operation of the BellRing Business, including financial, employee and general business operating documents, instruments, papers, books, books of account, records and files and data related thereto and (b) all books and records related to or used by BellRing LLC or any member of its Group as of immediately prior to the Effective Time in connection with the manufacture, sourcing, supply chain management, marketing, sale, distribution and warranty of BellRing Products, including vendor and supplier information and records, customer lists, sales records, e Commerce records and data, customer registration and account information, billing and subscription information, marketing materials, customer contracts, terms of use and privacy policies, sales literature catalogs, brochures, sales, warranty and other product information and materials and website content, but excluding any consolidated, combined or unitary returns that include Post or any other member of the Post Group.</w:t>
      </w:r>
    </w:p>
    <w:p>
      <w:pPr>
        <w:spacing w:after="0" w:line="16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Technology</w:t>
      </w:r>
      <w:r>
        <w:rPr>
          <w:rFonts w:ascii="Arial" w:cs="Arial" w:eastAsia="Arial" w:hAnsi="Arial"/>
          <w:sz w:val="18"/>
          <w:szCs w:val="18"/>
          <w:color w:val="auto"/>
        </w:rPr>
        <w:t>” shall mean any Technology owned by either Post or BellRing LLC or any member of their respective Groups that is exclusively used or exclusively held for use in the BellRing Business as of immediately prior to the Effective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Loan</w:t>
      </w:r>
      <w:r>
        <w:rPr>
          <w:rFonts w:ascii="Arial" w:cs="Arial" w:eastAsia="Arial" w:hAnsi="Arial"/>
          <w:sz w:val="18"/>
          <w:szCs w:val="18"/>
          <w:color w:val="auto"/>
        </w:rPr>
        <w:t>” shall have the meaning set forth in the Recitals.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60" w:top="274" w:right="519" w:bottom="1440" w:gutter="0" w:footer="0" w:header="0"/>
        </w:sectPr>
      </w:pPr>
    </w:p>
    <w:bookmarkStart w:id="278" w:name="page279"/>
    <w:bookmarkEnd w:id="278"/>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a Sunday or a day on which banking institutions located in Emeryville, California, St. Louis, Missouri or New York, New York are authorized or obligated by Law or executive order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 with respect to a Party: (a) a transaction whereby any Person or group (within the meaning of Section 13(d)(3) of the Exchange Act) would acquire, directly or indirectly, voting securities representing more than fifty percent (50%) of the total voting power of such Party; (b) a merger, consolidation, recapitalization or reorganization of such Party, unless securities representing more than fifty percent (50%) of the total voting power of the legal successor to such Party as a result of such merger, consolidation, recapitalization or reorganization are immediately thereafter beneficially owned, directly or indirectly, by the Persons who beneficially owned such Party’s outstanding voting securities immediately prior to such transaction; or (c) the sale of all or substantially all of the consolidated assets of such Party’s Group. For the avoidance of doubt, no transaction contemplated by this Agreement shall be considered a Change of Control.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Claim</w:t>
      </w:r>
      <w:r>
        <w:rPr>
          <w:rFonts w:ascii="Arial" w:cs="Arial" w:eastAsia="Arial" w:hAnsi="Arial"/>
          <w:sz w:val="16"/>
          <w:szCs w:val="16"/>
          <w:color w:val="auto"/>
        </w:rPr>
        <w:t>” shall mean any claim, demand, action, suit or proceeding for which a Covered Person shall be entitled to indemnification or advancement of Covered Expenses from both (i) BellRing Inc., BellRing LLC or any other member of the BellRing Group pursuant to the Covered Expense Sources, on the one hand, and (ii) Post or any other member of the Post Group pursuant to any other agreement between Post or any other member of the Post Group and the Covered Person pursuant to which the Covered Person is indemnified, or under the laws of the jurisdiction of incorporation or organization of Post or any other member of the Post Group and/or the certificate or articles of incorporation, certificate or articles of organization, bylaws, partnership agreement, operating agreement, certificate or articles of formation, certificate of limited partnership or other organizational or governing documents of Post or any other member of the Post Group, on the other hand.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Expenses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Expense Sources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means each officer, director, manager, stockholder, member, partner, employee, representative, agent or trustee of BellRing Inc., BellRing LLC or any other member of the BellRing Group, in all cases in such capacity.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BellRing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BellRing Liability</w:t>
      </w:r>
      <w:r>
        <w:rPr>
          <w:rFonts w:ascii="Arial" w:cs="Arial" w:eastAsia="Arial" w:hAnsi="Arial"/>
          <w:sz w:val="18"/>
          <w:szCs w:val="18"/>
          <w:color w:val="auto"/>
        </w:rPr>
        <w:t xml:space="preserve">” shall have the meaning set forth in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Post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Post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Committee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Dymatize Enterprises</w:t>
      </w:r>
      <w:r>
        <w:rPr>
          <w:rFonts w:ascii="Arial" w:cs="Arial" w:eastAsia="Arial" w:hAnsi="Arial"/>
          <w:sz w:val="18"/>
          <w:szCs w:val="18"/>
          <w:color w:val="auto"/>
        </w:rPr>
        <w:t>” means Dymatize Enterprises, LLC, a Delaware limited liability company.</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279" w:name="page280"/>
    <w:bookmarkEnd w:id="2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immediately following the consummation of the IPO on the IPO Closing Date.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shall mean the Employee Matters Agreement to be entered into by and among Post, BellRing Inc. and BellRing LLC or the other members of their respective Groups, as applicable, in connection with the Formation Transactions and the IPO or the other transactions contemplated by this Agreement, substantially in the form attached as Exhibit 10.2 to the IPO Registration Statement, as it may be amended from time to time.</w:t>
      </w:r>
    </w:p>
    <w:p>
      <w:pPr>
        <w:spacing w:after="0" w:line="186"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83"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shall mean all Liabilities relating to, arising out of or resulting from any Hazardous Materials, Environmental Law or contract or agreement relating to environmental, health or safety matters (including all removal, remediation or cleanup costs, investigatory costs, response costs, natural resources damages, property damages, personal injury damages, costs of compliance with any product take back requirements or with any settlement, judgment or other determination of Liability and indemnity, contribution or similar obligations) and all costs and expenses, interest, fines, penalties or other monetary sanctions in connection therewith.</w:t>
      </w:r>
    </w:p>
    <w:p>
      <w:pPr>
        <w:spacing w:after="0" w:line="17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together with the rules and regulations promulgated thereunder.</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embargoes, epidemics,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U.S. generally accepted accounting principles, consistently applied.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shall mean any Approvals or Notifications to be made to, or obtained from, any Governmental Authority.</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BellRing Group or the Post Group, as the context requires.</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80" w:name="page281"/>
    <w:bookmarkEnd w:id="280"/>
    <w:p>
      <w:pPr>
        <w:ind w:left="10" w:right="2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16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 Liabilities</w:t>
      </w:r>
      <w:r>
        <w:rPr>
          <w:rFonts w:ascii="Arial" w:cs="Arial" w:eastAsia="Arial" w:hAnsi="Arial"/>
          <w:sz w:val="18"/>
          <w:szCs w:val="18"/>
          <w:color w:val="auto"/>
        </w:rPr>
        <w:t>” shall mean the independent Liabilities of BellRing Inc. which are not otherwise included in the BellRing Liabilities.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shall mean those monies:</w:t>
      </w:r>
    </w:p>
    <w:p>
      <w:pPr>
        <w:spacing w:after="0" w:line="225" w:lineRule="exact"/>
        <w:rPr>
          <w:sz w:val="20"/>
          <w:szCs w:val="20"/>
          <w:color w:val="auto"/>
        </w:rPr>
      </w:pPr>
    </w:p>
    <w:p>
      <w:pPr>
        <w:ind w:left="1370" w:hanging="379"/>
        <w:spacing w:after="0"/>
        <w:tabs>
          <w:tab w:leader="none" w:pos="137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received by an insured from an insurance carrier; or</w:t>
      </w:r>
    </w:p>
    <w:p>
      <w:pPr>
        <w:spacing w:after="0" w:line="224" w:lineRule="exact"/>
        <w:rPr>
          <w:rFonts w:ascii="Arial" w:cs="Arial" w:eastAsia="Arial" w:hAnsi="Arial"/>
          <w:sz w:val="18"/>
          <w:szCs w:val="18"/>
          <w:color w:val="auto"/>
        </w:rPr>
      </w:pPr>
    </w:p>
    <w:p>
      <w:pPr>
        <w:ind w:left="1390" w:hanging="399"/>
        <w:spacing w:after="0"/>
        <w:tabs>
          <w:tab w:leader="none" w:pos="139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w:t>
      </w:r>
    </w:p>
    <w:p>
      <w:pPr>
        <w:spacing w:after="0" w:line="225" w:lineRule="exact"/>
        <w:rPr>
          <w:sz w:val="20"/>
          <w:szCs w:val="20"/>
          <w:color w:val="auto"/>
        </w:rPr>
      </w:pPr>
    </w:p>
    <w:p>
      <w:pPr>
        <w:ind w:left="10" w:right="100"/>
        <w:spacing w:after="0" w:line="277"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and net of any costs or expenses incurred in the collection thereof.</w:t>
      </w:r>
    </w:p>
    <w:p>
      <w:pPr>
        <w:spacing w:after="0" w:line="170" w:lineRule="exact"/>
        <w:rPr>
          <w:sz w:val="20"/>
          <w:szCs w:val="20"/>
          <w:color w:val="auto"/>
        </w:rPr>
      </w:pPr>
    </w:p>
    <w:p>
      <w:pPr>
        <w:ind w:left="1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common law and statutory rights anywhere in the world arising under or associated with: (i) patents and similar or equivalent rights in inventions and applications and rights or claims of priority therefor, including international applications under the Patent Cooperation Treaty; (ii) all trademarks, service marks, trade names, service names, trade dress, logos and other identifiers of the source or origin of goods and services and all statutory, common law and rights provided by international treaties or conventions in any of the foregoing, (iii) trade secret and industrial secret rights and rights in confidential information; (iv) copyrights and any other equivalent rights in works of authorship (including Software); (v) rights in domain names, uniform resource locators and other names and locators associated with Internet addresses and sites;</w:t>
      </w:r>
    </w:p>
    <w:p>
      <w:pPr>
        <w:spacing w:after="0" w:line="3" w:lineRule="exact"/>
        <w:rPr>
          <w:sz w:val="20"/>
          <w:szCs w:val="20"/>
          <w:color w:val="auto"/>
        </w:rPr>
      </w:pPr>
    </w:p>
    <w:p>
      <w:pPr>
        <w:ind w:left="10" w:right="40" w:hanging="10"/>
        <w:spacing w:after="0" w:line="289" w:lineRule="auto"/>
        <w:tabs>
          <w:tab w:leader="none" w:pos="31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applications for, registrations of and divisions, continuations, continuations-in-part, reissuances, renewals, extensions, restorations and reversions of the foregoing (as applicable); and (vii) all other similar or equivalent intellectual property or proprietary rights anywhere in the world.</w:t>
      </w:r>
    </w:p>
    <w:p>
      <w:pPr>
        <w:spacing w:after="0" w:line="16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25" w:lineRule="exact"/>
        <w:rPr>
          <w:sz w:val="20"/>
          <w:szCs w:val="20"/>
          <w:color w:val="auto"/>
        </w:rPr>
      </w:pPr>
    </w:p>
    <w:p>
      <w:pPr>
        <w:ind w:left="1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shall mean the Investor Rights Agreement to be entered into by and between Post and BellRing Inc. in connection with the Formation Transactions and the IPO or the other transactions contemplated by this Agreement, substantially in the form attached as Exhibit 10.3 to the IPO Registration Statement, as it may be amended from time to time.</w:t>
      </w:r>
    </w:p>
    <w:p>
      <w:pPr>
        <w:spacing w:after="0" w:line="18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Closing Date</w:t>
      </w:r>
      <w:r>
        <w:rPr>
          <w:rFonts w:ascii="Arial" w:cs="Arial" w:eastAsia="Arial" w:hAnsi="Arial"/>
          <w:sz w:val="18"/>
          <w:szCs w:val="18"/>
          <w:color w:val="auto"/>
        </w:rPr>
        <w:t>” shall mean the date on which the consummation of the IPO occurs.</w:t>
      </w:r>
    </w:p>
    <w:p>
      <w:pPr>
        <w:spacing w:after="0" w:line="157" w:lineRule="exact"/>
        <w:rPr>
          <w:sz w:val="20"/>
          <w:szCs w:val="20"/>
          <w:color w:val="auto"/>
        </w:rPr>
      </w:pPr>
    </w:p>
    <w:p>
      <w:pPr>
        <w:ind w:left="545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0"/>
          </w:cols>
          <w:pgMar w:left="450" w:top="274" w:right="459" w:bottom="1440" w:gutter="0" w:footer="0" w:header="0"/>
        </w:sectPr>
      </w:pPr>
    </w:p>
    <w:bookmarkStart w:id="281" w:name="page282"/>
    <w:bookmarkEnd w:id="281"/>
    <w:p>
      <w:pPr>
        <w:jc w:val="both"/>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IPO Registration Statement</w:t>
      </w:r>
      <w:r>
        <w:rPr>
          <w:rFonts w:ascii="Arial" w:cs="Arial" w:eastAsia="Arial" w:hAnsi="Arial"/>
          <w:sz w:val="18"/>
          <w:szCs w:val="18"/>
          <w:color w:val="auto"/>
        </w:rPr>
        <w:t>” shall mean the effective registration statement on Form S-1 (File No. 333- ) filed under the Securities Act, pursuant to which the shares of BellRing Inc. Class A Common Stock to be issued in the IPO will be registered under the Securities Act, together with all amendments thereto.</w:t>
      </w:r>
    </w:p>
    <w:p>
      <w:pPr>
        <w:spacing w:after="0" w:line="183"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48" w:lineRule="exact"/>
        <w:rPr>
          <w:sz w:val="20"/>
          <w:szCs w:val="20"/>
          <w:color w:val="auto"/>
        </w:rPr>
      </w:pPr>
    </w:p>
    <w:p>
      <w:pPr>
        <w:ind w:right="2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any and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 Party Claim), demand, Action or order, writ, judgment, injunction, decree, stipulation, determination or award entered by or with any Governmental Authority or arbitration tribunal, or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 Agreement</w:t>
      </w:r>
      <w:r>
        <w:rPr>
          <w:rFonts w:ascii="Arial" w:cs="Arial" w:eastAsia="Arial" w:hAnsi="Arial"/>
          <w:sz w:val="18"/>
          <w:szCs w:val="18"/>
          <w:color w:val="auto"/>
        </w:rPr>
        <w:t>” shall mean the Trademark and Domain Name License Agreement to be entered into by and among BellRing Inc. and Post and BellRing LLC and certain members of their respective Groups, as applicable, in connection with the Formation Transactions and the IPO or the other transactions contemplated by this Agreement, as it may be amended from time to time.</w:t>
      </w:r>
    </w:p>
    <w:p>
      <w:pPr>
        <w:spacing w:after="0" w:line="183" w:lineRule="exact"/>
        <w:rPr>
          <w:sz w:val="20"/>
          <w:szCs w:val="20"/>
          <w:color w:val="auto"/>
        </w:rPr>
      </w:pPr>
    </w:p>
    <w:p>
      <w:pPr>
        <w:ind w:right="60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actual losses (including any diminution in value), costs, damages, penalties and expenses (including outside legal and accounting fees and expenses and costs of investigation and litigation), whether or not involving a Third Party Claim.</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shall have the meaning set forth in the definition of BellRing Marks.</w:t>
      </w:r>
    </w:p>
    <w:p>
      <w:pPr>
        <w:spacing w:after="0" w:line="225"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shall mean the Master Services Agreement to be entered into by and among Post, BellRing Inc. and BellRing LLC in connection with the Formation Transactions and the IPO or the other transactions contemplated by this Agreement, substantially in the form attached as Exhibit 10.7 to the IPO Registration Statement, as it may be amended from time to time.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shall mean permits, approvals, authorizations, consents, licenses or certificates issued by any Governmental Authority.</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32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Policies</w:t>
      </w:r>
      <w:r>
        <w:rPr>
          <w:rFonts w:ascii="Arial" w:cs="Arial" w:eastAsia="Arial" w:hAnsi="Arial"/>
          <w:sz w:val="16"/>
          <w:szCs w:val="16"/>
          <w:color w:val="auto"/>
        </w:rPr>
        <w:t>” shall mean insurance policies and insurance contracts of any kind, including but not limited to global property, excess and umbrella liability, domestic and foreign commercial general liability, local foreign placements, directors and officers liability, fiduciary liability, cyber/privacy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82" w:name="page283"/>
    <w:bookmarkEnd w:id="28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employment practices liability, domestic and foreign automobile, global ocean marine cargo/inland transit, workers’ compensation and employers’ liability, employee dishonesty/crime/fidelity, special contingency, bonds and self-insurance, together with the rights, benefits, privileges and obligations thereunder.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Auditors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Business</w:t>
      </w:r>
      <w:r>
        <w:rPr>
          <w:rFonts w:ascii="Arial" w:cs="Arial" w:eastAsia="Arial" w:hAnsi="Arial"/>
          <w:sz w:val="18"/>
          <w:szCs w:val="18"/>
          <w:color w:val="auto"/>
        </w:rPr>
        <w:t>” shall mean all businesses, operations and activities conducted at any time prior to the Effective Time by either Post or BellRing LLC or any other member of their respective Groups, other than the BellRing Business.</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Credit Agreement</w:t>
      </w:r>
      <w:r>
        <w:rPr>
          <w:rFonts w:ascii="Arial" w:cs="Arial" w:eastAsia="Arial" w:hAnsi="Arial"/>
          <w:sz w:val="18"/>
          <w:szCs w:val="18"/>
          <w:color w:val="auto"/>
        </w:rPr>
        <w:t>” shall mean that certain Amended and Restated Credit Agreement, dated as of March 28, 2017, among Post, Barclays Bank PLC, as Administrative Agent, and certain other lenders party thereto from time to time, as it has been amended, modified or supplemented from time to time.</w:t>
      </w:r>
    </w:p>
    <w:p>
      <w:pPr>
        <w:spacing w:after="0" w:line="183" w:lineRule="exact"/>
        <w:rPr>
          <w:sz w:val="20"/>
          <w:szCs w:val="20"/>
          <w:color w:val="auto"/>
        </w:rPr>
      </w:pPr>
    </w:p>
    <w:p>
      <w:pPr>
        <w:ind w:right="52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 Group</w:t>
      </w:r>
      <w:r>
        <w:rPr>
          <w:rFonts w:ascii="Arial" w:cs="Arial" w:eastAsia="Arial" w:hAnsi="Arial"/>
          <w:sz w:val="17"/>
          <w:szCs w:val="17"/>
          <w:color w:val="auto"/>
        </w:rPr>
        <w:t xml:space="preserve">” shall mean Post and each Person that is a Subsidiary of Post (other than BellRing LLC and any other member of the BellRing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for the avoidance of doubt, BellRing Inc. shall not be deemed to be a member of the Post Group.</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Indentures</w:t>
      </w:r>
      <w:r>
        <w:rPr>
          <w:rFonts w:ascii="Arial" w:cs="Arial" w:eastAsia="Arial" w:hAnsi="Arial"/>
          <w:sz w:val="16"/>
          <w:szCs w:val="16"/>
          <w:color w:val="auto"/>
        </w:rPr>
        <w:t>” shall mean (i) that certain Indenture dated as of August 18, 2015 among Post, the Guarantors (as defined therein) party thereto and Wells Fargo Bank, National Association, as Trustee, regarding 8.00% Senior Notes due 2025, (ii) that certain Indenture dated as of August 3, 2016 among Post, the Guarantors (as defined therein) party thereto and Wells Fargo Bank, National Association, as Trustee, regarding 5.00% Senior Notes due 2026, (iii) that certain Indenture dated as of February 14, 2017 among Post, the Guarantors (as defined therein) party thereto and Wells Fargo Bank, National Association, as Trustee, regarding 5.50% Senior Notes due 2025, (iv) that certain Indenture dated as of February 14, 2017 among Post, the Guarantors (as defined therein) party thereto and Wells Fargo Bank, National Association, as Trustee, regarding 5.75% Senior Notes due 2027, (v) that certain Indenture dated as of December 1, 2017 among Post, the Guarantors (as defined therein) party thereto and Wells Fargo Bank, National Association, as Trustee, regarding 5.625% Senior Notes due 2028, and (vi) that certain Indenture dated as of July 3, 2019 among Post, the Guarantors (as defined therein) party thereto and Wells Fargo Bank, National Association, as Trustee, regarding 5.50% Senior Notes due 2029.</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Intellectual Property Rights</w:t>
      </w:r>
      <w:r>
        <w:rPr>
          <w:rFonts w:ascii="Arial" w:cs="Arial" w:eastAsia="Arial" w:hAnsi="Arial"/>
          <w:sz w:val="18"/>
          <w:szCs w:val="18"/>
          <w:color w:val="auto"/>
        </w:rPr>
        <w:t>” shall mean all Intellectual Property Rights, other than BellRing Intellectual Property Rights, owned by either of Post or BellRing LLC or any other member of their respective Groups as of immediately prior to the Effective Time.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Inventory</w:t>
      </w:r>
      <w:r>
        <w:rPr>
          <w:rFonts w:ascii="Arial" w:cs="Arial" w:eastAsia="Arial" w:hAnsi="Arial"/>
          <w:sz w:val="18"/>
          <w:szCs w:val="18"/>
          <w:color w:val="auto"/>
        </w:rPr>
        <w:t>” shall mean all Inventory, other than BellRing Inventory, owned by either Post or BellRing LLC or any other member of their respective Groups as of immediately prior to the Effective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4" w:right="439" w:bottom="1440" w:gutter="0" w:footer="0" w:header="0"/>
        </w:sectPr>
      </w:pPr>
    </w:p>
    <w:bookmarkStart w:id="283" w:name="page284"/>
    <w:bookmarkEnd w:id="28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Post Marks</w:t>
      </w:r>
      <w:r>
        <w:rPr>
          <w:rFonts w:ascii="Arial" w:cs="Arial" w:eastAsia="Arial" w:hAnsi="Arial"/>
          <w:sz w:val="18"/>
          <w:szCs w:val="18"/>
          <w:color w:val="auto"/>
        </w:rPr>
        <w:t>” shall mean all Marks, other than the BellRing Marks, owned by either Post or BellRing LLC or any other member of their respective Groups as of immediately prior to the Effective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Public Filings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6.1(i)</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Technology</w:t>
      </w:r>
      <w:r>
        <w:rPr>
          <w:rFonts w:ascii="Arial" w:cs="Arial" w:eastAsia="Arial" w:hAnsi="Arial"/>
          <w:sz w:val="18"/>
          <w:szCs w:val="18"/>
          <w:color w:val="auto"/>
        </w:rPr>
        <w:t>” shall mean all Technology, other than BellRing Technology, owned by either Post or BellRing LLC or any other member of their respective Groups as of immediately prior to the Effective Time.</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Premier Nutrition</w:t>
      </w:r>
      <w:r>
        <w:rPr>
          <w:rFonts w:ascii="Arial" w:cs="Arial" w:eastAsia="Arial" w:hAnsi="Arial"/>
          <w:sz w:val="18"/>
          <w:szCs w:val="18"/>
          <w:color w:val="auto"/>
        </w:rPr>
        <w:t>” shall mean Premier Nutrition Company, LLC, a Delaware limited liability company, successor-by-conversion to, and formerly known as, Premier Nutrition Corporation, a Delaware corporation.</w:t>
      </w:r>
    </w:p>
    <w:p>
      <w:pPr>
        <w:spacing w:after="0" w:line="170" w:lineRule="exact"/>
        <w:rPr>
          <w:sz w:val="20"/>
          <w:szCs w:val="20"/>
          <w:color w:val="auto"/>
        </w:rPr>
      </w:pPr>
    </w:p>
    <w:p>
      <w:pPr>
        <w:ind w:right="68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shall mean the rate that JPMorgan Chase Bank, National Association (or any successor thereto or other major money center commercial bank agreed to by the Parties) announces from time to time as its prime lending rate, as in effect from time to time.</w:t>
      </w:r>
    </w:p>
    <w:p>
      <w:pPr>
        <w:spacing w:after="0" w:line="14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Privileged Information</w:t>
      </w:r>
      <w:r>
        <w:rPr>
          <w:rFonts w:ascii="Arial" w:cs="Arial" w:eastAsia="Arial" w:hAnsi="Arial"/>
          <w:sz w:val="18"/>
          <w:szCs w:val="18"/>
          <w:color w:val="auto"/>
        </w:rPr>
        <w:t>” shall mean any information, in written, oral, electronic or other tangible or intangible forms, including without limitation any communications by or to attorneys (including attorney-client privileged communications), memoranda and other materials protected by the work product doctrine, as to which a Party or any member of its Group would be entitled to assert or have asserted a privilege or other protection, including the attorney-client and work product privileges.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each preliminary, final or supplemental prospectus forming a part of the IPO Registration Statement.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land together with all easements, rights and interests arising out of the ownership thereof or appurtenant thereto and all buildings, structures, improvements and fixtures located thereon.</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shall mean all leases to Real Property and, to the extent covered by such leases, any and all buildings, structures, improvements and fixtures located thereon.</w:t>
      </w:r>
    </w:p>
    <w:p>
      <w:pPr>
        <w:spacing w:after="0" w:line="170" w:lineRule="exact"/>
        <w:rPr>
          <w:sz w:val="20"/>
          <w:szCs w:val="20"/>
          <w:color w:val="auto"/>
        </w:rPr>
      </w:pPr>
    </w:p>
    <w:p>
      <w:pPr>
        <w:ind w:right="12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1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members, managers, employees, agents, consultants, advisors, accountants, attorneys or other representatives.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1542</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U.S. Securities Act of 1933, as amended, together with the rules and regulations promulgated thereunder.</w:t>
      </w:r>
    </w:p>
    <w:p>
      <w:pPr>
        <w:spacing w:after="0" w:line="236" w:lineRule="exact"/>
        <w:rPr>
          <w:sz w:val="20"/>
          <w:szCs w:val="20"/>
          <w:color w:val="auto"/>
        </w:rPr>
      </w:pPr>
    </w:p>
    <w:p>
      <w:pPr>
        <w:ind w:right="44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Interest</w:t>
      </w:r>
      <w:r>
        <w:rPr>
          <w:rFonts w:ascii="Arial" w:cs="Arial" w:eastAsia="Arial" w:hAnsi="Arial"/>
          <w:sz w:val="16"/>
          <w:szCs w:val="16"/>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284" w:name="page285"/>
    <w:bookmarkEnd w:id="284"/>
    <w:p>
      <w:pPr>
        <w:ind w:left="45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Shared 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left="10"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75" w:lineRule="exact"/>
        <w:rPr>
          <w:sz w:val="20"/>
          <w:szCs w:val="20"/>
          <w:color w:val="auto"/>
        </w:rPr>
      </w:pPr>
    </w:p>
    <w:p>
      <w:pPr>
        <w:ind w:left="4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limited liability company, joint venture or partnership of which such Person</w:t>
      </w:r>
    </w:p>
    <w:p>
      <w:pPr>
        <w:spacing w:after="0" w:line="46" w:lineRule="exact"/>
        <w:rPr>
          <w:sz w:val="20"/>
          <w:szCs w:val="20"/>
          <w:color w:val="auto"/>
        </w:rPr>
      </w:pPr>
    </w:p>
    <w:p>
      <w:pPr>
        <w:ind w:left="250" w:hanging="250"/>
        <w:spacing w:after="0"/>
        <w:tabs>
          <w:tab w:leader="none" w:pos="25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beneficially owns, either directly or indirectly, more than fifty percent (50%) of (i) the total combined voting power of all classes of voting securities,</w:t>
      </w:r>
    </w:p>
    <w:p>
      <w:pPr>
        <w:spacing w:after="0" w:line="31" w:lineRule="exact"/>
        <w:rPr>
          <w:rFonts w:ascii="Arial" w:cs="Arial" w:eastAsia="Arial" w:hAnsi="Arial"/>
          <w:sz w:val="16"/>
          <w:szCs w:val="16"/>
          <w:color w:val="auto"/>
        </w:rPr>
      </w:pPr>
    </w:p>
    <w:p>
      <w:pPr>
        <w:ind w:left="10" w:right="320" w:hanging="10"/>
        <w:spacing w:after="0" w:line="260" w:lineRule="auto"/>
        <w:tabs>
          <w:tab w:leader="none" w:pos="27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85" w:lineRule="exact"/>
        <w:rPr>
          <w:sz w:val="20"/>
          <w:szCs w:val="20"/>
          <w:color w:val="auto"/>
        </w:rPr>
      </w:pPr>
    </w:p>
    <w:p>
      <w:pPr>
        <w:ind w:left="1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shall mean machinery, equipment, hardware, furniture, fixtures, tools, motor vehicles and other transportation equipment, special and general tangible tools, prototypes, models and other tangible personal property.</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Information</w:t>
      </w:r>
      <w:r>
        <w:rPr>
          <w:rFonts w:ascii="Arial" w:cs="Arial" w:eastAsia="Arial" w:hAnsi="Arial"/>
          <w:sz w:val="18"/>
          <w:szCs w:val="18"/>
          <w:color w:val="auto"/>
        </w:rPr>
        <w:t>” shall mean information that is contained in written, electronic or other tangible forms.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have the meaning set forth in the Tax Matters Agreement.</w:t>
      </w:r>
    </w:p>
    <w:p>
      <w:pPr>
        <w:spacing w:after="0" w:line="225" w:lineRule="exact"/>
        <w:rPr>
          <w:sz w:val="20"/>
          <w:szCs w:val="20"/>
          <w:color w:val="auto"/>
        </w:rPr>
      </w:pPr>
    </w:p>
    <w:p>
      <w:pPr>
        <w:ind w:left="1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Matters Agreement</w:t>
      </w:r>
      <w:r>
        <w:rPr>
          <w:rFonts w:ascii="Arial" w:cs="Arial" w:eastAsia="Arial" w:hAnsi="Arial"/>
          <w:sz w:val="16"/>
          <w:szCs w:val="16"/>
          <w:color w:val="auto"/>
        </w:rPr>
        <w:t>” shall mean the Tax Matters Agreement to be entered into by and among Post, BellRing Inc. and BellRing LLC or the members of their respective Groups, as applicable, in connection with the Formation Transactions and the IPO or the other transactions contemplated by this Agreement, substantially in the form attached as Exhibit 10.5 to the IPO Registration Statement, as it may be amended from time to time.</w:t>
      </w:r>
    </w:p>
    <w:p>
      <w:pPr>
        <w:spacing w:after="0" w:line="148" w:lineRule="exact"/>
        <w:rPr>
          <w:sz w:val="20"/>
          <w:szCs w:val="20"/>
          <w:color w:val="auto"/>
        </w:rPr>
      </w:pPr>
    </w:p>
    <w:p>
      <w:pPr>
        <w:ind w:left="10"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Receivable Agreement</w:t>
      </w:r>
      <w:r>
        <w:rPr>
          <w:rFonts w:ascii="Arial" w:cs="Arial" w:eastAsia="Arial" w:hAnsi="Arial"/>
          <w:sz w:val="17"/>
          <w:szCs w:val="17"/>
          <w:color w:val="auto"/>
        </w:rPr>
        <w:t>” shall mean the Tax Receivable Agreement to be entered into by and among BellRing Inc., BellRing LLC, Post and the other parties named therein in connection with the Formation Transactions and the IPO or the other transactions contemplated by this Agreement, substantially in the form attached as Exhibit 10.6 to the IPO Registration Statement, as it may be amended from time to time.</w:t>
      </w:r>
    </w:p>
    <w:p>
      <w:pPr>
        <w:spacing w:after="0" w:line="16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have the meaning set forth in the Tax Matters Agreement.</w:t>
      </w:r>
    </w:p>
    <w:p>
      <w:pPr>
        <w:spacing w:after="0" w:line="225" w:lineRule="exact"/>
        <w:rPr>
          <w:sz w:val="20"/>
          <w:szCs w:val="20"/>
          <w:color w:val="auto"/>
        </w:rPr>
      </w:pPr>
    </w:p>
    <w:p>
      <w:pPr>
        <w:ind w:left="1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xml:space="preserve">” shall mean embodiments, regardless of form, of Intellectual Property Rights, including, as the context requires, inventions (whether or not patentable), discoveries and improvements, works of authorship, documentation, diagrams, formulae, recipes, software (whether in source code or in executable code form), user interfaces, architectures, databases, data compilations and collections, know-how, technical data, trade secrets, mask works, models, prototypes, molds, methods, protocols, techniques, processes, devices, schematics, algorithms, molds and patterns, production and other manuals, manufacturing and quality control records and procedures and research and development files;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Technology specifically excludes (i) any and all Intellectual Property Rights, (ii) books and records, (iii) sales and customer records and (iv) customer data.</w:t>
      </w:r>
    </w:p>
    <w:p>
      <w:pPr>
        <w:spacing w:after="0" w:line="16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Parties or any members of their respective Groups.</w:t>
      </w:r>
    </w:p>
    <w:p>
      <w:pPr>
        <w:spacing w:after="0" w:line="157" w:lineRule="exact"/>
        <w:rPr>
          <w:sz w:val="20"/>
          <w:szCs w:val="20"/>
          <w:color w:val="auto"/>
        </w:rPr>
      </w:pPr>
    </w:p>
    <w:p>
      <w:pPr>
        <w:ind w:left="541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4" w:right="459" w:bottom="1440" w:gutter="0" w:footer="0" w:header="0"/>
        </w:sectPr>
      </w:pPr>
    </w:p>
    <w:bookmarkStart w:id="285" w:name="page286"/>
    <w:bookmarkEnd w:id="2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and Assumption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shall mean the underwriting agreement entered into among BellRing Inc., BellRing LLC and the Underwriters as representatives of the several underwriters named therein with respect to the IPO, substantially in the form attached as Exhibit 1.1 to the IPO Registration Statement.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shall mean the managing underwriters for the IPO.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BellRing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Post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IPO</w:t>
      </w:r>
    </w:p>
    <w:p>
      <w:pPr>
        <w:spacing w:after="0" w:line="21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Sole and Absolute Discretion; Cooperation</w:t>
      </w:r>
      <w:r>
        <w:rPr>
          <w:rFonts w:ascii="Arial" w:cs="Arial" w:eastAsia="Arial" w:hAnsi="Arial"/>
          <w:sz w:val="17"/>
          <w:szCs w:val="17"/>
          <w:color w:val="auto"/>
        </w:rPr>
        <w:t>. Subject to the terms of the Underwriting Agreement, Post may (a) in its sole and absolute discretion, determine the terms of the IPO, including the form, structure and terms of any transaction(s) and/or offering(s) to effect the IPO and the timing and conditions to the consummation of the IPO; and (b) at any time and from time to time until the consummation of the IPO, modify or change the terms of the IPO, including by accelerating or delaying the timing of the consummation of all or part of the IPO. BellRing Inc. and BellRing LLC shall, and BellRing LLC shall cause the other members of the BellRing Group to, cooperate with Post to accomplish the IPO and, in furtherance thereof, to the extent not undertaken and completed prior to the execution of this Agreement, BellRing Inc. and BellRing LLC shall, and BellRing LLC shall cause the other members of the BellRing Group to, at the request of Post, promptly take any and all actions necessary or desirable to consummate the IPO as contemplated by the IPO Registration Statement and the Underwriting Agreement.</w:t>
      </w:r>
    </w:p>
    <w:p>
      <w:pPr>
        <w:spacing w:after="0" w:line="28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Actions on IPO Closing Date</w:t>
      </w:r>
      <w:r>
        <w:rPr>
          <w:rFonts w:ascii="Arial" w:cs="Arial" w:eastAsia="Arial" w:hAnsi="Arial"/>
          <w:sz w:val="16"/>
          <w:szCs w:val="16"/>
          <w:color w:val="auto"/>
        </w:rPr>
        <w:t>.</w:t>
      </w:r>
    </w:p>
    <w:p>
      <w:pPr>
        <w:spacing w:after="0" w:line="117" w:lineRule="exact"/>
        <w:rPr>
          <w:sz w:val="20"/>
          <w:szCs w:val="20"/>
          <w:color w:val="auto"/>
        </w:rPr>
      </w:pPr>
    </w:p>
    <w:p>
      <w:pPr>
        <w:ind w:right="160" w:firstLine="981"/>
        <w:spacing w:after="0" w:line="341" w:lineRule="auto"/>
        <w:tabs>
          <w:tab w:leader="none" w:pos="137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BellRing Inc. Directors and Officers</w:t>
      </w:r>
      <w:r>
        <w:rPr>
          <w:rFonts w:ascii="Arial" w:cs="Arial" w:eastAsia="Arial" w:hAnsi="Arial"/>
          <w:sz w:val="16"/>
          <w:szCs w:val="16"/>
          <w:color w:val="auto"/>
        </w:rPr>
        <w:t>. Post and BellRing Inc. shall take all necessary actions so that, as of the IPO Closing Date, the directors and executive officers of BellRing Inc. shall be those set forth in the IPO Registration Statement, unless otherwise agreed by the Parties.</w:t>
      </w:r>
    </w:p>
    <w:p>
      <w:pPr>
        <w:spacing w:after="0" w:line="124" w:lineRule="exact"/>
        <w:rPr>
          <w:rFonts w:ascii="Arial" w:cs="Arial" w:eastAsia="Arial" w:hAnsi="Arial"/>
          <w:sz w:val="16"/>
          <w:szCs w:val="16"/>
          <w:color w:val="auto"/>
        </w:rPr>
      </w:pPr>
    </w:p>
    <w:p>
      <w:pPr>
        <w:ind w:right="40" w:firstLine="981"/>
        <w:spacing w:after="0" w:line="286" w:lineRule="auto"/>
        <w:tabs>
          <w:tab w:leader="none" w:pos="1380"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BellRing Inc. Certificate of Incorporation and BellRing Inc. Bylaws</w:t>
      </w:r>
      <w:r>
        <w:rPr>
          <w:rFonts w:ascii="Arial" w:cs="Arial" w:eastAsia="Arial" w:hAnsi="Arial"/>
          <w:sz w:val="17"/>
          <w:szCs w:val="17"/>
          <w:color w:val="auto"/>
        </w:rPr>
        <w:t>. Post and BellRing Inc. shall each take all actions that may be required to provide for the adoption by BellRing Inc. of the BellRing Inc. Certificate of Incorporation and the BellRing Inc. Bylaws and the filing of the BellRing Inc. Certificate of Incorporation with the Secretary of State of the State of Delaware, to be effective as of the IPO Closing Date.</w:t>
      </w:r>
    </w:p>
    <w:p>
      <w:pPr>
        <w:spacing w:after="0" w:line="164" w:lineRule="exact"/>
        <w:rPr>
          <w:rFonts w:ascii="Arial" w:cs="Arial" w:eastAsia="Arial" w:hAnsi="Arial"/>
          <w:sz w:val="17"/>
          <w:szCs w:val="17"/>
          <w:color w:val="auto"/>
        </w:rPr>
      </w:pPr>
    </w:p>
    <w:p>
      <w:pPr>
        <w:ind w:right="120" w:firstLine="981"/>
        <w:spacing w:after="0" w:line="277" w:lineRule="auto"/>
        <w:tabs>
          <w:tab w:leader="none" w:pos="137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Formation Transactions</w:t>
      </w:r>
      <w:r>
        <w:rPr>
          <w:rFonts w:ascii="Arial" w:cs="Arial" w:eastAsia="Arial" w:hAnsi="Arial"/>
          <w:sz w:val="18"/>
          <w:szCs w:val="18"/>
          <w:color w:val="auto"/>
        </w:rPr>
        <w:t xml:space="preserve">. Each Party shall, or shall, as applicable, cause the applicable members of its respective Group to, effect the Formation Transactions to which it is a party, to be effective as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FORMATION TRANSACTIONS</w:t>
      </w:r>
    </w:p>
    <w:p>
      <w:pPr>
        <w:spacing w:after="0" w:line="210" w:lineRule="exact"/>
        <w:rPr>
          <w:sz w:val="20"/>
          <w:szCs w:val="20"/>
          <w:color w:val="auto"/>
        </w:rPr>
      </w:pPr>
    </w:p>
    <w:p>
      <w:pPr>
        <w:ind w:right="112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 Subject to the terms and conditions hereinafter set forth, and on the basis of and in reliance upon the representations, warranties, covenants and agreements set forth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286" w:name="page287"/>
    <w:bookmarkEnd w:id="28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herein, the Parties shall have taken or shall take, or shall have caused or shall cause the other members of their respective Groups, as applicable, to take, the actions described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w:t>
      </w:r>
    </w:p>
    <w:p>
      <w:pPr>
        <w:spacing w:after="0" w:line="170" w:lineRule="exact"/>
        <w:rPr>
          <w:sz w:val="20"/>
          <w:szCs w:val="20"/>
          <w:color w:val="auto"/>
        </w:rPr>
      </w:pPr>
    </w:p>
    <w:p>
      <w:pPr>
        <w:ind w:left="1360" w:hanging="379"/>
        <w:spacing w:after="0"/>
        <w:tabs>
          <w:tab w:leader="none" w:pos="13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Prior to the consummation of the IPO, the applicable Parties shall have caused the transactions set forth below to be effected:</w:t>
      </w:r>
    </w:p>
    <w:p>
      <w:pPr>
        <w:spacing w:after="0" w:line="236" w:lineRule="exact"/>
        <w:rPr>
          <w:rFonts w:ascii="Arial" w:cs="Arial" w:eastAsia="Arial" w:hAnsi="Arial"/>
          <w:sz w:val="17"/>
          <w:szCs w:val="17"/>
          <w:color w:val="auto"/>
        </w:rPr>
      </w:pPr>
    </w:p>
    <w:p>
      <w:pPr>
        <w:ind w:left="1780" w:hanging="359"/>
        <w:spacing w:after="0"/>
        <w:tabs>
          <w:tab w:leader="none" w:pos="178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B Blockers shall each have merged with and into the A Blocker, with the A Blocker as the sole surviving corporation;</w:t>
      </w:r>
    </w:p>
    <w:p>
      <w:pPr>
        <w:spacing w:after="0" w:line="236" w:lineRule="exact"/>
        <w:rPr>
          <w:rFonts w:ascii="Arial" w:cs="Arial" w:eastAsia="Arial" w:hAnsi="Arial"/>
          <w:sz w:val="17"/>
          <w:szCs w:val="17"/>
          <w:color w:val="auto"/>
        </w:rPr>
      </w:pPr>
    </w:p>
    <w:p>
      <w:pPr>
        <w:ind w:left="1820" w:hanging="399"/>
        <w:spacing w:after="0"/>
        <w:tabs>
          <w:tab w:leader="none" w:pos="1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Premier Nutrition shall have converted from a Delaware corporation to a Delaware limited liability company;</w:t>
      </w:r>
    </w:p>
    <w:p>
      <w:pPr>
        <w:spacing w:after="0" w:line="224" w:lineRule="exact"/>
        <w:rPr>
          <w:rFonts w:ascii="Arial" w:cs="Arial" w:eastAsia="Arial" w:hAnsi="Arial"/>
          <w:sz w:val="18"/>
          <w:szCs w:val="18"/>
          <w:color w:val="auto"/>
        </w:rPr>
      </w:pPr>
    </w:p>
    <w:p>
      <w:pPr>
        <w:ind w:right="160" w:firstLine="1421"/>
        <w:spacing w:after="0" w:line="263" w:lineRule="auto"/>
        <w:tabs>
          <w:tab w:leader="none" w:pos="18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intercompany receivables due to either Premier Nutrition or Dymatize Enterprises, respectively, from Post or any other member of the Post Group, shall have been distributed (in one or more distributions to or by their applicable Affiliates) to Post in cancellation of such intercompany balances;</w:t>
      </w:r>
    </w:p>
    <w:p>
      <w:pPr>
        <w:spacing w:after="0" w:line="182" w:lineRule="exact"/>
        <w:rPr>
          <w:rFonts w:ascii="Arial" w:cs="Arial" w:eastAsia="Arial" w:hAnsi="Arial"/>
          <w:sz w:val="18"/>
          <w:szCs w:val="18"/>
          <w:color w:val="auto"/>
        </w:rPr>
      </w:pPr>
    </w:p>
    <w:p>
      <w:pPr>
        <w:ind w:right="220" w:firstLine="1421"/>
        <w:spacing w:after="0" w:line="277" w:lineRule="auto"/>
        <w:tabs>
          <w:tab w:leader="none" w:pos="18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Acquisition Sub shall have merged with and into BellRing LLC, with BellRing LLC as the surviving entity, and as a result, Active Nutrition International shall have become a direct subsidiary of BellRing LLC;</w:t>
      </w:r>
    </w:p>
    <w:p>
      <w:pPr>
        <w:spacing w:after="0" w:line="169" w:lineRule="exact"/>
        <w:rPr>
          <w:rFonts w:ascii="Arial" w:cs="Arial" w:eastAsia="Arial" w:hAnsi="Arial"/>
          <w:sz w:val="18"/>
          <w:szCs w:val="18"/>
          <w:color w:val="auto"/>
        </w:rPr>
      </w:pPr>
    </w:p>
    <w:p>
      <w:pPr>
        <w:ind w:right="160" w:firstLine="1421"/>
        <w:spacing w:after="0" w:line="277" w:lineRule="auto"/>
        <w:tabs>
          <w:tab w:leader="none" w:pos="1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Post shall have contributed all of the equity interests in Premier Nutrition to BellRing LLC, such that BellRing LLC shall be the direct holder of such equity interests; and</w:t>
      </w:r>
    </w:p>
    <w:p>
      <w:pPr>
        <w:spacing w:after="0" w:line="169" w:lineRule="exact"/>
        <w:rPr>
          <w:rFonts w:ascii="Arial" w:cs="Arial" w:eastAsia="Arial" w:hAnsi="Arial"/>
          <w:sz w:val="18"/>
          <w:szCs w:val="18"/>
          <w:color w:val="auto"/>
        </w:rPr>
      </w:pPr>
    </w:p>
    <w:p>
      <w:pPr>
        <w:ind w:left="1860" w:hanging="439"/>
        <w:spacing w:after="0"/>
        <w:tabs>
          <w:tab w:leader="none" w:pos="18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Post shall have borrowed the proceeds of the Bridge Loan.</w:t>
      </w:r>
    </w:p>
    <w:p>
      <w:pPr>
        <w:spacing w:after="0" w:line="224" w:lineRule="exact"/>
        <w:rPr>
          <w:rFonts w:ascii="Arial" w:cs="Arial" w:eastAsia="Arial" w:hAnsi="Arial"/>
          <w:sz w:val="18"/>
          <w:szCs w:val="18"/>
          <w:color w:val="auto"/>
        </w:rPr>
      </w:pPr>
    </w:p>
    <w:p>
      <w:pPr>
        <w:ind w:left="1380" w:hanging="399"/>
        <w:spacing w:after="0"/>
        <w:tabs>
          <w:tab w:leader="none" w:pos="1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On the IPO Closing Date, the applicable Parties shall cause the transactions set forth below to be effected:</w:t>
      </w:r>
    </w:p>
    <w:p>
      <w:pPr>
        <w:spacing w:after="0" w:line="224" w:lineRule="exact"/>
        <w:rPr>
          <w:rFonts w:ascii="Arial" w:cs="Arial" w:eastAsia="Arial" w:hAnsi="Arial"/>
          <w:sz w:val="18"/>
          <w:szCs w:val="18"/>
          <w:color w:val="auto"/>
        </w:rPr>
      </w:pPr>
    </w:p>
    <w:p>
      <w:pPr>
        <w:ind w:right="20" w:firstLine="1421"/>
        <w:spacing w:after="0" w:line="259" w:lineRule="auto"/>
        <w:tabs>
          <w:tab w:leader="none" w:pos="17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the Parties shall effect the transactions described in </w:t>
      </w:r>
      <w:r>
        <w:rPr>
          <w:rFonts w:ascii="Arial" w:cs="Arial" w:eastAsia="Arial" w:hAnsi="Arial"/>
          <w:sz w:val="18"/>
          <w:szCs w:val="18"/>
          <w:u w:val="single" w:color="auto"/>
          <w:color w:val="auto"/>
        </w:rPr>
        <w:t>Section 3.2(a)</w:t>
      </w:r>
      <w:r>
        <w:rPr>
          <w:rFonts w:ascii="Arial" w:cs="Arial" w:eastAsia="Arial" w:hAnsi="Arial"/>
          <w:sz w:val="18"/>
          <w:szCs w:val="18"/>
          <w:color w:val="auto"/>
        </w:rPr>
        <w:t>, including the execution and delivery of the Transfer and Assumption Documents, the assumption by BellRing LLC and the applicable BellRing Designees of all of the Liabilities of Post and the other applicable members of the Post Group under the Bridge Loan and the release of Post and such members of the Post Group from all Liabilities under the Bridge Loan;</w:t>
      </w:r>
    </w:p>
    <w:p>
      <w:pPr>
        <w:spacing w:after="0" w:line="185" w:lineRule="exact"/>
        <w:rPr>
          <w:rFonts w:ascii="Arial" w:cs="Arial" w:eastAsia="Arial" w:hAnsi="Arial"/>
          <w:sz w:val="18"/>
          <w:szCs w:val="18"/>
          <w:color w:val="auto"/>
        </w:rPr>
      </w:pPr>
    </w:p>
    <w:p>
      <w:pPr>
        <w:ind w:right="300" w:firstLine="1421"/>
        <w:spacing w:after="0" w:line="277" w:lineRule="auto"/>
        <w:tabs>
          <w:tab w:leader="none" w:pos="183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Post shall cause BellRing Inc., BellRing LLC and the other members of the BellRing Group to be designated “unrestricted subsidiaries” under the Post Indentures and the Post Credit Agreement;</w:t>
      </w:r>
    </w:p>
    <w:p>
      <w:pPr>
        <w:spacing w:after="0" w:line="169" w:lineRule="exact"/>
        <w:rPr>
          <w:rFonts w:ascii="Arial" w:cs="Arial" w:eastAsia="Arial" w:hAnsi="Arial"/>
          <w:sz w:val="18"/>
          <w:szCs w:val="18"/>
          <w:color w:val="auto"/>
        </w:rPr>
      </w:pPr>
    </w:p>
    <w:p>
      <w:pPr>
        <w:ind w:firstLine="1421"/>
        <w:spacing w:after="0" w:line="263" w:lineRule="auto"/>
        <w:tabs>
          <w:tab w:leader="none" w:pos="18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BellRing Inc. shall issue to Post one (1) share of BellRing Inc. Class B Common Stock, in exchange for the one thousand (1,000) shares of common stock of BellRing Inc. initially issued to Post in connection with the incorporation of BellRing Inc. (which shares of common stock will be cancelled as part of the exchange);</w:t>
      </w:r>
    </w:p>
    <w:p>
      <w:pPr>
        <w:spacing w:after="0" w:line="182" w:lineRule="exact"/>
        <w:rPr>
          <w:rFonts w:ascii="Arial" w:cs="Arial" w:eastAsia="Arial" w:hAnsi="Arial"/>
          <w:sz w:val="18"/>
          <w:szCs w:val="18"/>
          <w:color w:val="auto"/>
        </w:rPr>
      </w:pPr>
    </w:p>
    <w:p>
      <w:pPr>
        <w:ind w:right="320" w:firstLine="981"/>
        <w:spacing w:after="0" w:line="277" w:lineRule="auto"/>
        <w:tabs>
          <w:tab w:leader="none" w:pos="13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At the Effective Time, the applicable Parties shall cause the transactions set forth below to be effected, which shall be deemed to occur simultaneously pursuant to a single integrated plan:</w:t>
      </w:r>
    </w:p>
    <w:p>
      <w:pPr>
        <w:spacing w:after="0" w:line="169" w:lineRule="exact"/>
        <w:rPr>
          <w:rFonts w:ascii="Arial" w:cs="Arial" w:eastAsia="Arial" w:hAnsi="Arial"/>
          <w:sz w:val="18"/>
          <w:szCs w:val="18"/>
          <w:color w:val="auto"/>
        </w:rPr>
      </w:pPr>
    </w:p>
    <w:p>
      <w:pPr>
        <w:ind w:right="40" w:firstLine="1421"/>
        <w:spacing w:after="0" w:line="263" w:lineRule="auto"/>
        <w:tabs>
          <w:tab w:leader="none" w:pos="17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Post, BellRing Inc. and BellRing LLC shall enter into the BellRing Limited Liability Company Agreement, pursuant to which, among other things, Post’s membership interests in BellRing LLC shall be reclassified as a number of BellRing LLC Nonvoting Units to be mutually acceptable to Post and BellRing Inc.;</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60" w:top="274" w:right="519" w:bottom="1440" w:gutter="0" w:footer="0" w:header="0"/>
        </w:sectPr>
      </w:pPr>
    </w:p>
    <w:bookmarkStart w:id="287" w:name="page288"/>
    <w:bookmarkEnd w:id="287"/>
    <w:p>
      <w:pPr>
        <w:ind w:right="200" w:firstLine="1421"/>
        <w:spacing w:after="0" w:line="263" w:lineRule="auto"/>
        <w:tabs>
          <w:tab w:leader="none" w:pos="183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BellRing Inc. shall contribute an amount of cash to be mutually acceptable to Post and BellRing Inc. to BellRing LLC, in exchange for a number of BellRing LLC Nonvoting Units to be mutually acceptable to Post and BellRing, Inc. and one (1) BellRing LLC Voting Unit issued to BellRing Inc.;</w:t>
      </w:r>
    </w:p>
    <w:p>
      <w:pPr>
        <w:spacing w:after="0" w:line="182" w:lineRule="exact"/>
        <w:rPr>
          <w:rFonts w:ascii="Arial" w:cs="Arial" w:eastAsia="Arial" w:hAnsi="Arial"/>
          <w:sz w:val="18"/>
          <w:szCs w:val="18"/>
          <w:color w:val="auto"/>
        </w:rPr>
      </w:pPr>
    </w:p>
    <w:p>
      <w:pPr>
        <w:ind w:left="1880" w:hanging="459"/>
        <w:spacing w:after="0"/>
        <w:tabs>
          <w:tab w:leader="none" w:pos="18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BellRing LLC shall appoint the BellRing LLC Managers;</w:t>
      </w:r>
    </w:p>
    <w:p>
      <w:pPr>
        <w:spacing w:after="0" w:line="224" w:lineRule="exact"/>
        <w:rPr>
          <w:rFonts w:ascii="Arial" w:cs="Arial" w:eastAsia="Arial" w:hAnsi="Arial"/>
          <w:sz w:val="18"/>
          <w:szCs w:val="18"/>
          <w:color w:val="auto"/>
        </w:rPr>
      </w:pPr>
    </w:p>
    <w:p>
      <w:pPr>
        <w:ind w:right="380" w:firstLine="1421"/>
        <w:spacing w:after="0" w:line="263" w:lineRule="auto"/>
        <w:tabs>
          <w:tab w:leader="none" w:pos="187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Post, BellRing Inc. and BellRing LLC and the applicable members of each Party’s Group will enter into the remaining Ancillary Agreements, including (i) the Employee Matters Agreement, (ii) the Investor Rights Agreement, (iii) the License Agreement, (iv) the Tax Matters Agreement, (v) the Tax Receivable Agreement, and (vi) the Master Services Agreement; and</w:t>
      </w:r>
    </w:p>
    <w:p>
      <w:pPr>
        <w:spacing w:after="0" w:line="182" w:lineRule="exact"/>
        <w:rPr>
          <w:rFonts w:ascii="Arial" w:cs="Arial" w:eastAsia="Arial" w:hAnsi="Arial"/>
          <w:sz w:val="18"/>
          <w:szCs w:val="18"/>
          <w:color w:val="auto"/>
        </w:rPr>
      </w:pPr>
    </w:p>
    <w:p>
      <w:pPr>
        <w:ind w:right="240" w:firstLine="1421"/>
        <w:spacing w:after="0" w:line="277" w:lineRule="auto"/>
        <w:tabs>
          <w:tab w:leader="none" w:pos="1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BellRing LLC shall contribute all of the equity interests in Active Nutrition International and Premier Nutrition to Dymatize Enterprises, such that Dymatize Enterprises shall be the direct holder of such equity interests.</w:t>
      </w:r>
    </w:p>
    <w:p>
      <w:pPr>
        <w:spacing w:after="0" w:line="2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Transfer of Assets and Assumption of Liabilities</w:t>
      </w:r>
      <w:r>
        <w:rPr>
          <w:rFonts w:ascii="Arial" w:cs="Arial" w:eastAsia="Arial" w:hAnsi="Arial"/>
          <w:sz w:val="16"/>
          <w:szCs w:val="16"/>
          <w:color w:val="auto"/>
        </w:rPr>
        <w:t>.</w:t>
      </w:r>
    </w:p>
    <w:p>
      <w:pPr>
        <w:spacing w:after="0" w:line="117" w:lineRule="exact"/>
        <w:rPr>
          <w:sz w:val="20"/>
          <w:szCs w:val="20"/>
          <w:color w:val="auto"/>
        </w:rPr>
      </w:pPr>
    </w:p>
    <w:p>
      <w:pPr>
        <w:ind w:right="240" w:firstLine="981"/>
        <w:spacing w:after="0" w:line="277" w:lineRule="auto"/>
        <w:tabs>
          <w:tab w:leader="none" w:pos="137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Effective as of immediately prior to the Effective Time, to the extent not theretofore accomplished indirectly by means of the other Formation Transactions, the Parties shall effect the following transactions:</w:t>
      </w:r>
    </w:p>
    <w:p>
      <w:pPr>
        <w:spacing w:after="0" w:line="169" w:lineRule="exact"/>
        <w:rPr>
          <w:rFonts w:ascii="Arial" w:cs="Arial" w:eastAsia="Arial" w:hAnsi="Arial"/>
          <w:sz w:val="18"/>
          <w:szCs w:val="18"/>
          <w:color w:val="auto"/>
        </w:rPr>
      </w:pPr>
    </w:p>
    <w:p>
      <w:pPr>
        <w:ind w:firstLine="1421"/>
        <w:spacing w:after="0" w:line="291" w:lineRule="auto"/>
        <w:tabs>
          <w:tab w:leader="none" w:pos="1780"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Transfer and Assignment of BellRing Assets</w:t>
      </w:r>
      <w:r>
        <w:rPr>
          <w:rFonts w:ascii="Arial" w:cs="Arial" w:eastAsia="Arial" w:hAnsi="Arial"/>
          <w:sz w:val="16"/>
          <w:szCs w:val="16"/>
          <w:color w:val="auto"/>
        </w:rPr>
        <w:t>. Post shall, and shall cause the other applicable members of its Group to, contribute, assign, transfer, convey and deliver to BellRing LLC or the applicable BellRing Designees, and BellRing LLC or such BellRing Designees shall accept from Post and the other applicable members of the Post Group, all of Post’s and such Post Group members’ respective direct or indirect right, title and interest in and to all of the BellRing Assets (it being understood that if any BellRing Asset shall be held by an Active Nutrition Entity or a wholly owned Subsidiary of an Active Nutrition Entity, to the extent required, such BellRing Asset shall instead be assigned, transferred, conveyed and delivered to BellRing LLC as a result of the transfer of all of the equity interests in such Active Nutrition Entity from Post or the other applicable members of the Post Group to BellRing LLC or the applicable BellRing Designee in connection with the other Formation Transactions);</w:t>
      </w:r>
    </w:p>
    <w:p>
      <w:pPr>
        <w:spacing w:after="0" w:line="165" w:lineRule="exact"/>
        <w:rPr>
          <w:rFonts w:ascii="Arial" w:cs="Arial" w:eastAsia="Arial" w:hAnsi="Arial"/>
          <w:sz w:val="16"/>
          <w:szCs w:val="16"/>
          <w:color w:val="auto"/>
        </w:rPr>
      </w:pPr>
    </w:p>
    <w:p>
      <w:pPr>
        <w:ind w:firstLine="1421"/>
        <w:spacing w:after="0" w:line="268" w:lineRule="auto"/>
        <w:tabs>
          <w:tab w:leader="none" w:pos="1830"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Acceptance and Assumption of BellRing Liabilities</w:t>
      </w:r>
      <w:r>
        <w:rPr>
          <w:rFonts w:ascii="Arial" w:cs="Arial" w:eastAsia="Arial" w:hAnsi="Arial"/>
          <w:sz w:val="17"/>
          <w:szCs w:val="17"/>
          <w:color w:val="auto"/>
        </w:rPr>
        <w:t>. BellRing LLC and the applicable BellRing Designees shall accept, assume and agree faithfully to perform, discharge and fulfill all of the BellRing Liabilities in accordance with their respective terms (it being understood that if any BellRing Liability is a liability of an Active Nutrition Entity or a wholly owned Subsidiary of an Active Nutrition Entity of which BellRing LLC is not currently the direct or indirect parent, such BellRing Liability shall instead be deemed assumed by BellRing LLC as a result of the transfer of all of the equity interests in such Active Nutrition Entity from Post or the other applicable members of the Post Group to BellRing LLC or the applicable BellRing Designee in connection with the other Formation Transactions). As a part of such acceptance, assumption and agreement, BellRing LLC will become the borrower under the Bridge Loan, BellRing LLC’s direct and indirect domestic subsidiaries will continue to guarantee the obligations under the Bridge Loan and Post and the other members of the Post Group will be released from all Liabilities under the Bridge Loan (but, for the avoidance of doubt, Post will retain for its own account all of the proceeds of the Bridge Loan). BellRing LLC and such BellRing Designees shall be responsible for all BellRing Liabilities, regardless of when or where such BellRing Liabilities arose or arise, or whether the facts on which they are based occurred prior to or subsequent to the Effective Time, regardless of where or against whom such BellRing Liabilities are asserted or determined (including any BellRing Liabilities arising out of claims made by Post’s, BellRing LLC’s or BellRing Inc.’s respective directors, officers, members, managers, employees, agents, Subsidiaries or Affiliates against any member of the Post Group or the BellRing Group) or whether asserted or determined prior to the date hereof, and regardless of whether arising from or alleged to arise from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88" w:name="page289"/>
    <w:bookmarkEnd w:id="288"/>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negligence, recklessness, violation of Law, fraud or misrepresentation by any member of the Post Group, the BellRing Group or BellRing Inc., or any of their respective directors, officers, members, managers, employees, agents, Subsidiaries or Affiliates;</w:t>
      </w:r>
    </w:p>
    <w:p>
      <w:pPr>
        <w:spacing w:after="0" w:line="170" w:lineRule="exact"/>
        <w:rPr>
          <w:sz w:val="20"/>
          <w:szCs w:val="20"/>
          <w:color w:val="auto"/>
        </w:rPr>
      </w:pPr>
    </w:p>
    <w:p>
      <w:pPr>
        <w:ind w:right="120" w:firstLine="1421"/>
        <w:spacing w:after="0" w:line="279" w:lineRule="auto"/>
        <w:tabs>
          <w:tab w:leader="none" w:pos="1880"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Transfer and Assignment of Post Assets</w:t>
      </w:r>
      <w:r>
        <w:rPr>
          <w:rFonts w:ascii="Arial" w:cs="Arial" w:eastAsia="Arial" w:hAnsi="Arial"/>
          <w:sz w:val="17"/>
          <w:szCs w:val="17"/>
          <w:color w:val="auto"/>
        </w:rPr>
        <w:t>. Post and BellRing LLC shall cause BellRing LLC and the BellRing Designees to contribute, assign, transfer, convey and deliver to Post or certain members of the Post Group designated by Post, and Post or such other members of the Post Group shall accept from BellRing LLC and the BellRing Designees, all of BellRing LLC’s and such BellRing Designees’ respective direct or indirect right, title and interest in and to all Post Assets held by BellRing LLC or a BellRing Designee; and</w:t>
      </w:r>
    </w:p>
    <w:p>
      <w:pPr>
        <w:spacing w:after="0" w:line="170" w:lineRule="exact"/>
        <w:rPr>
          <w:rFonts w:ascii="Arial" w:cs="Arial" w:eastAsia="Arial" w:hAnsi="Arial"/>
          <w:sz w:val="17"/>
          <w:szCs w:val="17"/>
          <w:color w:val="auto"/>
        </w:rPr>
      </w:pPr>
    </w:p>
    <w:p>
      <w:pPr>
        <w:ind w:right="20" w:firstLine="1421"/>
        <w:spacing w:after="0" w:line="289" w:lineRule="auto"/>
        <w:tabs>
          <w:tab w:leader="none" w:pos="1870"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Acceptance and Assumption of Post Liabilities</w:t>
      </w:r>
      <w:r>
        <w:rPr>
          <w:rFonts w:ascii="Arial" w:cs="Arial" w:eastAsia="Arial" w:hAnsi="Arial"/>
          <w:sz w:val="16"/>
          <w:szCs w:val="16"/>
          <w:color w:val="auto"/>
        </w:rPr>
        <w:t>. Post and certain members of the Post Group designated by Post shall accept and assume and agree faithfully to perform, discharge and fulfill all of the Post Liabilities held by BellRing LLC or any BellRing Designee and Post and the other applicable members of the Post Group shall be responsible for all Post Liabilities in accordance with their respective terms, regardless of when or where such Post Liabilities arose or arise, whether the facts on which they are based occurred prior to or subsequent to the Effective Time, where or against whom such Post Liabilities are asserted or determined (including any Post Liabilities arising out of claims made by Post’s, BellRing LLC’s or BellRing Inc.’s respective directors, officers, members, managers, employees, agents, Subsidiaries or Affiliates against any member of the Post Group or the BellRing Group) or whether asserted or determined prior to the date hereof, and regardless of whether arising from or alleged to arise from negligence, recklessness, violation of Law, fraud or misrepresentation by any member of the Post Group, any member of the BellRing Group or BellRing Inc., or any of their respective directors, officers, members, managers, employees, agents, Subsidiaries or Affiliates.</w:t>
      </w:r>
    </w:p>
    <w:p>
      <w:pPr>
        <w:spacing w:after="0" w:line="164" w:lineRule="exact"/>
        <w:rPr>
          <w:rFonts w:ascii="Arial" w:cs="Arial" w:eastAsia="Arial" w:hAnsi="Arial"/>
          <w:sz w:val="16"/>
          <w:szCs w:val="16"/>
          <w:color w:val="auto"/>
        </w:rPr>
      </w:pPr>
    </w:p>
    <w:p>
      <w:pPr>
        <w:ind w:firstLine="981"/>
        <w:spacing w:after="0" w:line="286" w:lineRule="auto"/>
        <w:tabs>
          <w:tab w:leader="none" w:pos="138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Transfer and Assumption Documents</w:t>
      </w:r>
      <w:r>
        <w:rPr>
          <w:rFonts w:ascii="Arial" w:cs="Arial" w:eastAsia="Arial" w:hAnsi="Arial"/>
          <w:sz w:val="16"/>
          <w:szCs w:val="16"/>
          <w:color w:val="auto"/>
        </w:rPr>
        <w:t xml:space="preserve">. In furtherance of the contribution, assignment, transfer, conveyance and delivery of the Assets and the assumption of the Liabilities in accordance with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(i) each of Post and BellRing LLC shall execute and deliver, and shall cause the applicable members of their respective Groups to execute and deliver, to the other applicable Party (or the applicable members of its Group)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their respective Groups’ right, title and interest in and to such Assets to the other Party and the applicable members of its Group, and (ii) each of Post and BellRing LLC shall execute and deliver, and shall cause the applicable members of their respective Groups to execute and deliver, to the other applicable Party (or the applicable members of its Group) such assumptions of contracts and other instruments of assumption as and to the extent necessary to evidence the valid and effective assumption of the Liabilities by such Party and the applicable members of its Group in accordance with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All of the foregoing documents contemplated by this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shall be referred to collectively herein as the “</w:t>
      </w:r>
      <w:r>
        <w:rPr>
          <w:rFonts w:ascii="Arial" w:cs="Arial" w:eastAsia="Arial" w:hAnsi="Arial"/>
          <w:sz w:val="16"/>
          <w:szCs w:val="16"/>
          <w:u w:val="single" w:color="auto"/>
          <w:color w:val="auto"/>
        </w:rPr>
        <w:t>Transfer and Assumption Documents</w:t>
      </w:r>
      <w:r>
        <w:rPr>
          <w:rFonts w:ascii="Arial" w:cs="Arial" w:eastAsia="Arial" w:hAnsi="Arial"/>
          <w:sz w:val="16"/>
          <w:szCs w:val="16"/>
          <w:color w:val="auto"/>
        </w:rPr>
        <w:t>.” The Transfer and Assumption Documents shall effect certain of the transactions contemplated by this Agreement and, notwithstanding anything in this Agreement to the contrary, shall not expand or limit any of the obligations, covenants or agreements in this Agreement. It is expressly agreed that in the event of any conflict between the terms of the Transfer and Assumption Documents and the terms of this Agreement or the Tax Matters Agreement, the terms of this Agreement or the Tax Matters Agreement, as applicable, shall control.</w:t>
      </w:r>
    </w:p>
    <w:p>
      <w:pPr>
        <w:spacing w:after="0" w:line="168" w:lineRule="exact"/>
        <w:rPr>
          <w:rFonts w:ascii="Arial" w:cs="Arial" w:eastAsia="Arial" w:hAnsi="Arial"/>
          <w:sz w:val="16"/>
          <w:szCs w:val="16"/>
          <w:color w:val="auto"/>
        </w:rPr>
      </w:pPr>
    </w:p>
    <w:p>
      <w:pPr>
        <w:jc w:val="both"/>
        <w:ind w:right="200" w:firstLine="981"/>
        <w:spacing w:after="0" w:line="263" w:lineRule="auto"/>
        <w:tabs>
          <w:tab w:leader="none" w:pos="137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Misallocations</w:t>
      </w:r>
      <w:r>
        <w:rPr>
          <w:rFonts w:ascii="Arial" w:cs="Arial" w:eastAsia="Arial" w:hAnsi="Arial"/>
          <w:sz w:val="18"/>
          <w:szCs w:val="18"/>
          <w:color w:val="auto"/>
        </w:rPr>
        <w:t>. In the event that at any time or from time to time (whether prior to, at or after the Effective Time), Post or BellRing LLC (or any member of either such Party’s respective Group) shall receive or otherwise possess any Asset that is allocated to such other Party (or any member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289" w:name="page290"/>
    <w:bookmarkEnd w:id="28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Party’s Group) pursuant to this Agreement or any Ancillary Agreement, such Party shall promptly transfer, or cause to be transferred, such Asset to such other Party so entitled thereto (or to any member of such Party’s Group), and such other Party (or member of such Party’s Group) shall accept such Asset. Prior to any such transfer, the Person receiving or possessing such Asset shall hold such Asset in trust for such other Person. In the event that at any time or from time to time (whether prior to, at or after the Effective Time), Post or BellRing LLC (or any member of either such Party’s respective Group) shall be liable for or otherwise assume any Liability that is allocated to such other Party (or any member of such Party’s Group) pursuant to this Agreement or any Ancillary Agreement, such other Party (or member of such Party’s Group) shall promptly assume, or cause to be assumed, such Liability and agree to faithfully perform such Liability.</w:t>
      </w:r>
    </w:p>
    <w:p>
      <w:pPr>
        <w:spacing w:after="0" w:line="176" w:lineRule="exact"/>
        <w:rPr>
          <w:sz w:val="20"/>
          <w:szCs w:val="20"/>
          <w:color w:val="auto"/>
        </w:rPr>
      </w:pPr>
    </w:p>
    <w:p>
      <w:pPr>
        <w:ind w:firstLine="981"/>
        <w:spacing w:after="0" w:line="275" w:lineRule="auto"/>
        <w:tabs>
          <w:tab w:leader="none" w:pos="138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Waiver of Bulk-Sale and Bulk-Transfer Laws</w:t>
      </w:r>
      <w:r>
        <w:rPr>
          <w:rFonts w:ascii="Arial" w:cs="Arial" w:eastAsia="Arial" w:hAnsi="Arial"/>
          <w:sz w:val="17"/>
          <w:szCs w:val="17"/>
          <w:color w:val="auto"/>
        </w:rPr>
        <w:t>. BellRing LLC hereby waives compliance by each and every member of the Post Group with the requirements and provisions of any “bulk-sale” or “bulk-transfer” Laws of any jurisdiction that may otherwise be applicable with respect to the transfer or sale of any or all of the BellRing Assets to any member of the BellRing Group. Post hereby waives compliance by each and every member of the BellRing Group with the requirements and provisions of any “bulk-sale” or “bulk-transfer” Laws of any jurisdiction that may otherwise be applicable with respect to the transfer or sale of any or all of the Post Assets to any member of the Post Group.</w:t>
      </w:r>
    </w:p>
    <w:p>
      <w:pPr>
        <w:spacing w:after="0" w:line="283" w:lineRule="exact"/>
        <w:rPr>
          <w:rFonts w:ascii="Arial" w:cs="Arial" w:eastAsia="Arial" w:hAnsi="Arial"/>
          <w:sz w:val="17"/>
          <w:szCs w:val="17"/>
          <w:color w:val="auto"/>
        </w:rPr>
      </w:pPr>
    </w:p>
    <w:p>
      <w:pPr>
        <w:ind w:left="1360" w:hanging="379"/>
        <w:spacing w:after="0"/>
        <w:tabs>
          <w:tab w:leader="none" w:pos="136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200" w:firstLine="1421"/>
        <w:spacing w:after="0" w:line="272" w:lineRule="auto"/>
        <w:tabs>
          <w:tab w:leader="none" w:pos="178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and to the extent that, as a matter of Law in any jurisdiction, Post or the applicable members of its Group cannot assign, transfer or convey any of Post’s or such Post Group members’ respective direct or indirect right, title and interest in and to any Technology or Intellectual Property Rights included in the BellRing Assets, then, to the extent possible, Post shall, and shall cause the applicable member(s) of its Group to, irrevocably grant to BellRing Inc., BellRing LLC or the applicable BellRing Designees, an exclusive (but subject to any licenses that would be granted to Post under the License Agreement had such Intellectual Property Rights been transferred to BellRing LLC), irrevocable, assignable, transferable, sublicenseable, worldwide, perpetual, royalty-free license to use, exploit and commercialize in any manner now known or in the future discovered and for whatever purpose, any such right, title or interest.</w:t>
      </w:r>
    </w:p>
    <w:p>
      <w:pPr>
        <w:spacing w:after="0" w:line="175" w:lineRule="exact"/>
        <w:rPr>
          <w:rFonts w:ascii="Arial" w:cs="Arial" w:eastAsia="Arial" w:hAnsi="Arial"/>
          <w:sz w:val="17"/>
          <w:szCs w:val="17"/>
          <w:color w:val="auto"/>
        </w:rPr>
      </w:pPr>
    </w:p>
    <w:p>
      <w:pPr>
        <w:ind w:right="140" w:firstLine="1421"/>
        <w:spacing w:after="0" w:line="272" w:lineRule="auto"/>
        <w:tabs>
          <w:tab w:leader="none" w:pos="183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and to the extent that, as a matter of Law in any jurisdiction, BellRing LLC or the applicable members of its Group cannot assign, transfer or convey any of BellRing LLC’s or such BellRing Group members’ respective direct or indirect right, title and interest in and to any Technology or Intellectual Property Rights included in the Post Assets, then, to the extent possible, BellRing LLC shall, and shall cause the applicable member(s) of its Group to, irrevocably grant to Post or the applicable Post Designees an exclusive (but subject to any licenses that would be granted to BellRing Inc. or BellRing LLC under the License Agreement had such Intellectual Property Rights been transferred to Post), irrevocable, assignable, transferable, sublicenseable, worldwide, perpetual, royalty-free license to use, exploit and commercialize in any manner now known or in the future discovered and for whatever purpose any such right, title or interest.</w:t>
      </w:r>
    </w:p>
    <w:p>
      <w:pPr>
        <w:spacing w:after="0" w:line="175" w:lineRule="exact"/>
        <w:rPr>
          <w:rFonts w:ascii="Arial" w:cs="Arial" w:eastAsia="Arial" w:hAnsi="Arial"/>
          <w:sz w:val="17"/>
          <w:szCs w:val="17"/>
          <w:color w:val="auto"/>
        </w:rPr>
      </w:pPr>
    </w:p>
    <w:p>
      <w:pPr>
        <w:ind w:right="200" w:firstLine="981"/>
        <w:spacing w:after="0" w:line="263" w:lineRule="auto"/>
        <w:tabs>
          <w:tab w:leader="none" w:pos="135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Electronic Transfer</w:t>
      </w:r>
      <w:r>
        <w:rPr>
          <w:rFonts w:ascii="Arial" w:cs="Arial" w:eastAsia="Arial" w:hAnsi="Arial"/>
          <w:sz w:val="18"/>
          <w:szCs w:val="18"/>
          <w:color w:val="auto"/>
        </w:rPr>
        <w:t>. All transferred BellRing Assets and Post Assets, including transferred Technology, that can be delivered by electronic transmission may be so delivered or made available to BellRing LLC, Post or their respective designees (as applicable) at a designated FTP site or in another electronic form to be determined by the Parties.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90" w:name="page291"/>
    <w:bookmarkEnd w:id="290"/>
    <w:p>
      <w:pPr>
        <w:ind w:left="450"/>
        <w:spacing w:after="0"/>
        <w:tabs>
          <w:tab w:leader="none" w:pos="82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r>
        <w:rPr>
          <w:sz w:val="20"/>
          <w:szCs w:val="20"/>
          <w:color w:val="auto"/>
        </w:rPr>
        <w:tab/>
      </w:r>
      <w:r>
        <w:rPr>
          <w:rFonts w:ascii="Arial" w:cs="Arial" w:eastAsia="Arial" w:hAnsi="Arial"/>
          <w:sz w:val="16"/>
          <w:szCs w:val="16"/>
          <w:u w:val="single" w:color="auto"/>
          <w:color w:val="auto"/>
        </w:rPr>
        <w:t>BellRing Assets; Post Assets</w:t>
      </w:r>
      <w:r>
        <w:rPr>
          <w:rFonts w:ascii="Arial" w:cs="Arial" w:eastAsia="Arial" w:hAnsi="Arial"/>
          <w:sz w:val="16"/>
          <w:szCs w:val="16"/>
          <w:color w:val="auto"/>
        </w:rPr>
        <w:t>.</w:t>
      </w:r>
    </w:p>
    <w:p>
      <w:pPr>
        <w:spacing w:after="0" w:line="117" w:lineRule="exact"/>
        <w:rPr>
          <w:sz w:val="20"/>
          <w:szCs w:val="20"/>
          <w:color w:val="auto"/>
        </w:rPr>
      </w:pPr>
    </w:p>
    <w:p>
      <w:pPr>
        <w:ind w:left="1370" w:hanging="379"/>
        <w:spacing w:after="0"/>
        <w:tabs>
          <w:tab w:leader="none" w:pos="1370"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BellRing Assets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BellRing Assets</w:t>
      </w:r>
      <w:r>
        <w:rPr>
          <w:rFonts w:ascii="Arial" w:cs="Arial" w:eastAsia="Arial" w:hAnsi="Arial"/>
          <w:sz w:val="18"/>
          <w:szCs w:val="18"/>
          <w:color w:val="auto"/>
        </w:rPr>
        <w:t>” shall mean (without duplication):</w:t>
      </w:r>
    </w:p>
    <w:p>
      <w:pPr>
        <w:spacing w:after="0" w:line="224" w:lineRule="exact"/>
        <w:rPr>
          <w:rFonts w:ascii="Arial" w:cs="Arial" w:eastAsia="Arial" w:hAnsi="Arial"/>
          <w:sz w:val="18"/>
          <w:szCs w:val="18"/>
          <w:color w:val="auto"/>
        </w:rPr>
      </w:pPr>
    </w:p>
    <w:p>
      <w:pPr>
        <w:ind w:left="10" w:right="60" w:firstLine="1421"/>
        <w:spacing w:after="0" w:line="277" w:lineRule="auto"/>
        <w:tabs>
          <w:tab w:leader="none" w:pos="179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all issued and outstanding capital stock or other equity interests of the Active Nutrition Entities that are owned by either Post or BellRing LLC or any members of their respective Groups as of immediately prior to the Effective Time;</w:t>
      </w:r>
    </w:p>
    <w:p>
      <w:pPr>
        <w:spacing w:after="0" w:line="169" w:lineRule="exact"/>
        <w:rPr>
          <w:rFonts w:ascii="Arial" w:cs="Arial" w:eastAsia="Arial" w:hAnsi="Arial"/>
          <w:sz w:val="18"/>
          <w:szCs w:val="18"/>
          <w:color w:val="auto"/>
        </w:rPr>
      </w:pPr>
    </w:p>
    <w:p>
      <w:pPr>
        <w:ind w:left="10" w:firstLine="1421"/>
        <w:spacing w:after="0" w:line="301" w:lineRule="auto"/>
        <w:tabs>
          <w:tab w:leader="none" w:pos="1840" w:val="left"/>
        </w:tabs>
        <w:numPr>
          <w:ilvl w:val="2"/>
          <w:numId w:val="183"/>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all Assets of Post or BellRing LLC or any members of their respective Groups included or reflected as assets of the BellRing Group on the BellRing Balance Sheet, subject to any dispositions of such Assets subsequent to the date of the BellRing Balance Sheet;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amounts set forth on the BellRing Balance Sheet with respect to any Assets shall not be treated as minimum amounts or limitations on the amount of such Assets that are included in the definition of BellRing Assets pursuant to this clause (ii);</w:t>
      </w:r>
    </w:p>
    <w:p>
      <w:pPr>
        <w:spacing w:after="0" w:line="156" w:lineRule="exact"/>
        <w:rPr>
          <w:rFonts w:ascii="Arial" w:cs="Arial" w:eastAsia="Arial" w:hAnsi="Arial"/>
          <w:sz w:val="16"/>
          <w:szCs w:val="16"/>
          <w:color w:val="auto"/>
        </w:rPr>
      </w:pPr>
    </w:p>
    <w:p>
      <w:pPr>
        <w:ind w:left="10" w:right="60" w:firstLine="1421"/>
        <w:spacing w:after="0" w:line="284" w:lineRule="auto"/>
        <w:tabs>
          <w:tab w:leader="none" w:pos="1890" w:val="left"/>
        </w:tabs>
        <w:numPr>
          <w:ilvl w:val="2"/>
          <w:numId w:val="183"/>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u w:val="single" w:color="auto"/>
          <w:color w:val="auto"/>
        </w:rPr>
        <w:t>Section 3.3(a)</w:t>
      </w:r>
      <w:r>
        <w:rPr>
          <w:rFonts w:ascii="Arial" w:cs="Arial" w:eastAsia="Arial" w:hAnsi="Arial"/>
          <w:sz w:val="16"/>
          <w:szCs w:val="16"/>
          <w:color w:val="auto"/>
        </w:rPr>
        <w:t>, all Assets of Post or BellRing LLC or any of the members of their respective Groups as of immediately prior to the Effective Time that are of a nature or type that would have resulted in such Assets being included as Assets of BellRing LLC or members of the BellRing Group on an unaudited pro forma condensed consolidated balance sheet of the BellRing Group or any notes thereto as of immediately prior to the Effective Time (were such balance sheet and notes to be prepared on a basis consistent with the determination of the Assets included on the BellRing Balance Sheet), it being understood that (x) the BellRing Balance Sheet shall be used to determine the types of, and methodologies used to determine, those Assets that are included in the definition of BellRing Assets pursuant to this clause (iii); and</w:t>
      </w:r>
    </w:p>
    <w:p>
      <w:pPr>
        <w:spacing w:after="0" w:line="3" w:lineRule="exact"/>
        <w:rPr>
          <w:rFonts w:ascii="Arial" w:cs="Arial" w:eastAsia="Arial" w:hAnsi="Arial"/>
          <w:sz w:val="16"/>
          <w:szCs w:val="16"/>
          <w:color w:val="auto"/>
        </w:rPr>
      </w:pPr>
    </w:p>
    <w:p>
      <w:pPr>
        <w:ind w:left="10" w:right="560" w:hanging="10"/>
        <w:spacing w:after="0" w:line="260" w:lineRule="auto"/>
        <w:tabs>
          <w:tab w:leader="none" w:pos="26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amounts set forth on the BellRing Balance Sheet with respect to any Assets shall not be treated as minimum amounts or limitations on the amount of such Assets that are included in the definition of BellRing Assets pursuant to this clause (iii);</w:t>
      </w:r>
    </w:p>
    <w:p>
      <w:pPr>
        <w:spacing w:after="0" w:line="184" w:lineRule="exact"/>
        <w:rPr>
          <w:rFonts w:ascii="Arial" w:cs="Arial" w:eastAsia="Arial" w:hAnsi="Arial"/>
          <w:sz w:val="18"/>
          <w:szCs w:val="18"/>
          <w:color w:val="auto"/>
        </w:rPr>
      </w:pPr>
    </w:p>
    <w:p>
      <w:pPr>
        <w:ind w:left="10" w:right="220" w:firstLine="1421"/>
        <w:spacing w:after="0" w:line="263" w:lineRule="auto"/>
        <w:tabs>
          <w:tab w:leader="none" w:pos="188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all Assets of either Post or BellRing LLC or any of the members of their respective Groups as of immediately prior to the Effective Time that are expressly provided by any provision of this Agreement or any Ancillary Agreement as Assets to be transferred to or owned by BellRing LLC or any other member of the BellRing Group;</w:t>
      </w:r>
    </w:p>
    <w:p>
      <w:pPr>
        <w:spacing w:after="0" w:line="182" w:lineRule="exact"/>
        <w:rPr>
          <w:rFonts w:ascii="Arial" w:cs="Arial" w:eastAsia="Arial" w:hAnsi="Arial"/>
          <w:sz w:val="18"/>
          <w:szCs w:val="18"/>
          <w:color w:val="auto"/>
        </w:rPr>
      </w:pPr>
    </w:p>
    <w:p>
      <w:pPr>
        <w:ind w:left="10" w:right="40" w:firstLine="1421"/>
        <w:spacing w:after="0" w:line="341" w:lineRule="auto"/>
        <w:tabs>
          <w:tab w:leader="none" w:pos="183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all BellRing Contracts as of immediately prior to the Effective Time and all rights, interests or claims of BellRing Inc. or either of Post or BellRing LLC or any of the members of their respective Groups thereunder, as applicable, as of immediately prior to the Effective Time;</w:t>
      </w:r>
    </w:p>
    <w:p>
      <w:pPr>
        <w:spacing w:after="0" w:line="124" w:lineRule="exact"/>
        <w:rPr>
          <w:rFonts w:ascii="Arial" w:cs="Arial" w:eastAsia="Arial" w:hAnsi="Arial"/>
          <w:sz w:val="16"/>
          <w:szCs w:val="16"/>
          <w:color w:val="auto"/>
        </w:rPr>
      </w:pPr>
    </w:p>
    <w:p>
      <w:pPr>
        <w:ind w:left="1870" w:hanging="439"/>
        <w:spacing w:after="0"/>
        <w:tabs>
          <w:tab w:leader="none" w:pos="187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any and all BellRing Accounts Receivable;</w:t>
      </w:r>
    </w:p>
    <w:p>
      <w:pPr>
        <w:spacing w:after="0" w:line="224" w:lineRule="exact"/>
        <w:rPr>
          <w:rFonts w:ascii="Arial" w:cs="Arial" w:eastAsia="Arial" w:hAnsi="Arial"/>
          <w:sz w:val="18"/>
          <w:szCs w:val="18"/>
          <w:color w:val="auto"/>
        </w:rPr>
      </w:pPr>
    </w:p>
    <w:p>
      <w:pPr>
        <w:ind w:left="10" w:right="80" w:firstLine="1421"/>
        <w:spacing w:after="0" w:line="279" w:lineRule="auto"/>
        <w:tabs>
          <w:tab w:leader="none" w:pos="1930" w:val="left"/>
        </w:tabs>
        <w:numPr>
          <w:ilvl w:val="2"/>
          <w:numId w:val="184"/>
        </w:numPr>
        <w:rPr>
          <w:rFonts w:ascii="Arial" w:cs="Arial" w:eastAsia="Arial" w:hAnsi="Arial"/>
          <w:sz w:val="17"/>
          <w:szCs w:val="17"/>
          <w:color w:val="auto"/>
        </w:rPr>
      </w:pPr>
      <w:r>
        <w:rPr>
          <w:rFonts w:ascii="Arial" w:cs="Arial" w:eastAsia="Arial" w:hAnsi="Arial"/>
          <w:sz w:val="17"/>
          <w:szCs w:val="17"/>
          <w:color w:val="auto"/>
        </w:rPr>
        <w:t>any and all finished goods inventory, ingredients, supplies, components, packaging materials and other inventories, including any inventory in-transit or other inventories being held by third parties pursuant to consignment or otherwise, and all valuation-related adjustments relating thereto (including those relating to warranty, prompt pay discounts, royalties and other items) (“</w:t>
      </w:r>
      <w:r>
        <w:rPr>
          <w:rFonts w:ascii="Arial" w:cs="Arial" w:eastAsia="Arial" w:hAnsi="Arial"/>
          <w:sz w:val="17"/>
          <w:szCs w:val="17"/>
          <w:u w:val="single" w:color="auto"/>
          <w:color w:val="auto"/>
        </w:rPr>
        <w:t>Inventory</w:t>
      </w:r>
      <w:r>
        <w:rPr>
          <w:rFonts w:ascii="Arial" w:cs="Arial" w:eastAsia="Arial" w:hAnsi="Arial"/>
          <w:sz w:val="17"/>
          <w:szCs w:val="17"/>
          <w:color w:val="auto"/>
        </w:rPr>
        <w:t>”), in each case, exclusively related to the BellRing Business as of immediately prior to the Effective Time (“</w:t>
      </w:r>
      <w:r>
        <w:rPr>
          <w:rFonts w:ascii="Arial" w:cs="Arial" w:eastAsia="Arial" w:hAnsi="Arial"/>
          <w:sz w:val="17"/>
          <w:szCs w:val="17"/>
          <w:u w:val="single" w:color="auto"/>
          <w:color w:val="auto"/>
        </w:rPr>
        <w:t>BellRing Inventory</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left="10" w:right="200" w:firstLine="1421"/>
        <w:spacing w:after="0" w:line="291" w:lineRule="auto"/>
        <w:tabs>
          <w:tab w:leader="none" w:pos="198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 xml:space="preserve">copies of any and all BellRing Records in the possession of BellRing Inc. or either of Post or BellRing LLC or any of the members of their respective Groups, as applicable, as of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Post shall be permitted to retain copies of, and continue to use, (A) any BellRing Records that as of the Effective Time are used in or necessary for the operation or conduct of the Post Business, including Post’s performance under the Master Services Agreement, (B) any BellRing Records that Post is required by Law or under any applicable Post policy to retain (and if copies are not provided to BellRing LLC, then, to the extent permitted by Law, such copies will be made available to BellRing LLC upon BellRing LLC’s reasonable request), (C) copies of any BellRing Records to the extent required to demonstrate compliance with applicable Law or pursuant to internal compliance procedures or related to any Post Assets or Post’s and/or its Affiliates’ obligations</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10"/>
          </w:cols>
          <w:pgMar w:left="450" w:top="274" w:right="439" w:bottom="1440" w:gutter="0" w:footer="0" w:header="0"/>
        </w:sectPr>
      </w:pPr>
    </w:p>
    <w:bookmarkStart w:id="291" w:name="page292"/>
    <w:bookmarkEnd w:id="291"/>
    <w:p>
      <w:pPr>
        <w:ind w:left="1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Agreement or any of the Ancillary Agreements, and (D) “back-up” electronic copies of such BellRing Records maintained by Post in the ordinary course of business, and such copies shall be considered Post Assets;</w:t>
      </w:r>
    </w:p>
    <w:p>
      <w:pPr>
        <w:spacing w:after="0" w:line="170" w:lineRule="exact"/>
        <w:rPr>
          <w:sz w:val="20"/>
          <w:szCs w:val="20"/>
          <w:color w:val="auto"/>
        </w:rPr>
      </w:pPr>
    </w:p>
    <w:p>
      <w:pPr>
        <w:jc w:val="both"/>
        <w:ind w:left="10" w:right="260" w:firstLine="1421"/>
        <w:spacing w:after="0" w:line="263" w:lineRule="auto"/>
        <w:tabs>
          <w:tab w:leader="none" w:pos="1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BellRing Intellectual Property Rights as of immediately prior to the Effective Time, and all rights, interests or claims of BellRing LLC or any of the other members of its Group thereunder as of immediately prior to the Effective Time, including the right to seek, recover and retain damages for the past and future infringement of any BellRing Intellectual Property Rights;</w:t>
      </w:r>
    </w:p>
    <w:p>
      <w:pPr>
        <w:spacing w:after="0" w:line="182" w:lineRule="exact"/>
        <w:rPr>
          <w:rFonts w:ascii="Arial" w:cs="Arial" w:eastAsia="Arial" w:hAnsi="Arial"/>
          <w:sz w:val="18"/>
          <w:szCs w:val="18"/>
          <w:color w:val="auto"/>
        </w:rPr>
      </w:pPr>
    </w:p>
    <w:p>
      <w:pPr>
        <w:ind w:left="1830" w:hanging="399"/>
        <w:spacing w:after="0"/>
        <w:tabs>
          <w:tab w:leader="none" w:pos="183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without limiting clause (ix) above, the BellRing Marks, and all goodwill of the BellRing Business appurtenant thereto;</w:t>
      </w:r>
    </w:p>
    <w:p>
      <w:pPr>
        <w:spacing w:after="0" w:line="236" w:lineRule="exact"/>
        <w:rPr>
          <w:rFonts w:ascii="Arial" w:cs="Arial" w:eastAsia="Arial" w:hAnsi="Arial"/>
          <w:sz w:val="17"/>
          <w:szCs w:val="17"/>
          <w:color w:val="auto"/>
        </w:rPr>
      </w:pPr>
    </w:p>
    <w:p>
      <w:pPr>
        <w:ind w:left="1870" w:hanging="439"/>
        <w:spacing w:after="0"/>
        <w:tabs>
          <w:tab w:leader="none" w:pos="18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BellRing Technology;</w:t>
      </w:r>
    </w:p>
    <w:p>
      <w:pPr>
        <w:spacing w:after="0" w:line="224" w:lineRule="exact"/>
        <w:rPr>
          <w:rFonts w:ascii="Arial" w:cs="Arial" w:eastAsia="Arial" w:hAnsi="Arial"/>
          <w:sz w:val="18"/>
          <w:szCs w:val="18"/>
          <w:color w:val="auto"/>
        </w:rPr>
      </w:pPr>
    </w:p>
    <w:p>
      <w:pPr>
        <w:ind w:left="10" w:right="40" w:firstLine="1421"/>
        <w:spacing w:after="0" w:line="277" w:lineRule="auto"/>
        <w:tabs>
          <w:tab w:leader="none" w:pos="193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BellRing Permits as of immediately prior to the Effective Time and all rights, interests or claims of either Post or BellRing LLC or any of the other members of their respective Groups thereunder as of immediately prior to the Effective Time;</w:t>
      </w:r>
    </w:p>
    <w:p>
      <w:pPr>
        <w:spacing w:after="0" w:line="169" w:lineRule="exact"/>
        <w:rPr>
          <w:rFonts w:ascii="Arial" w:cs="Arial" w:eastAsia="Arial" w:hAnsi="Arial"/>
          <w:sz w:val="18"/>
          <w:szCs w:val="18"/>
          <w:color w:val="auto"/>
        </w:rPr>
      </w:pPr>
    </w:p>
    <w:p>
      <w:pPr>
        <w:ind w:left="1970" w:hanging="539"/>
        <w:spacing w:after="0"/>
        <w:tabs>
          <w:tab w:leader="none" w:pos="19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BellRing Real Property as of immediately prior to the Effective Time;</w:t>
      </w:r>
    </w:p>
    <w:p>
      <w:pPr>
        <w:spacing w:after="0" w:line="224" w:lineRule="exact"/>
        <w:rPr>
          <w:rFonts w:ascii="Arial" w:cs="Arial" w:eastAsia="Arial" w:hAnsi="Arial"/>
          <w:sz w:val="18"/>
          <w:szCs w:val="18"/>
          <w:color w:val="auto"/>
        </w:rPr>
      </w:pPr>
    </w:p>
    <w:p>
      <w:pPr>
        <w:ind w:left="10" w:firstLine="1421"/>
        <w:spacing w:after="0" w:line="307" w:lineRule="auto"/>
        <w:tabs>
          <w:tab w:leader="none" w:pos="197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3.3(a)</w:t>
      </w:r>
      <w:r>
        <w:rPr>
          <w:rFonts w:ascii="Arial" w:cs="Arial" w:eastAsia="Arial" w:hAnsi="Arial"/>
          <w:sz w:val="17"/>
          <w:szCs w:val="17"/>
          <w:color w:val="auto"/>
        </w:rPr>
        <w:t>, all Assets of either Post or BellRing LLC or of any other members of their respective Groups exclusively used or exclusively held for use in the BellRing Business as of immediately prior to the Effective Time;</w:t>
      </w:r>
    </w:p>
    <w:p>
      <w:pPr>
        <w:spacing w:after="0" w:line="147" w:lineRule="exact"/>
        <w:rPr>
          <w:rFonts w:ascii="Arial" w:cs="Arial" w:eastAsia="Arial" w:hAnsi="Arial"/>
          <w:sz w:val="17"/>
          <w:szCs w:val="17"/>
          <w:color w:val="auto"/>
        </w:rPr>
      </w:pPr>
    </w:p>
    <w:p>
      <w:pPr>
        <w:ind w:left="1910" w:hanging="479"/>
        <w:spacing w:after="0"/>
        <w:tabs>
          <w:tab w:leader="none" w:pos="191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all cash and cash equivalents of BellRing LLC and the other members of its Group as of immediately prior to the Effective</w:t>
      </w:r>
    </w:p>
    <w:p>
      <w:pPr>
        <w:spacing w:after="0" w:line="46"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6"/>
          <w:szCs w:val="16"/>
          <w:color w:val="auto"/>
        </w:rPr>
        <w:t>Notwithstanding the foregoing, the Parties hereby acknowledge and agree that (A) while a single asset may fall within more than one of the clauses</w:t>
      </w:r>
    </w:p>
    <w:p>
      <w:pPr>
        <w:spacing w:after="0" w:line="46" w:lineRule="exact"/>
        <w:rPr>
          <w:sz w:val="20"/>
          <w:szCs w:val="20"/>
          <w:color w:val="auto"/>
        </w:rPr>
      </w:pPr>
    </w:p>
    <w:p>
      <w:pPr>
        <w:ind w:left="10" w:hanging="10"/>
        <w:spacing w:after="0" w:line="289" w:lineRule="auto"/>
        <w:tabs>
          <w:tab w:leader="none" w:pos="22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through (xv) in this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such fact does not imply that (x) such asset shall be transferred more than once or (y) any duplication of such asset is required, and (B) the BellRing Assets shall not in any event include any Asset referred to in clauses (i) through (x) of </w:t>
      </w:r>
      <w:r>
        <w:rPr>
          <w:rFonts w:ascii="Arial" w:cs="Arial" w:eastAsia="Arial" w:hAnsi="Arial"/>
          <w:sz w:val="17"/>
          <w:szCs w:val="17"/>
          <w:u w:val="single" w:color="auto"/>
          <w:color w:val="auto"/>
        </w:rPr>
        <w:t>Section 3.3(b)</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jc w:val="both"/>
        <w:ind w:left="10" w:right="140" w:firstLine="981"/>
        <w:spacing w:after="0" w:line="263" w:lineRule="auto"/>
        <w:tabs>
          <w:tab w:leader="none" w:pos="139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Post Assets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Post Assets</w:t>
      </w:r>
      <w:r>
        <w:rPr>
          <w:rFonts w:ascii="Arial" w:cs="Arial" w:eastAsia="Arial" w:hAnsi="Arial"/>
          <w:sz w:val="18"/>
          <w:szCs w:val="18"/>
          <w:color w:val="auto"/>
        </w:rPr>
        <w:t>” shall mean all Assets of either Post or BellRing LLC or of any other members of their respective Groups as of immediately prior to the Effective Time, other than the BellRing Assets. Notwithstanding anything herein to the contrary, the Post Assets shall include:</w:t>
      </w:r>
    </w:p>
    <w:p>
      <w:pPr>
        <w:spacing w:after="0" w:line="182" w:lineRule="exact"/>
        <w:rPr>
          <w:rFonts w:ascii="Arial" w:cs="Arial" w:eastAsia="Arial" w:hAnsi="Arial"/>
          <w:sz w:val="18"/>
          <w:szCs w:val="18"/>
          <w:color w:val="auto"/>
        </w:rPr>
      </w:pPr>
    </w:p>
    <w:p>
      <w:pPr>
        <w:ind w:left="10" w:right="180" w:firstLine="1421"/>
        <w:spacing w:after="0" w:line="277" w:lineRule="auto"/>
        <w:tabs>
          <w:tab w:leader="none" w:pos="179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all Assets that are expressly contemplated by this Agreement or any Ancillary Agreement (or the Schedules hereto or thereto) as Assets to be retained by Post or any other member of the Post Group;</w:t>
      </w:r>
    </w:p>
    <w:p>
      <w:pPr>
        <w:spacing w:after="0" w:line="169" w:lineRule="exact"/>
        <w:rPr>
          <w:rFonts w:ascii="Arial" w:cs="Arial" w:eastAsia="Arial" w:hAnsi="Arial"/>
          <w:sz w:val="18"/>
          <w:szCs w:val="18"/>
          <w:color w:val="auto"/>
        </w:rPr>
      </w:pPr>
    </w:p>
    <w:p>
      <w:pPr>
        <w:ind w:left="10" w:right="460" w:firstLine="1421"/>
        <w:spacing w:after="0" w:line="341" w:lineRule="auto"/>
        <w:tabs>
          <w:tab w:leader="none" w:pos="1840" w:val="left"/>
        </w:tabs>
        <w:numPr>
          <w:ilvl w:val="2"/>
          <w:numId w:val="186"/>
        </w:numPr>
        <w:rPr>
          <w:rFonts w:ascii="Arial" w:cs="Arial" w:eastAsia="Arial" w:hAnsi="Arial"/>
          <w:sz w:val="16"/>
          <w:szCs w:val="16"/>
          <w:color w:val="auto"/>
        </w:rPr>
      </w:pPr>
      <w:r>
        <w:rPr>
          <w:rFonts w:ascii="Arial" w:cs="Arial" w:eastAsia="Arial" w:hAnsi="Arial"/>
          <w:sz w:val="16"/>
          <w:szCs w:val="16"/>
          <w:color w:val="auto"/>
        </w:rPr>
        <w:t xml:space="preserve">all contracts and agreements of either Post or BellRing LLC or any of the other members of their respective Groups as of immediately prior to the Effective Time (other than the BellRing Contracts, including the contracts and agreements set forth on </w:t>
      </w:r>
      <w:r>
        <w:rPr>
          <w:rFonts w:ascii="Arial" w:cs="Arial" w:eastAsia="Arial" w:hAnsi="Arial"/>
          <w:sz w:val="16"/>
          <w:szCs w:val="16"/>
          <w:u w:val="single" w:color="auto"/>
          <w:color w:val="auto"/>
        </w:rPr>
        <w:t>Schedule 1.2</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left="1890" w:hanging="459"/>
        <w:spacing w:after="0"/>
        <w:tabs>
          <w:tab w:leader="none" w:pos="189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 xml:space="preserve">all copies of BellRing Records which Post is permitted to retain pursuant to </w:t>
      </w:r>
      <w:r>
        <w:rPr>
          <w:rFonts w:ascii="Arial" w:cs="Arial" w:eastAsia="Arial" w:hAnsi="Arial"/>
          <w:sz w:val="18"/>
          <w:szCs w:val="18"/>
          <w:u w:val="single" w:color="auto"/>
          <w:color w:val="auto"/>
        </w:rPr>
        <w:t>Section 3.3(a)(viii)</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0" w:right="100" w:firstLine="1421"/>
        <w:spacing w:after="0" w:line="263" w:lineRule="auto"/>
        <w:tabs>
          <w:tab w:leader="none" w:pos="18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all Post Intellectual Property Rights and all rights, interests or claims of Post or any of the other members of its Group thereunder as of immediately prior to the Effective Time, including the right to seek, recover and retain damages for the past and future infringement of any Post Intellectual Property Rights;</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0"/>
          </w:cols>
          <w:pgMar w:left="450" w:top="274" w:right="459" w:bottom="1440" w:gutter="0" w:footer="0" w:header="0"/>
        </w:sectPr>
      </w:pPr>
    </w:p>
    <w:bookmarkStart w:id="292" w:name="page293"/>
    <w:bookmarkEnd w:id="292"/>
    <w:p>
      <w:pPr>
        <w:ind w:left="1830" w:hanging="399"/>
        <w:spacing w:after="0"/>
        <w:tabs>
          <w:tab w:leader="none" w:pos="18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Post Technology;</w:t>
      </w:r>
    </w:p>
    <w:p>
      <w:pPr>
        <w:spacing w:after="0" w:line="224" w:lineRule="exact"/>
        <w:rPr>
          <w:rFonts w:ascii="Arial" w:cs="Arial" w:eastAsia="Arial" w:hAnsi="Arial"/>
          <w:sz w:val="18"/>
          <w:szCs w:val="18"/>
          <w:color w:val="auto"/>
        </w:rPr>
      </w:pPr>
    </w:p>
    <w:p>
      <w:pPr>
        <w:ind w:left="1870" w:hanging="439"/>
        <w:spacing w:after="0"/>
        <w:tabs>
          <w:tab w:leader="none" w:pos="187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Accounts Receivable, other than the BellRing Accounts Receivable;</w:t>
      </w:r>
    </w:p>
    <w:p>
      <w:pPr>
        <w:spacing w:after="0" w:line="224" w:lineRule="exact"/>
        <w:rPr>
          <w:rFonts w:ascii="Arial" w:cs="Arial" w:eastAsia="Arial" w:hAnsi="Arial"/>
          <w:sz w:val="18"/>
          <w:szCs w:val="18"/>
          <w:color w:val="auto"/>
        </w:rPr>
      </w:pPr>
    </w:p>
    <w:p>
      <w:pPr>
        <w:ind w:left="1930" w:hanging="499"/>
        <w:spacing w:after="0"/>
        <w:tabs>
          <w:tab w:leader="none" w:pos="19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Post Inventory;</w:t>
      </w:r>
    </w:p>
    <w:p>
      <w:pPr>
        <w:spacing w:after="0" w:line="224" w:lineRule="exact"/>
        <w:rPr>
          <w:rFonts w:ascii="Arial" w:cs="Arial" w:eastAsia="Arial" w:hAnsi="Arial"/>
          <w:sz w:val="18"/>
          <w:szCs w:val="18"/>
          <w:color w:val="auto"/>
        </w:rPr>
      </w:pPr>
    </w:p>
    <w:p>
      <w:pPr>
        <w:ind w:left="10" w:right="40" w:firstLine="1421"/>
        <w:spacing w:after="0" w:line="263" w:lineRule="auto"/>
        <w:tabs>
          <w:tab w:leader="none" w:pos="1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Permits of either Post or BellRing LLC or any of the other members of their respective Groups as of immediately prior to the Effective Time (other than the BellRing Permits) and all rights, interests or claims of either Post or BellRing LLC or any of the other members of their respective Groups thereunder as of immediately prior to the Effective Time;</w:t>
      </w:r>
    </w:p>
    <w:p>
      <w:pPr>
        <w:spacing w:after="0" w:line="182" w:lineRule="exact"/>
        <w:rPr>
          <w:rFonts w:ascii="Arial" w:cs="Arial" w:eastAsia="Arial" w:hAnsi="Arial"/>
          <w:sz w:val="18"/>
          <w:szCs w:val="18"/>
          <w:color w:val="auto"/>
        </w:rPr>
      </w:pPr>
    </w:p>
    <w:p>
      <w:pPr>
        <w:ind w:left="10" w:right="280" w:firstLine="1421"/>
        <w:spacing w:after="0" w:line="277" w:lineRule="auto"/>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Real Property of either Post or BellRing LLC or any of the other members of their respective Groups as of immediately prior to the Effective Time (other than the BellRing Real Property); and</w:t>
      </w:r>
    </w:p>
    <w:p>
      <w:pPr>
        <w:spacing w:after="0" w:line="169" w:lineRule="exact"/>
        <w:rPr>
          <w:rFonts w:ascii="Arial" w:cs="Arial" w:eastAsia="Arial" w:hAnsi="Arial"/>
          <w:sz w:val="18"/>
          <w:szCs w:val="18"/>
          <w:color w:val="auto"/>
        </w:rPr>
      </w:pPr>
    </w:p>
    <w:p>
      <w:pPr>
        <w:ind w:left="1830" w:hanging="399"/>
        <w:spacing w:after="0"/>
        <w:tabs>
          <w:tab w:leader="none" w:pos="183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all cash and cash equivalents of Post and the other members of its Group as of immediately prior to the Effective Time.</w:t>
      </w:r>
    </w:p>
    <w:p>
      <w:pPr>
        <w:spacing w:after="0" w:line="344" w:lineRule="exact"/>
        <w:rPr>
          <w:sz w:val="20"/>
          <w:szCs w:val="20"/>
          <w:color w:val="auto"/>
        </w:rPr>
      </w:pPr>
    </w:p>
    <w:p>
      <w:pPr>
        <w:ind w:left="450"/>
        <w:spacing w:after="0"/>
        <w:tabs>
          <w:tab w:leader="none" w:pos="829"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BellRing Liabilities; Post Liabilities</w:t>
      </w:r>
      <w:r>
        <w:rPr>
          <w:rFonts w:ascii="Arial" w:cs="Arial" w:eastAsia="Arial" w:hAnsi="Arial"/>
          <w:sz w:val="17"/>
          <w:szCs w:val="17"/>
          <w:color w:val="auto"/>
        </w:rPr>
        <w:t>.</w:t>
      </w:r>
    </w:p>
    <w:p>
      <w:pPr>
        <w:spacing w:after="0" w:line="117" w:lineRule="exact"/>
        <w:rPr>
          <w:sz w:val="20"/>
          <w:szCs w:val="20"/>
          <w:color w:val="auto"/>
        </w:rPr>
      </w:pPr>
    </w:p>
    <w:p>
      <w:pPr>
        <w:ind w:left="10" w:right="520" w:firstLine="981"/>
        <w:spacing w:after="0" w:line="277"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BellRing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BellRing Liabilities</w:t>
      </w:r>
      <w:r>
        <w:rPr>
          <w:rFonts w:ascii="Arial" w:cs="Arial" w:eastAsia="Arial" w:hAnsi="Arial"/>
          <w:sz w:val="18"/>
          <w:szCs w:val="18"/>
          <w:color w:val="auto"/>
        </w:rPr>
        <w:t>” shall mean the following Liabilities of Post or BellRing LLC or any of the other members of their respective Groups:</w:t>
      </w:r>
    </w:p>
    <w:p>
      <w:pPr>
        <w:spacing w:after="0" w:line="169" w:lineRule="exact"/>
        <w:rPr>
          <w:rFonts w:ascii="Arial" w:cs="Arial" w:eastAsia="Arial" w:hAnsi="Arial"/>
          <w:sz w:val="18"/>
          <w:szCs w:val="18"/>
          <w:color w:val="auto"/>
        </w:rPr>
      </w:pPr>
    </w:p>
    <w:p>
      <w:pPr>
        <w:jc w:val="both"/>
        <w:ind w:left="10" w:firstLine="1421"/>
        <w:spacing w:after="0" w:line="259" w:lineRule="auto"/>
        <w:tabs>
          <w:tab w:leader="none" w:pos="179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 xml:space="preserve">all Liabilities included or reflected as liabilities or obligations of BellRing LLC or the other members of the BellRing Group on the BellRing Balance Sheet, subject to any discharge of such Liabilities subsequent to the date of the BellRing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set forth on the BellRing Balance Sheet with respect to any Liabilities shall not be treated as minimum amounts or limitations on the amount of such Liabilities that are included in the definition of BellRing Liabilities pursuant to this clause (i);</w:t>
      </w:r>
    </w:p>
    <w:p>
      <w:pPr>
        <w:spacing w:after="0" w:line="185" w:lineRule="exact"/>
        <w:rPr>
          <w:rFonts w:ascii="Arial" w:cs="Arial" w:eastAsia="Arial" w:hAnsi="Arial"/>
          <w:sz w:val="18"/>
          <w:szCs w:val="18"/>
          <w:color w:val="auto"/>
        </w:rPr>
      </w:pPr>
    </w:p>
    <w:p>
      <w:pPr>
        <w:jc w:val="both"/>
        <w:ind w:left="10" w:firstLine="1421"/>
        <w:spacing w:after="0" w:line="286" w:lineRule="auto"/>
        <w:tabs>
          <w:tab w:leader="none" w:pos="184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all Liabilities as of immediately prior to the Effective Time that are of a nature or type that would have resulted in such Liabilities being included or reflected as liabilities or obligations of BellRing LLC or the other members of the BellRing Group on an unaudited condensed consolidated balance sheet of the BellRing Group or any notes thereto as of immediately prior to the Effective Time (were such balance sheet and notes to be prepared on a basis consistent with the determination of the Liabilities included on the BellRing Balance Sheet), it being understood that</w:t>
      </w:r>
    </w:p>
    <w:p>
      <w:pPr>
        <w:ind w:left="10" w:right="100" w:hanging="10"/>
        <w:spacing w:after="0" w:line="253" w:lineRule="auto"/>
        <w:tabs>
          <w:tab w:leader="none" w:pos="2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BellRing Balance Sheet shall be used to determine the types of, and methodologies used to determine, those Liabilities that are included in the definition of BellRing Liabilities pursuant to this clause (ii); and (y) the amounts set forth on the BellRing Balance Sheet with respect to any Liabilities shall not be treated as minimum amounts or limitations on the amount of such Liabilities that are included in the definition of BellRing Liabilities pursuant to this clause (ii);</w:t>
      </w:r>
    </w:p>
    <w:p>
      <w:pPr>
        <w:spacing w:after="0" w:line="191" w:lineRule="exact"/>
        <w:rPr>
          <w:rFonts w:ascii="Arial" w:cs="Arial" w:eastAsia="Arial" w:hAnsi="Arial"/>
          <w:sz w:val="18"/>
          <w:szCs w:val="18"/>
          <w:color w:val="auto"/>
        </w:rPr>
      </w:pPr>
    </w:p>
    <w:p>
      <w:pPr>
        <w:ind w:left="1890" w:hanging="459"/>
        <w:spacing w:after="0"/>
        <w:tabs>
          <w:tab w:leader="none" w:pos="189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any and all BellRing Accounts Payable;</w:t>
      </w:r>
    </w:p>
    <w:p>
      <w:pPr>
        <w:spacing w:after="0" w:line="224" w:lineRule="exact"/>
        <w:rPr>
          <w:rFonts w:ascii="Arial" w:cs="Arial" w:eastAsia="Arial" w:hAnsi="Arial"/>
          <w:sz w:val="18"/>
          <w:szCs w:val="18"/>
          <w:color w:val="auto"/>
        </w:rPr>
      </w:pPr>
    </w:p>
    <w:p>
      <w:pPr>
        <w:ind w:left="10" w:right="20" w:firstLine="1421"/>
        <w:spacing w:after="0" w:line="263" w:lineRule="auto"/>
        <w:tabs>
          <w:tab w:leader="none" w:pos="188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this </w:t>
      </w:r>
      <w:r>
        <w:rPr>
          <w:rFonts w:ascii="Arial" w:cs="Arial" w:eastAsia="Arial" w:hAnsi="Arial"/>
          <w:sz w:val="18"/>
          <w:szCs w:val="18"/>
          <w:u w:val="single" w:color="auto"/>
          <w:color w:val="auto"/>
        </w:rPr>
        <w:t>Section 3.4(a)</w:t>
      </w:r>
      <w:r>
        <w:rPr>
          <w:rFonts w:ascii="Arial" w:cs="Arial" w:eastAsia="Arial" w:hAnsi="Arial"/>
          <w:sz w:val="18"/>
          <w:szCs w:val="18"/>
          <w:color w:val="auto"/>
        </w:rPr>
        <w:t>, any and all Liabilities, including any Environmental Liabilities, relating to, arising out of or resulting from the actions, inactions, events, omissions, conditions, facts or circumstances occurring or existing prior to, at or after the Effective Time (whether or not such Liabilities cease being contingent, mature, become known, are</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70"/>
          </w:cols>
          <w:pgMar w:left="450" w:top="274" w:right="479" w:bottom="1440" w:gutter="0" w:footer="0" w:header="0"/>
        </w:sectPr>
      </w:pPr>
    </w:p>
    <w:bookmarkStart w:id="293" w:name="page294"/>
    <w:bookmarkEnd w:id="293"/>
    <w:p>
      <w:pPr>
        <w:ind w:left="1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asserted or foreseen, or accrue, in each case before, at or after the Effective Time), in each case to the extent that such Liabilities relate to, arise out of or result from the BellRing Business, any BellRing Asset or any BellRing Product;</w:t>
      </w:r>
    </w:p>
    <w:p>
      <w:pPr>
        <w:spacing w:after="0" w:line="170" w:lineRule="exact"/>
        <w:rPr>
          <w:sz w:val="20"/>
          <w:szCs w:val="20"/>
          <w:color w:val="auto"/>
        </w:rPr>
      </w:pPr>
    </w:p>
    <w:p>
      <w:pPr>
        <w:ind w:left="10" w:right="180" w:firstLine="1421"/>
        <w:spacing w:after="0" w:line="259" w:lineRule="auto"/>
        <w:tabs>
          <w:tab w:leader="none" w:pos="18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and all Liabilities that are expressly provided by this Agreement or any Ancillary Agreement (or the Schedules hereto or thereto) as Liabilities to be assumed by BellRing LLC or any other member of the BellRing Group, including all Liabilities of Post and any other member of the Post Group under the Bridge Loan, and all agreements, obligations and Liabilities of any member of the BellRing Group under this Agreement or any of the Ancillary Agreements; and</w:t>
      </w:r>
    </w:p>
    <w:p>
      <w:pPr>
        <w:spacing w:after="0" w:line="185" w:lineRule="exact"/>
        <w:rPr>
          <w:rFonts w:ascii="Arial" w:cs="Arial" w:eastAsia="Arial" w:hAnsi="Arial"/>
          <w:sz w:val="18"/>
          <w:szCs w:val="18"/>
          <w:color w:val="auto"/>
        </w:rPr>
      </w:pPr>
    </w:p>
    <w:p>
      <w:pPr>
        <w:ind w:left="10" w:right="40" w:firstLine="1421"/>
        <w:spacing w:after="0" w:line="259" w:lineRule="auto"/>
        <w:tabs>
          <w:tab w:leader="none" w:pos="1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Liabilities arising out of claims made by any Third Party (including Post’s, BellRing Inc.’s or BellRing LLC’s respective directors, officers, members, managers, stockholders, employees and agents) against any member of the Post Group or the BellRing Group to the extent relating to, arising out of or resulting from the BellRing Business or the BellRing Assets, or the other business, operations, activities or Liabilities referred to in clauses (i) through (vi) above.</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16"/>
          <w:szCs w:val="16"/>
          <w:color w:val="auto"/>
        </w:rPr>
        <w:t>Notwithstanding the foregoing, the Parties hereby acknowledge and agree that (A) while a single Liability may fall within more than one of the clauses</w:t>
      </w:r>
    </w:p>
    <w:p>
      <w:pPr>
        <w:spacing w:after="0" w:line="46" w:lineRule="exact"/>
        <w:rPr>
          <w:sz w:val="20"/>
          <w:szCs w:val="20"/>
          <w:color w:val="auto"/>
        </w:rPr>
      </w:pPr>
    </w:p>
    <w:p>
      <w:pPr>
        <w:jc w:val="both"/>
        <w:ind w:left="10" w:right="100" w:hanging="10"/>
        <w:spacing w:after="0" w:line="255" w:lineRule="auto"/>
        <w:tabs>
          <w:tab w:leader="none" w:pos="22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through (vii) in this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such fact does not imply that (x) such Liability shall be transferred more than once or (y) any duplication of such Liability is required, and (B) the BellRing Liabilities shall not in any event include any Liability referred to in clauses (i) through (iv) of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or any Inc. Liabilities.</w:t>
      </w:r>
    </w:p>
    <w:p>
      <w:pPr>
        <w:spacing w:after="0" w:line="189" w:lineRule="exact"/>
        <w:rPr>
          <w:rFonts w:ascii="Arial" w:cs="Arial" w:eastAsia="Arial" w:hAnsi="Arial"/>
          <w:sz w:val="18"/>
          <w:szCs w:val="18"/>
          <w:color w:val="auto"/>
        </w:rPr>
      </w:pPr>
    </w:p>
    <w:p>
      <w:pPr>
        <w:ind w:left="10" w:right="40" w:firstLine="981"/>
        <w:spacing w:after="0" w:line="277" w:lineRule="auto"/>
        <w:tabs>
          <w:tab w:leader="none" w:pos="1390"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Post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Post Liabilities</w:t>
      </w:r>
      <w:r>
        <w:rPr>
          <w:rFonts w:ascii="Arial" w:cs="Arial" w:eastAsia="Arial" w:hAnsi="Arial"/>
          <w:sz w:val="18"/>
          <w:szCs w:val="18"/>
          <w:color w:val="auto"/>
        </w:rPr>
        <w:t>” shall mean the following Liabilities of either Post or BellRing LLC or any of the other members of their respective Groups:</w:t>
      </w:r>
    </w:p>
    <w:p>
      <w:pPr>
        <w:spacing w:after="0" w:line="169" w:lineRule="exact"/>
        <w:rPr>
          <w:rFonts w:ascii="Arial" w:cs="Arial" w:eastAsia="Arial" w:hAnsi="Arial"/>
          <w:sz w:val="18"/>
          <w:szCs w:val="18"/>
          <w:color w:val="auto"/>
        </w:rPr>
      </w:pPr>
    </w:p>
    <w:p>
      <w:pPr>
        <w:ind w:left="1790" w:hanging="359"/>
        <w:spacing w:after="0"/>
        <w:tabs>
          <w:tab w:leader="none" w:pos="179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any and all Accounts Payable, other than the BellRing Accounts Payable;</w:t>
      </w:r>
    </w:p>
    <w:p>
      <w:pPr>
        <w:spacing w:after="0" w:line="224" w:lineRule="exact"/>
        <w:rPr>
          <w:rFonts w:ascii="Arial" w:cs="Arial" w:eastAsia="Arial" w:hAnsi="Arial"/>
          <w:sz w:val="18"/>
          <w:szCs w:val="18"/>
          <w:color w:val="auto"/>
        </w:rPr>
      </w:pPr>
    </w:p>
    <w:p>
      <w:pPr>
        <w:ind w:left="10" w:firstLine="1421"/>
        <w:spacing w:after="0" w:line="256" w:lineRule="auto"/>
        <w:tabs>
          <w:tab w:leader="none" w:pos="18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any and all Liabilities, including any Environmental Liabilities, relating to, arising out of or resulting from actions, inactions, events, omissions, conditions, facts or circumstances occurring or existing prior to, at or after the Effective Time (whether or not such Liabilities cease being contingent, mature, become known, are asserted or foreseen, or accrue, in each case before, at or after the Effective Time) of any member of the Post Group, and, prior to the Effective Time, BellRing Inc. or any member of the BellRing Group, in each case, to the extent that such Liabilities are not BellRing Liabilities;</w:t>
      </w:r>
    </w:p>
    <w:p>
      <w:pPr>
        <w:spacing w:after="0" w:line="191" w:lineRule="exact"/>
        <w:rPr>
          <w:rFonts w:ascii="Arial" w:cs="Arial" w:eastAsia="Arial" w:hAnsi="Arial"/>
          <w:sz w:val="18"/>
          <w:szCs w:val="18"/>
          <w:color w:val="auto"/>
        </w:rPr>
      </w:pPr>
    </w:p>
    <w:p>
      <w:pPr>
        <w:ind w:left="10" w:right="120" w:firstLine="1421"/>
        <w:spacing w:after="0" w:line="263" w:lineRule="auto"/>
        <w:tabs>
          <w:tab w:leader="none" w:pos="189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all Liabilities that are expressly provided by this Agreement or any Ancillary Agreement (or the Schedules hereto or thereto) as Liabilities to be assumed by Post or any other member of the Post Group, and all agreements, obligations and Liabilities of any member of the Post Group under this Agreement or any of the Ancillary Agreements; and</w:t>
      </w:r>
    </w:p>
    <w:p>
      <w:pPr>
        <w:spacing w:after="0" w:line="182" w:lineRule="exact"/>
        <w:rPr>
          <w:rFonts w:ascii="Arial" w:cs="Arial" w:eastAsia="Arial" w:hAnsi="Arial"/>
          <w:sz w:val="18"/>
          <w:szCs w:val="18"/>
          <w:color w:val="auto"/>
        </w:rPr>
      </w:pPr>
    </w:p>
    <w:p>
      <w:pPr>
        <w:ind w:left="10" w:right="40" w:firstLine="1421"/>
        <w:spacing w:after="0" w:line="279" w:lineRule="auto"/>
        <w:tabs>
          <w:tab w:leader="none" w:pos="1880" w:val="left"/>
        </w:tabs>
        <w:numPr>
          <w:ilvl w:val="2"/>
          <w:numId w:val="191"/>
        </w:numPr>
        <w:rPr>
          <w:rFonts w:ascii="Arial" w:cs="Arial" w:eastAsia="Arial" w:hAnsi="Arial"/>
          <w:sz w:val="17"/>
          <w:szCs w:val="17"/>
          <w:color w:val="auto"/>
        </w:rPr>
      </w:pPr>
      <w:r>
        <w:rPr>
          <w:rFonts w:ascii="Arial" w:cs="Arial" w:eastAsia="Arial" w:hAnsi="Arial"/>
          <w:sz w:val="17"/>
          <w:szCs w:val="17"/>
          <w:color w:val="auto"/>
        </w:rPr>
        <w:t>all Liabilities arising out of claims made by any Third Party (including Post’s, BellRing Inc.’s or BellRing LLC’s respective directors, officers, members, managers, stockholders, employees and agents) against any member of the Post Group or the BellRing Group to the extent relating to, arising out of or resulting from the Post Business or the Post Assets, or the other business, operations, activities or Liabilities referred to in clauses (i) through (iii) above, in each case, to the extent that such Liabilities are not BellRing Liabilities.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Notwithstanding the foregoing, the Post Liabilities shall not in any event include any Inc. Liabilities.</w:t>
      </w:r>
    </w:p>
    <w:p>
      <w:pPr>
        <w:spacing w:after="0" w:line="157" w:lineRule="exact"/>
        <w:rPr>
          <w:sz w:val="20"/>
          <w:szCs w:val="20"/>
          <w:color w:val="auto"/>
        </w:rPr>
      </w:pPr>
    </w:p>
    <w:p>
      <w:pPr>
        <w:ind w:left="541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70"/>
          </w:cols>
          <w:pgMar w:left="450" w:top="274" w:right="479" w:bottom="1440" w:gutter="0" w:footer="0" w:header="0"/>
        </w:sectPr>
      </w:pPr>
    </w:p>
    <w:bookmarkStart w:id="294" w:name="page295"/>
    <w:bookmarkEnd w:id="294"/>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w:t>
      </w:r>
      <w:r>
        <w:rPr>
          <w:sz w:val="20"/>
          <w:szCs w:val="20"/>
          <w:color w:val="auto"/>
        </w:rPr>
        <w:tab/>
      </w:r>
      <w:r>
        <w:rPr>
          <w:rFonts w:ascii="Arial" w:cs="Arial" w:eastAsia="Arial" w:hAnsi="Arial"/>
          <w:sz w:val="16"/>
          <w:szCs w:val="16"/>
          <w:u w:val="single" w:color="auto"/>
          <w:color w:val="auto"/>
        </w:rPr>
        <w:t>Approvals and Notifications</w:t>
      </w:r>
      <w:r>
        <w:rPr>
          <w:rFonts w:ascii="Arial" w:cs="Arial" w:eastAsia="Arial" w:hAnsi="Arial"/>
          <w:sz w:val="16"/>
          <w:szCs w:val="16"/>
          <w:color w:val="auto"/>
        </w:rPr>
        <w:t>.</w:t>
      </w:r>
    </w:p>
    <w:p>
      <w:pPr>
        <w:spacing w:after="0" w:line="117" w:lineRule="exact"/>
        <w:rPr>
          <w:sz w:val="20"/>
          <w:szCs w:val="20"/>
          <w:color w:val="auto"/>
        </w:rPr>
      </w:pPr>
    </w:p>
    <w:p>
      <w:pPr>
        <w:ind w:right="60" w:firstLine="981"/>
        <w:spacing w:after="0" w:line="293" w:lineRule="auto"/>
        <w:tabs>
          <w:tab w:leader="none" w:pos="1370"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Approvals and Notifications for BellRing Assets</w:t>
      </w:r>
      <w:r>
        <w:rPr>
          <w:rFonts w:ascii="Arial" w:cs="Arial" w:eastAsia="Arial" w:hAnsi="Arial"/>
          <w:sz w:val="16"/>
          <w:szCs w:val="16"/>
          <w:color w:val="auto"/>
        </w:rPr>
        <w:t xml:space="preserve">. To the extent that the transfer or assignment of any BellRing Asset, the assumption of any BellRing Liability, the IPO or the Formation Transactions requires any Approvals or Notifications, Post, BellRing Inc. and BellRing LLC shall use their commercially reasonable efforts to obtain or make such Approvals or Notifications as soon as reasonably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expressly provided in this Agreement or any of the Ancillary Agreements or as otherwise agreed among Post, BellRing Inc. and BellRing LLC, none of Post, BellRing Inc. or BellRing LLC shall be obligated to contribute capital or pay any consideration in any form (including providing any letter of credit, guaranty or other financial accommodation) to any Person in order to obtain or make such Approvals or Notifications.</w:t>
      </w:r>
    </w:p>
    <w:p>
      <w:pPr>
        <w:spacing w:after="0" w:line="163" w:lineRule="exact"/>
        <w:rPr>
          <w:rFonts w:ascii="Arial" w:cs="Arial" w:eastAsia="Arial" w:hAnsi="Arial"/>
          <w:sz w:val="16"/>
          <w:szCs w:val="16"/>
          <w:color w:val="auto"/>
        </w:rPr>
      </w:pPr>
    </w:p>
    <w:p>
      <w:pPr>
        <w:jc w:val="both"/>
        <w:ind w:right="80" w:firstLine="981"/>
        <w:spacing w:after="0" w:line="290" w:lineRule="auto"/>
        <w:tabs>
          <w:tab w:leader="none" w:pos="1380"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Delayed BellRing Transfers</w:t>
      </w:r>
      <w:r>
        <w:rPr>
          <w:rFonts w:ascii="Arial" w:cs="Arial" w:eastAsia="Arial" w:hAnsi="Arial"/>
          <w:sz w:val="16"/>
          <w:szCs w:val="16"/>
          <w:color w:val="auto"/>
        </w:rPr>
        <w:t>. If and to the extent that the valid, complete and perfected transfer or assignment to the BellRing Group of any BellRing Asset or assumption by the BellRing Group of any BellRing Liability in connection with the IPO or the Formation Transactions would be a violation of applicable Law or require any Approvals or Notifications that have not been obtained or made as of immediately prior to the Effective Time, then, unless Post, BellRing Inc. and BellRing LLC mutually shall otherwise determine, the transfer or assignment to the BellRing Group of such BellRing Assets or the assumption by the BellRing Group of such BellRing Liabilities, as the case may be, shall be automatically deemed deferred and any such purported transfer, assignment or assumption shall be null and void until such time as all legal impediments are removed or such Approvals or Notifications have been obtained or made. Notwithstanding the foregoing, any such BellRing Assets or BellRing Liabilities shall continue to constitute BellRing Assets and BellRing Liabilities for all other purposes of this Agreement.</w:t>
      </w:r>
    </w:p>
    <w:p>
      <w:pPr>
        <w:spacing w:after="0" w:line="163" w:lineRule="exact"/>
        <w:rPr>
          <w:rFonts w:ascii="Arial" w:cs="Arial" w:eastAsia="Arial" w:hAnsi="Arial"/>
          <w:sz w:val="16"/>
          <w:szCs w:val="16"/>
          <w:color w:val="auto"/>
        </w:rPr>
      </w:pPr>
    </w:p>
    <w:p>
      <w:pPr>
        <w:ind w:firstLine="981"/>
        <w:spacing w:after="0" w:line="285" w:lineRule="auto"/>
        <w:tabs>
          <w:tab w:leader="none" w:pos="1370"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Treatment of Delayed BellRing Assets and Delayed BellRing Liabilities</w:t>
      </w:r>
      <w:r>
        <w:rPr>
          <w:rFonts w:ascii="Arial" w:cs="Arial" w:eastAsia="Arial" w:hAnsi="Arial"/>
          <w:sz w:val="16"/>
          <w:szCs w:val="16"/>
          <w:color w:val="auto"/>
        </w:rPr>
        <w:t xml:space="preserve">. If any transfer or assignment of any BellRing Asset (or a portion thereof) or any assumption of any BellRing Liability (or a portion thereof) intended to be transferred, assigned or assumed hereunder, as the case may be, is not consummated as of immediately prior to the Effective Time, whether as a result of the provisions of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or for any other reason (any such BellRing Asset (or a portion thereof), a “</w:t>
      </w:r>
      <w:r>
        <w:rPr>
          <w:rFonts w:ascii="Arial" w:cs="Arial" w:eastAsia="Arial" w:hAnsi="Arial"/>
          <w:sz w:val="16"/>
          <w:szCs w:val="16"/>
          <w:u w:val="single" w:color="auto"/>
          <w:color w:val="auto"/>
        </w:rPr>
        <w:t>Delayed BellRing Asset</w:t>
      </w:r>
      <w:r>
        <w:rPr>
          <w:rFonts w:ascii="Arial" w:cs="Arial" w:eastAsia="Arial" w:hAnsi="Arial"/>
          <w:sz w:val="16"/>
          <w:szCs w:val="16"/>
          <w:color w:val="auto"/>
        </w:rPr>
        <w:t>,” and any such BellRing Liability (or a portion thereof), a “</w:t>
      </w:r>
      <w:r>
        <w:rPr>
          <w:rFonts w:ascii="Arial" w:cs="Arial" w:eastAsia="Arial" w:hAnsi="Arial"/>
          <w:sz w:val="16"/>
          <w:szCs w:val="16"/>
          <w:u w:val="single" w:color="auto"/>
          <w:color w:val="auto"/>
        </w:rPr>
        <w:t>Delayed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BellRing Liability</w:t>
      </w:r>
      <w:r>
        <w:rPr>
          <w:rFonts w:ascii="Arial" w:cs="Arial" w:eastAsia="Arial" w:hAnsi="Arial"/>
          <w:sz w:val="16"/>
          <w:szCs w:val="16"/>
          <w:color w:val="auto"/>
        </w:rPr>
        <w:t>”), then, insofar as reasonably possible and subject to applicable Law, the member of the Post Group retaining such Delayed BellRing Asset or such Delayed BellRing Liability, as the case may be, shall thereafter hold such Delayed BellRing Asset or Delayed BellRing Liability, as the case may be, for the use and benefit (or the performance and obligation, in the case of a Liability) of the member of the BellRing Group entitled thereto (at the expense of the member of the BellRing Group entitled thereto). In addition, the member of the Post Group retaining such Delayed BellRing Asset or such Delayed BellRing Liability shall, insofar as reasonably possible and to the extent permitted by applicable Law, treat such Delayed BellRing Asset or Delayed BellRing Liability in the ordinary course of business in accordance with past practice and take such other actions as may be reasonably requested by the member of the BellRing Group to whom such Delayed BellRing Asset is to be transferred or assigned, or which will assume such Delayed BellRing Liability, as the case may be, in order to place such member of the BellRing Group in a substantially similar position as if such Delayed BellRing Asset or Delayed BellRing Liability had been transferred, assigned or assumed as contemplated hereby and so that all of the benefits and burdens relating to such Delayed BellRing Asset or Delayed BellRing Liability, as the case may be, including use, risk of loss, potential for gain and dominion, control and command over such Delayed BellRing Asset or Delayed BellRing Liability, as the case may be, and all costs and expenses related thereto, shall inure from and after the Effective Time to the BellRing Group.</w:t>
      </w:r>
    </w:p>
    <w:p>
      <w:pPr>
        <w:spacing w:after="0" w:line="173" w:lineRule="exact"/>
        <w:rPr>
          <w:rFonts w:ascii="Arial" w:cs="Arial" w:eastAsia="Arial" w:hAnsi="Arial"/>
          <w:sz w:val="16"/>
          <w:szCs w:val="16"/>
          <w:color w:val="auto"/>
        </w:rPr>
      </w:pPr>
    </w:p>
    <w:p>
      <w:pPr>
        <w:ind w:right="240" w:firstLine="981"/>
        <w:spacing w:after="0" w:line="286" w:lineRule="auto"/>
        <w:tabs>
          <w:tab w:leader="none" w:pos="138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Transfer of Delayed BellRing Assets and Delayed BellRing Liabilities</w:t>
      </w:r>
      <w:r>
        <w:rPr>
          <w:rFonts w:ascii="Arial" w:cs="Arial" w:eastAsia="Arial" w:hAnsi="Arial"/>
          <w:sz w:val="17"/>
          <w:szCs w:val="17"/>
          <w:color w:val="auto"/>
        </w:rPr>
        <w:t xml:space="preserve">. If and when the Approvals or Notifications, the absence of which caused the deferral of transfer or assignment of any Delayed BellRing Asset or the deferral of assumption of any Delayed BellRing Liability pursuant to </w:t>
      </w:r>
      <w:r>
        <w:rPr>
          <w:rFonts w:ascii="Arial" w:cs="Arial" w:eastAsia="Arial" w:hAnsi="Arial"/>
          <w:sz w:val="17"/>
          <w:szCs w:val="17"/>
          <w:u w:val="single" w:color="auto"/>
          <w:color w:val="auto"/>
        </w:rPr>
        <w:t>Section 3.5(b)</w:t>
      </w:r>
      <w:r>
        <w:rPr>
          <w:rFonts w:ascii="Arial" w:cs="Arial" w:eastAsia="Arial" w:hAnsi="Arial"/>
          <w:sz w:val="17"/>
          <w:szCs w:val="17"/>
          <w:color w:val="auto"/>
        </w:rPr>
        <w:t>, are obtained or made, and, if and when any other legal impediments for the transfer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295" w:name="page296"/>
    <w:bookmarkEnd w:id="295"/>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of any Delayed BellRing Asset or the assumption of any Delayed BellRing Liability have been removed, the transfer or assignment of the applicable Delayed BellRing Asset or the assumption of the applicable Delayed BellRing Liability, as the case may be, shall be effected in accordance with the terms of this Agreement and/or the applicable Ancillary Agreement.</w:t>
      </w:r>
    </w:p>
    <w:p>
      <w:pPr>
        <w:spacing w:after="0" w:line="183" w:lineRule="exact"/>
        <w:rPr>
          <w:sz w:val="20"/>
          <w:szCs w:val="20"/>
          <w:color w:val="auto"/>
        </w:rPr>
      </w:pPr>
    </w:p>
    <w:p>
      <w:pPr>
        <w:ind w:firstLine="981"/>
        <w:spacing w:after="0" w:line="272" w:lineRule="auto"/>
        <w:tabs>
          <w:tab w:leader="none" w:pos="137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Costs for Delayed BellRing Assets and Delayed BellRing Liabilities</w:t>
      </w:r>
      <w:r>
        <w:rPr>
          <w:rFonts w:ascii="Arial" w:cs="Arial" w:eastAsia="Arial" w:hAnsi="Arial"/>
          <w:sz w:val="17"/>
          <w:szCs w:val="17"/>
          <w:color w:val="auto"/>
        </w:rPr>
        <w:t>. Except as otherwise agreed in writing among Post, BellRing Inc. and BellRing LLC, any member of the Post Group retaining a Delayed BellRing Asset or Delayed BellRing Liability due to the deferral of the transfer or assignment of such Delayed BellRing Asset or the deferral of the assumption of such Delayed BellRing Liability, as the case may be, shall not be obligated, in connection with the foregoing, to expend any money unless the necessary funds are advanced (or otherwise made available) by BellRing LLC or the member of the BellRing Group entitled to the Delayed BellRing Asset or Delayed BellRing Liability, other than reasonable out-of-pocket expenses, outside attorneys’ fees and recording or similar fees, all of which shall be promptly reimbursed by BellRing LLC or the member of the BellRing Group entitled to such Delayed BellRing Asset or Delayed BellRing Liability.</w:t>
      </w:r>
    </w:p>
    <w:p>
      <w:pPr>
        <w:spacing w:after="0" w:line="175" w:lineRule="exact"/>
        <w:rPr>
          <w:rFonts w:ascii="Arial" w:cs="Arial" w:eastAsia="Arial" w:hAnsi="Arial"/>
          <w:sz w:val="17"/>
          <w:szCs w:val="17"/>
          <w:color w:val="auto"/>
        </w:rPr>
      </w:pPr>
    </w:p>
    <w:p>
      <w:pPr>
        <w:ind w:firstLine="981"/>
        <w:spacing w:after="0" w:line="293" w:lineRule="auto"/>
        <w:tabs>
          <w:tab w:leader="none" w:pos="135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Approvals and Notifications for Post Assets</w:t>
      </w:r>
      <w:r>
        <w:rPr>
          <w:rFonts w:ascii="Arial" w:cs="Arial" w:eastAsia="Arial" w:hAnsi="Arial"/>
          <w:sz w:val="16"/>
          <w:szCs w:val="16"/>
          <w:color w:val="auto"/>
        </w:rPr>
        <w:t xml:space="preserve">. To the extent that the transfer or assignment of any Post Asset, the assumption of any Post Liability, the Formation Transactions or the IPO requires any Approvals or Notifications, Post, BellRing Inc. and BellRing LLC shall use their commercially reasonable efforts to obtain or make such Approvals or Notifications as soon as reasonably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expressly provided in this Agreement or any of the Ancillary Agreements or as otherwise agreed among Post, BellRing Inc. and BellRing LLC, none of Post, BellRing Inc. or BellRing LLC shall be obligated to contribute capital or pay any consideration in any form (including providing any letter of credit, guaranty or other financial accommodation) to any Person in order to obtain or make such Approvals or Notifications.</w:t>
      </w:r>
    </w:p>
    <w:p>
      <w:pPr>
        <w:spacing w:after="0" w:line="163" w:lineRule="exact"/>
        <w:rPr>
          <w:rFonts w:ascii="Arial" w:cs="Arial" w:eastAsia="Arial" w:hAnsi="Arial"/>
          <w:sz w:val="16"/>
          <w:szCs w:val="16"/>
          <w:color w:val="auto"/>
        </w:rPr>
      </w:pPr>
    </w:p>
    <w:p>
      <w:pPr>
        <w:ind w:firstLine="981"/>
        <w:spacing w:after="0" w:line="254" w:lineRule="auto"/>
        <w:tabs>
          <w:tab w:leader="none" w:pos="13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Delayed Post Transfers</w:t>
      </w:r>
      <w:r>
        <w:rPr>
          <w:rFonts w:ascii="Arial" w:cs="Arial" w:eastAsia="Arial" w:hAnsi="Arial"/>
          <w:sz w:val="18"/>
          <w:szCs w:val="18"/>
          <w:color w:val="auto"/>
        </w:rPr>
        <w:t>. If and to the extent that the valid, complete and perfected transfer or assignment to the Post Group of any Post Asset or assumption by the Post Group of any Post Liability in connection with the IPO or the Formation Transactions would be a violation of applicable Law or require any Approvals or Notifications that have not been obtained or made as of immediately prior to the Effective Time then, unless Post, BellRing Inc. and BellRing LLC mutually shall otherwise determine, the transfer or assignment to the Post Group of such Post Assets or the assumption by the Post Group of such Post Liabilities, as the case may be, shall be automatically deemed deferred and any such purported transfer, assignment or assumption shall be null and void until such time as all legal impediments are removed or such Approvals or Notifications have been obtained or made. Notwithstanding the foregoing, any such Post Assets or Post Liabilities shall continue to constitute Post Assets and Post Liabilities for all other purposes of this Agreement.</w:t>
      </w:r>
    </w:p>
    <w:p>
      <w:pPr>
        <w:spacing w:after="0" w:line="190" w:lineRule="exact"/>
        <w:rPr>
          <w:rFonts w:ascii="Arial" w:cs="Arial" w:eastAsia="Arial" w:hAnsi="Arial"/>
          <w:sz w:val="18"/>
          <w:szCs w:val="18"/>
          <w:color w:val="auto"/>
        </w:rPr>
      </w:pPr>
    </w:p>
    <w:p>
      <w:pPr>
        <w:ind w:right="20" w:firstLine="981"/>
        <w:spacing w:after="0" w:line="289" w:lineRule="auto"/>
        <w:tabs>
          <w:tab w:leader="none" w:pos="138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Treatment of Delayed Post Assets and Delayed Post Liabilities</w:t>
      </w:r>
      <w:r>
        <w:rPr>
          <w:rFonts w:ascii="Arial" w:cs="Arial" w:eastAsia="Arial" w:hAnsi="Arial"/>
          <w:sz w:val="16"/>
          <w:szCs w:val="16"/>
          <w:color w:val="auto"/>
        </w:rPr>
        <w:t xml:space="preserve">. If any transfer or assignment of any Post Asset (or a portion thereof) or any assumption of any Post Liability (or a portion thereof) intended to be transferred, assigned or assumed hereunder, as the case may be, is not consummated as of immediately prior to the Effective Time whether as a result of the provisions of </w:t>
      </w:r>
      <w:r>
        <w:rPr>
          <w:rFonts w:ascii="Arial" w:cs="Arial" w:eastAsia="Arial" w:hAnsi="Arial"/>
          <w:sz w:val="16"/>
          <w:szCs w:val="16"/>
          <w:u w:val="single" w:color="auto"/>
          <w:color w:val="auto"/>
        </w:rPr>
        <w:t>Section 3.5(g)</w:t>
      </w:r>
      <w:r>
        <w:rPr>
          <w:rFonts w:ascii="Arial" w:cs="Arial" w:eastAsia="Arial" w:hAnsi="Arial"/>
          <w:sz w:val="16"/>
          <w:szCs w:val="16"/>
          <w:color w:val="auto"/>
        </w:rPr>
        <w:t xml:space="preserve"> or for any other reason (any such Post Asset (or a portion thereof), a “</w:t>
      </w:r>
      <w:r>
        <w:rPr>
          <w:rFonts w:ascii="Arial" w:cs="Arial" w:eastAsia="Arial" w:hAnsi="Arial"/>
          <w:sz w:val="16"/>
          <w:szCs w:val="16"/>
          <w:u w:val="single" w:color="auto"/>
          <w:color w:val="auto"/>
        </w:rPr>
        <w:t>Delayed Post Asset</w:t>
      </w:r>
      <w:r>
        <w:rPr>
          <w:rFonts w:ascii="Arial" w:cs="Arial" w:eastAsia="Arial" w:hAnsi="Arial"/>
          <w:sz w:val="16"/>
          <w:szCs w:val="16"/>
          <w:color w:val="auto"/>
        </w:rPr>
        <w:t>,” and any such Post Liability (or a portion thereof), a “</w:t>
      </w:r>
      <w:r>
        <w:rPr>
          <w:rFonts w:ascii="Arial" w:cs="Arial" w:eastAsia="Arial" w:hAnsi="Arial"/>
          <w:sz w:val="16"/>
          <w:szCs w:val="16"/>
          <w:u w:val="single" w:color="auto"/>
          <w:color w:val="auto"/>
        </w:rPr>
        <w:t>Delayed Post Liability</w:t>
      </w:r>
      <w:r>
        <w:rPr>
          <w:rFonts w:ascii="Arial" w:cs="Arial" w:eastAsia="Arial" w:hAnsi="Arial"/>
          <w:sz w:val="16"/>
          <w:szCs w:val="16"/>
          <w:color w:val="auto"/>
        </w:rPr>
        <w:t>”), then, insofar as reasonably possible and subject to applicable Law, the member of the BellRing Group retaining such Delayed Post Asset or such Delayed Post Liability, as the case may be, shall thereafter hold such Delayed Post Asset or Delayed Post Liability, as the case may be, for the use and benefit (or the performance or obligation, in the case of a Liability) of the member of the Post Group entitled thereto (at the expense of the member of the Post Group entitled thereto). In addition, the member of the BellRing Group retaining such Delayed Post Asset or such Delayed Post Liability shall, insofar as reasonably possible and to the extent permitted by applicable Law, treat such Delayed Post Asset or Delayed Post Liability in the ordinary course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296" w:name="page297"/>
    <w:bookmarkEnd w:id="29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in accordance with past practice and take such other actions as may be reasonably requested by the member of the Post Group to which such Delayed Post Asset is to be transferred or assigned, or which will assume such Delayed Post Liability, as the case may be, in order to place such member of the Post Group in a substantially similar position as if such Delayed Post Asset or Delayed Post Liability had been transferred, assigned or assumed and so that all of the benefits and burdens relating to such Delayed Post Asset or Delayed Post Liability as contemplated hereby, as the case may be, including use, risk of loss, potential for gain and dominion, control and command over such Delayed Post Asset or Delayed Post Liability, as the case may be, and all costs and expenses related thereto, shall inure from and after the Effective Time to the Post Group.</w:t>
      </w:r>
    </w:p>
    <w:p>
      <w:pPr>
        <w:spacing w:after="0" w:line="163" w:lineRule="exact"/>
        <w:rPr>
          <w:sz w:val="20"/>
          <w:szCs w:val="20"/>
          <w:color w:val="auto"/>
        </w:rPr>
      </w:pPr>
    </w:p>
    <w:p>
      <w:pPr>
        <w:ind w:right="140" w:firstLine="981"/>
        <w:spacing w:after="0" w:line="255" w:lineRule="auto"/>
        <w:tabs>
          <w:tab w:leader="none" w:pos="13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Transfer of Delayed Post Assets and Delayed Post Liabilities</w:t>
      </w:r>
      <w:r>
        <w:rPr>
          <w:rFonts w:ascii="Arial" w:cs="Arial" w:eastAsia="Arial" w:hAnsi="Arial"/>
          <w:sz w:val="18"/>
          <w:szCs w:val="18"/>
          <w:color w:val="auto"/>
        </w:rPr>
        <w:t xml:space="preserve">. If and when the Approvals or Notifications, the absence of which caused the deferral of transfer or assignment of any Delayed Post Asset or the deferral of assumption of any Delayed Post Liability pursuant to </w:t>
      </w:r>
      <w:r>
        <w:rPr>
          <w:rFonts w:ascii="Arial" w:cs="Arial" w:eastAsia="Arial" w:hAnsi="Arial"/>
          <w:sz w:val="18"/>
          <w:szCs w:val="18"/>
          <w:u w:val="single" w:color="auto"/>
          <w:color w:val="auto"/>
        </w:rPr>
        <w:t>Section 3.5(g)</w:t>
      </w:r>
      <w:r>
        <w:rPr>
          <w:rFonts w:ascii="Arial" w:cs="Arial" w:eastAsia="Arial" w:hAnsi="Arial"/>
          <w:sz w:val="18"/>
          <w:szCs w:val="18"/>
          <w:color w:val="auto"/>
        </w:rPr>
        <w:t>, are obtained or made, and, if and when any other legal impediments for the transfer or assignment of any Delayed Post Asset or the assumption of any Delayed Post Liability have been removed, the transfer or assignment of the applicable Delayed Post Asset or the assumption of the applicable Delayed Post Liability, as the case may be, shall be effected in accordance with the terms of this Agreement and/or the applicable Ancillary Agreement.</w:t>
      </w:r>
    </w:p>
    <w:p>
      <w:pPr>
        <w:spacing w:after="0" w:line="191" w:lineRule="exact"/>
        <w:rPr>
          <w:rFonts w:ascii="Arial" w:cs="Arial" w:eastAsia="Arial" w:hAnsi="Arial"/>
          <w:sz w:val="18"/>
          <w:szCs w:val="18"/>
          <w:color w:val="auto"/>
        </w:rPr>
      </w:pPr>
    </w:p>
    <w:p>
      <w:pPr>
        <w:ind w:right="200" w:firstLine="981"/>
        <w:spacing w:after="0" w:line="254" w:lineRule="auto"/>
        <w:tabs>
          <w:tab w:leader="none" w:pos="13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Costs for Delayed Post Assets and Delayed Post Liabilities</w:t>
      </w:r>
      <w:r>
        <w:rPr>
          <w:rFonts w:ascii="Arial" w:cs="Arial" w:eastAsia="Arial" w:hAnsi="Arial"/>
          <w:sz w:val="18"/>
          <w:szCs w:val="18"/>
          <w:color w:val="auto"/>
        </w:rPr>
        <w:t>. Except as otherwise agreed in writing among Post, BellRing Inc. and BellRing LLC, any member of the BellRing Group retaining a Delayed Post Asset or Delayed Post Liability due to the deferral of the transfer or assignment of such Delayed Post Asset or the deferral of the assumption of such Delayed Post Liability, as the case may be, shall not be obligated, in connection with the foregoing, to expend any money unless the necessary funds are advanced (or otherwise made available) by Post or the member of the Post Group entitled to the Delayed Post Asset or Delayed Post Liability, other than reasonable out-of-pocket expenses, outside attorneys’ fees and recording or similar fees, all of which shall be promptly reimbursed by Post or the member of the Post Group entitled to such Delayed Post Asset or Delayed Post Liability.</w:t>
      </w:r>
    </w:p>
    <w:p>
      <w:pPr>
        <w:spacing w:after="0" w:line="30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Assignment and Novation of Liabilities</w:t>
      </w:r>
      <w:r>
        <w:rPr>
          <w:rFonts w:ascii="Arial" w:cs="Arial" w:eastAsia="Arial" w:hAnsi="Arial"/>
          <w:sz w:val="16"/>
          <w:szCs w:val="16"/>
          <w:color w:val="auto"/>
        </w:rPr>
        <w:t>.</w:t>
      </w:r>
    </w:p>
    <w:p>
      <w:pPr>
        <w:spacing w:after="0" w:line="117" w:lineRule="exact"/>
        <w:rPr>
          <w:sz w:val="20"/>
          <w:szCs w:val="20"/>
          <w:color w:val="auto"/>
        </w:rPr>
      </w:pPr>
    </w:p>
    <w:p>
      <w:pPr>
        <w:ind w:left="1360" w:hanging="379"/>
        <w:spacing w:after="0"/>
        <w:tabs>
          <w:tab w:leader="none" w:pos="13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Assignment and Novation of BellRing Liabilities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1421"/>
        <w:spacing w:after="0" w:line="269" w:lineRule="auto"/>
        <w:tabs>
          <w:tab w:leader="none" w:pos="178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 xml:space="preserve">Prior to the Effective Time, BellRing Inc. and BellRing LLC, at the request of Post, shall each use its commercially reasonable efforts to obtain, or to cause to be obtained, as soon as reasonably practicable, any consent, substitution, approval or amendment required to novate or assign all BellRing Liabilities and obtain in writing the unconditional release of each member of the Post Group that is a party to or otherwise obligated under any such arrangements, to the extent permitted by applicable Law and effective as of immediately prior to the Effective Time, so that, in any such case, the members of the BellRing Group shall be solely responsible for such BellRing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expressly provided in this Agreement or any of the Ancillary Agreements, none of Post, BellRing Inc. or BellRing LLC shall be obligated to contribute any capital or pay any consideration in any form (including providing any letter of credit, guaranty or other financial accommodation) to any third Person from whom any such consent, substitution, approval, amendment or release is requested. To the extent such substitution contemplated by the first sentence of this </w:t>
      </w:r>
      <w:r>
        <w:rPr>
          <w:rFonts w:ascii="Arial" w:cs="Arial" w:eastAsia="Arial" w:hAnsi="Arial"/>
          <w:sz w:val="17"/>
          <w:szCs w:val="17"/>
          <w:u w:val="single" w:color="auto"/>
          <w:color w:val="auto"/>
        </w:rPr>
        <w:t>Section 3.6(a)(i)</w:t>
      </w:r>
      <w:r>
        <w:rPr>
          <w:rFonts w:ascii="Arial" w:cs="Arial" w:eastAsia="Arial" w:hAnsi="Arial"/>
          <w:sz w:val="17"/>
          <w:szCs w:val="17"/>
          <w:color w:val="auto"/>
        </w:rPr>
        <w:t xml:space="preserve"> has been effected, the members of the Post Group shall, from and after the Effective Time, cease to have any obligation whatsoever arising from or in connection with such BellRing Liabilities.</w:t>
      </w:r>
    </w:p>
    <w:p>
      <w:pPr>
        <w:spacing w:after="0" w:line="183" w:lineRule="exact"/>
        <w:rPr>
          <w:rFonts w:ascii="Arial" w:cs="Arial" w:eastAsia="Arial" w:hAnsi="Arial"/>
          <w:sz w:val="17"/>
          <w:szCs w:val="17"/>
          <w:color w:val="auto"/>
        </w:rPr>
      </w:pPr>
    </w:p>
    <w:p>
      <w:pPr>
        <w:ind w:right="520" w:firstLine="1421"/>
        <w:spacing w:after="0" w:line="263" w:lineRule="auto"/>
        <w:tabs>
          <w:tab w:leader="none" w:pos="183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BellRing Inc. or BellRing LLC is unable to obtain, or to cause to be obtained, any such required consent, substitution, approval, amendment or release, and the applicable member of the Post Group continues to be bound by such agreement, lease, license or other obligation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297" w:name="page298"/>
    <w:bookmarkEnd w:id="297"/>
    <w:p>
      <w:pPr>
        <w:ind w:right="2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(each, an “</w:t>
      </w:r>
      <w:r>
        <w:rPr>
          <w:rFonts w:ascii="Arial" w:cs="Arial" w:eastAsia="Arial" w:hAnsi="Arial"/>
          <w:sz w:val="16"/>
          <w:szCs w:val="16"/>
          <w:u w:val="single" w:color="auto"/>
          <w:color w:val="auto"/>
        </w:rPr>
        <w:t>Unreleased BellRing Liability</w:t>
      </w:r>
      <w:r>
        <w:rPr>
          <w:rFonts w:ascii="Arial" w:cs="Arial" w:eastAsia="Arial" w:hAnsi="Arial"/>
          <w:sz w:val="16"/>
          <w:szCs w:val="16"/>
          <w:color w:val="auto"/>
        </w:rPr>
        <w:t>”), (A) BellRing Inc. and BellRing LLC each shall, to the extent not prohibited by Law, use its commercially reasonable efforts to effect such consent, substitution, approval, amendment or release as soon as practicable following the Effective Time, but in any event within six (6) months thereof, and (B) BellRing LLC, as indemnitor, guarantor, agent or subcontractor for such member of the Post Group, as the case may be, (1) pay, perform and discharge fully all of the obligations or other Liabilities of such member of the Post Group that constitute Unreleased BellRing Liabilities from and after the Effective Time, and (2) use its commercially reasonable efforts to effect such payment, performance or discharge prior to any demand for such payment, performance or discharge is permitted to be made by the obligee thereunder on any member of the Post Group. If and when any such consent, substitution, approval, amendment or release shall be obtained or the Unreleased BellRing Liabilities shall otherwise become assignable or able to be novated, Post shall promptly assign, or cause to be assigned, and BellRing LLC or the applicable member of the BellRing Group shall assume, such Unreleased BellRing Liabilities without exchange of further consideration.</w:t>
      </w:r>
    </w:p>
    <w:p>
      <w:pPr>
        <w:spacing w:after="0" w:line="164" w:lineRule="exact"/>
        <w:rPr>
          <w:sz w:val="20"/>
          <w:szCs w:val="20"/>
          <w:color w:val="auto"/>
        </w:rPr>
      </w:pPr>
    </w:p>
    <w:p>
      <w:pPr>
        <w:jc w:val="both"/>
        <w:ind w:right="440" w:firstLine="1421"/>
        <w:spacing w:after="0" w:line="256" w:lineRule="auto"/>
        <w:tabs>
          <w:tab w:leader="none" w:pos="18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If BellRing Inc. or BellRing LLC is unable to obtain, or to cause to be obtained, any such required consent, substitution, approval, amendment or release as set forth in clause (ii) of this </w:t>
      </w:r>
      <w:r>
        <w:rPr>
          <w:rFonts w:ascii="Arial" w:cs="Arial" w:eastAsia="Arial" w:hAnsi="Arial"/>
          <w:sz w:val="18"/>
          <w:szCs w:val="18"/>
          <w:u w:val="single" w:color="auto"/>
          <w:color w:val="auto"/>
        </w:rPr>
        <w:t>Section 3.6(a)</w:t>
      </w:r>
      <w:r>
        <w:rPr>
          <w:rFonts w:ascii="Arial" w:cs="Arial" w:eastAsia="Arial" w:hAnsi="Arial"/>
          <w:sz w:val="18"/>
          <w:szCs w:val="18"/>
          <w:color w:val="auto"/>
        </w:rPr>
        <w:t xml:space="preserve">, BellRing LLC and any other relevant member of its Group that has assumed the applicable Unreleased BellRing Liability shall indemnify, defend and hold harmless Post against or from such Unreleased BellRing Liability in accordance with the provisions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shall, as agent or subcontractor for Post, pay, perform and discharge fully all the obligations or other Liabilities of Post thereunder.</w:t>
      </w:r>
    </w:p>
    <w:p>
      <w:pPr>
        <w:spacing w:after="0" w:line="298" w:lineRule="exact"/>
        <w:rPr>
          <w:rFonts w:ascii="Arial" w:cs="Arial" w:eastAsia="Arial" w:hAnsi="Arial"/>
          <w:sz w:val="18"/>
          <w:szCs w:val="18"/>
          <w:color w:val="auto"/>
        </w:rPr>
      </w:pPr>
    </w:p>
    <w:p>
      <w:pPr>
        <w:ind w:left="1380" w:hanging="399"/>
        <w:spacing w:after="0"/>
        <w:tabs>
          <w:tab w:leader="none" w:pos="13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Assignment and Novation of Post Liabilities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20" w:firstLine="1421"/>
        <w:spacing w:after="0" w:line="289" w:lineRule="auto"/>
        <w:tabs>
          <w:tab w:leader="none" w:pos="178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Prior to the Effective Time, Post, at the request of BellRing Inc. or BellRing LLC, shall use its commercially reasonable efforts to obtain, or to cause to be obtained, as soon as reasonably practicable, any consent, substitution, approval or amendment required to novate or assign all Post Liabilities and obtain in writing the unconditional release of BellRing Inc. or any member of the BellRing Group that is a party to any such arrangements, so that, in any such case, the members of the Post Group shall be solely responsible for such Post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expressly provided in this Agreement or any of the Ancillary Agreements, none of Post, BellRing Inc. or BellRing LLC shall be obligated to contribute any capital or pay any consideration in any form (including providing any letter of credit, guaranty or other financial accommodation) to any third Person from whom any such consent, substitution, approval, amendment or release is requested. To the extent such substitution contemplated by the first sentence of this </w:t>
      </w:r>
      <w:r>
        <w:rPr>
          <w:rFonts w:ascii="Arial" w:cs="Arial" w:eastAsia="Arial" w:hAnsi="Arial"/>
          <w:sz w:val="16"/>
          <w:szCs w:val="16"/>
          <w:u w:val="single" w:color="auto"/>
          <w:color w:val="auto"/>
        </w:rPr>
        <w:t>Section 3.6(b)(i)</w:t>
      </w:r>
      <w:r>
        <w:rPr>
          <w:rFonts w:ascii="Arial" w:cs="Arial" w:eastAsia="Arial" w:hAnsi="Arial"/>
          <w:sz w:val="16"/>
          <w:szCs w:val="16"/>
          <w:color w:val="auto"/>
        </w:rPr>
        <w:t xml:space="preserve"> has been effected, BellRing Inc. and the members of the BellRing Group shall, from and after the Effective Time, cease to have any obligation whatsoever arising from or in connection with such Post Liabilities.</w:t>
      </w:r>
    </w:p>
    <w:p>
      <w:pPr>
        <w:spacing w:after="0" w:line="164" w:lineRule="exact"/>
        <w:rPr>
          <w:sz w:val="20"/>
          <w:szCs w:val="20"/>
          <w:color w:val="auto"/>
        </w:rPr>
      </w:pPr>
    </w:p>
    <w:p>
      <w:pPr>
        <w:ind w:firstLine="1421"/>
        <w:spacing w:after="0" w:line="270" w:lineRule="auto"/>
        <w:tabs>
          <w:tab w:leader="none" w:pos="183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Post is unable to obtain, or to cause to be obtained, any such required consent, substitution, approval, amendment or release and BellRing Inc. or the applicable member of the BellRing Group continues to be bound by such agreement, lease, license or other obligation or Liability (each, an “</w:t>
      </w:r>
      <w:r>
        <w:rPr>
          <w:rFonts w:ascii="Arial" w:cs="Arial" w:eastAsia="Arial" w:hAnsi="Arial"/>
          <w:sz w:val="17"/>
          <w:szCs w:val="17"/>
          <w:u w:val="single" w:color="auto"/>
          <w:color w:val="auto"/>
        </w:rPr>
        <w:t>Unreleased Post Liability</w:t>
      </w:r>
      <w:r>
        <w:rPr>
          <w:rFonts w:ascii="Arial" w:cs="Arial" w:eastAsia="Arial" w:hAnsi="Arial"/>
          <w:sz w:val="17"/>
          <w:szCs w:val="17"/>
          <w:color w:val="auto"/>
        </w:rPr>
        <w:t>”), Post shall, to the extent not prohibited by Law, (A) use its commercially reasonable efforts to effect such consent, substitution, approval, amendment or release as soon as practicable following the Effective Time, but in any event within six (6) months thereof, and (B) as indemnitor, guarantor, agent or subcontractor for BellRing Inc. or such member of the BellRing Group, as the case may be, (1) pay, perform and discharge fully all of the obligations or other Liabilities of BellRing Inc. or such member of the BellRing Group that constitute Unreleased Post Liabilities from and after the Effective Time, and (2) use its commercially reasonable efforts to effect such payment, performance or discharge prior to any demand for such payment, performance or discharge is permitted to be made by the obligee thereunder on BellRing Inc. or any member of the BellRing Group. If and when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298" w:name="page299"/>
    <w:bookmarkEnd w:id="29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consent, substitution, approval, amendment or release shall be obtained or the Unreleased Post Liabilities shall otherwise become assignable or able to be novated, BellRing Inc. and BellRing LLC shall promptly assign, or cause to be assigned, and Post or the applicable member of the Post Group shall assume, such Unreleased Post Liabilities without exchange of further consideration.</w:t>
      </w:r>
    </w:p>
    <w:p>
      <w:pPr>
        <w:spacing w:after="0" w:line="183" w:lineRule="exact"/>
        <w:rPr>
          <w:sz w:val="20"/>
          <w:szCs w:val="20"/>
          <w:color w:val="auto"/>
        </w:rPr>
      </w:pPr>
    </w:p>
    <w:p>
      <w:pPr>
        <w:ind w:firstLine="1421"/>
        <w:spacing w:after="0" w:line="256" w:lineRule="auto"/>
        <w:tabs>
          <w:tab w:leader="none" w:pos="18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If Post is unable to obtain, or to cause to be obtained, any such required consent, substitution, approval, amendment or release as set forth in clause (ii) of this </w:t>
      </w:r>
      <w:r>
        <w:rPr>
          <w:rFonts w:ascii="Arial" w:cs="Arial" w:eastAsia="Arial" w:hAnsi="Arial"/>
          <w:sz w:val="18"/>
          <w:szCs w:val="18"/>
          <w:u w:val="single" w:color="auto"/>
          <w:color w:val="auto"/>
        </w:rPr>
        <w:t>Section 3.6(b)</w:t>
      </w:r>
      <w:r>
        <w:rPr>
          <w:rFonts w:ascii="Arial" w:cs="Arial" w:eastAsia="Arial" w:hAnsi="Arial"/>
          <w:sz w:val="18"/>
          <w:szCs w:val="18"/>
          <w:color w:val="auto"/>
        </w:rPr>
        <w:t xml:space="preserve">, Post and any relevant member of its Group that has assumed the applicable Unreleased Post Liability shall indemnify, defend and hold harmless BellRing Inc. or BellRing LLC against or from such Unreleased Post Liability in accordance with the provisions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shall, as agent or subcontractor for BellRing Inc. or BellRing LLC, pay, perform and discharge fully all of the obligations or other Liabilities of BellRing Inc. or BellRing LLC thereunder.</w:t>
      </w:r>
    </w:p>
    <w:p>
      <w:pPr>
        <w:spacing w:after="0" w:line="191" w:lineRule="exact"/>
        <w:rPr>
          <w:rFonts w:ascii="Arial" w:cs="Arial" w:eastAsia="Arial" w:hAnsi="Arial"/>
          <w:sz w:val="18"/>
          <w:szCs w:val="18"/>
          <w:color w:val="auto"/>
        </w:rPr>
      </w:pPr>
    </w:p>
    <w:p>
      <w:pPr>
        <w:ind w:firstLine="1421"/>
        <w:spacing w:after="0" w:line="285" w:lineRule="auto"/>
        <w:tabs>
          <w:tab w:leader="none" w:pos="187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In furtherance of, and not in limitation of, the obligations set forth in </w:t>
      </w:r>
      <w:r>
        <w:rPr>
          <w:rFonts w:ascii="Arial" w:cs="Arial" w:eastAsia="Arial" w:hAnsi="Arial"/>
          <w:sz w:val="16"/>
          <w:szCs w:val="16"/>
          <w:u w:val="single" w:color="auto"/>
          <w:color w:val="auto"/>
        </w:rPr>
        <w:t>Section 3.6(b)</w:t>
      </w:r>
      <w:r>
        <w:rPr>
          <w:rFonts w:ascii="Arial" w:cs="Arial" w:eastAsia="Arial" w:hAnsi="Arial"/>
          <w:sz w:val="16"/>
          <w:szCs w:val="16"/>
          <w:color w:val="auto"/>
        </w:rPr>
        <w:t>, (A) Post shall take or cause to be taken all actions, and enter into (or cause its Affiliates to enter into) such agreements and arrangements, as shall be necessary to cause, as of the consummation of the Formation Transactions, in accordance with and as provided in the Post Indentures, (x) the members of the BellRing Group and BellRing Inc. to be removed as parties to the Post Indentures; and (y) the members of the BellRing Group and BellRing Inc. to be released from all Liabilities in respect of the Post Indentures, (B) Post shall use its reasonable best efforts to take or cause to be taken all actions and do, or cause to be done, all things reasonably necessary, proper or advisable (as reasonably determined by Post), and enter into (or cause its Affiliates to enter into) such agreements and arrangements, as shall be necessary to cause, as of the consummation of the Formation Transactions, (x) the members of the BellRing Group and BellRing Inc. to be removed as parties to the Post Credit Agreement; (y) the members of the BellRing Group and BellRing Inc. to be released from all Liabilities in respect of the Post Credit Agreement; and (z) the assets of the members of the BellRing Group and BellRing Inc. to be released as collateral in respect of the Post Credit Agreement, and (C) each of Post, on the one hand, and BellRing Inc. and BellRing LLC, on the other hand, shall, at the request of the other Party and with the reasonable cooperation of such other Party and the applicable member(s) of such other Party’s Group, use commercially reasonable efforts to (x) have any member(s) of the Post Group removed as guarantor of or obligor for any BellRing Liability, including the removal of any Security Interest on or in any Post Asset that may serve as collateral or security for any such BellRing Liability; and (y) have BellRing Inc. and any member(s) of the BellRing Group removed as guarantor of or obligor for any Post Liability, including the removal of any Security Interest on or in any BellRing Asset that may serve as collateral or security for any such Post Liability.</w:t>
      </w:r>
    </w:p>
    <w:p>
      <w:pPr>
        <w:spacing w:after="0" w:line="17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Treatment of Intercompany Agreements</w:t>
      </w:r>
      <w:r>
        <w:rPr>
          <w:rFonts w:ascii="Arial" w:cs="Arial" w:eastAsia="Arial" w:hAnsi="Arial"/>
          <w:sz w:val="17"/>
          <w:szCs w:val="17"/>
          <w:color w:val="auto"/>
        </w:rPr>
        <w:t>. Any and all agreements, arrangements, commitments or understandings, whether or not in writing, between or among BellRing LLC and/or any other member of the BellRing Group, on the one hand, and Post and/or any other member of the Post Group, on the other hand (the “</w:t>
      </w:r>
      <w:r>
        <w:rPr>
          <w:rFonts w:ascii="Arial" w:cs="Arial" w:eastAsia="Arial" w:hAnsi="Arial"/>
          <w:sz w:val="17"/>
          <w:szCs w:val="17"/>
          <w:u w:val="single" w:color="auto"/>
          <w:color w:val="auto"/>
        </w:rPr>
        <w:t>Intercompany Agreements</w:t>
      </w:r>
      <w:r>
        <w:rPr>
          <w:rFonts w:ascii="Arial" w:cs="Arial" w:eastAsia="Arial" w:hAnsi="Arial"/>
          <w:sz w:val="17"/>
          <w:szCs w:val="17"/>
          <w:color w:val="auto"/>
        </w:rPr>
        <w:t>”), effective as of immediately prior to the Effective Time, shall remain in effect in accordance with their terms from and after the Effective Time, unless and until otherwise terminated by the relevant parties thereto.</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Disclaimer of Representations and Warranties</w:t>
      </w:r>
      <w:r>
        <w:rPr>
          <w:rFonts w:ascii="Arial" w:cs="Arial" w:eastAsia="Arial" w:hAnsi="Arial"/>
          <w:sz w:val="18"/>
          <w:szCs w:val="18"/>
          <w:color w:val="auto"/>
        </w:rPr>
        <w:t>. EACH OF BELLRING INC., POST (ON BEHALF OF ITSELF AND EACH MEMBER OF THE POST GROUP) AND BELLRING LLC (ON BEHALF OF ITSELF AND EACH MEMBER OF THE BELLRING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OR ASSUMED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4" w:right="459" w:bottom="1440" w:gutter="0" w:footer="0" w:header="0"/>
        </w:sectPr>
      </w:pPr>
    </w:p>
    <w:bookmarkStart w:id="299" w:name="page300"/>
    <w:bookmarkEnd w:id="299"/>
    <w:p>
      <w:pPr>
        <w:ind w:left="1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HEREBY OR THEREBY, AS TO ANY CONSENTS OR APPROVALS REQUIRED IN CONNECTION THEREWITH (INCLUDING WITHOUT LIMITATION GOVERNMENTAL APPROVALS OR PERMITS OF ANY KIND), AS TO THE VALUE OR FREEDOM FROM ANY SECURITY INTERESTS OF, OR ANY OTHER MATTER CONCERNING, ANY ASSETS OF SUCH PARTY,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OF DEED OR CONVEYANCE) AND THE RESPECTIVE TRANSFEREES SHALL BEAR, WITHOUT LIMITATION, THE ECONOMIC AND LEGAL RISKS THAT (I) ANY CONVEYANCE WILL PROVE TO BE INSUFFICIENT TO VEST IN THE TRANSFEREE GOOD AND MARKETABLE TITLE, FREE AND CLEAR OF ANY SECURITY INTEREST, AND (II) ANY NECESSARY APPROVALS OR NOTIFICATIONS ARE NOT OBTAINED OR MADE OR ANY REQUIREMENTS OF LAWS OR JUDGMENTS ARE NOT COMPLIED WITH.</w:t>
      </w:r>
    </w:p>
    <w:p>
      <w:pPr>
        <w:spacing w:after="0" w:line="400"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CLOSING</w:t>
      </w:r>
    </w:p>
    <w:p>
      <w:pPr>
        <w:spacing w:after="0" w:line="210" w:lineRule="exact"/>
        <w:rPr>
          <w:sz w:val="20"/>
          <w:szCs w:val="20"/>
          <w:color w:val="auto"/>
        </w:rPr>
      </w:pPr>
    </w:p>
    <w:p>
      <w:pPr>
        <w:ind w:left="10" w:right="20"/>
        <w:spacing w:after="0" w:line="256" w:lineRule="auto"/>
        <w:rPr>
          <w:sz w:val="20"/>
          <w:szCs w:val="20"/>
          <w:color w:val="auto"/>
        </w:rPr>
      </w:pPr>
      <w:r>
        <w:rPr>
          <w:rFonts w:ascii="Arial" w:cs="Arial" w:eastAsia="Arial" w:hAnsi="Arial"/>
          <w:sz w:val="18"/>
          <w:szCs w:val="18"/>
          <w:color w:val="auto"/>
        </w:rPr>
        <w:t xml:space="preserve">Subject to the terms and conditions of this Agreement, the Formation Transactions and the IPO shall be consummated at closings to be held at the offices of Lewis Rice LLC, 600 Washington Avenue, St. Louis, Missouri 63101 on the IPO Closing Date or at such other place or on such other date as Post, BellRing Inc. and BellRing LLC may mutually agree upon in writing. Subject to the terms and conditions of this Agreement, the IPO shall close at the Initial Delivery Date (as defined in the Underwriting Agreement) and the Formation Transactions shall close prior to or at the Effective Time, as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MUTUAL RELEASES; INDEMNIFICATION</w:t>
      </w:r>
    </w:p>
    <w:p>
      <w:pPr>
        <w:spacing w:after="0" w:line="210" w:lineRule="exact"/>
        <w:rPr>
          <w:sz w:val="20"/>
          <w:szCs w:val="20"/>
          <w:color w:val="auto"/>
        </w:rPr>
      </w:pPr>
    </w:p>
    <w:p>
      <w:pPr>
        <w:ind w:left="450"/>
        <w:spacing w:after="0"/>
        <w:tabs>
          <w:tab w:leader="none" w:pos="829"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Release of Pre-Effective Time Claims</w:t>
      </w:r>
      <w:r>
        <w:rPr>
          <w:rFonts w:ascii="Arial" w:cs="Arial" w:eastAsia="Arial" w:hAnsi="Arial"/>
          <w:sz w:val="16"/>
          <w:szCs w:val="16"/>
          <w:color w:val="auto"/>
        </w:rPr>
        <w:t>.</w:t>
      </w:r>
    </w:p>
    <w:p>
      <w:pPr>
        <w:spacing w:after="0" w:line="117" w:lineRule="exact"/>
        <w:rPr>
          <w:sz w:val="20"/>
          <w:szCs w:val="20"/>
          <w:color w:val="auto"/>
        </w:rPr>
      </w:pPr>
    </w:p>
    <w:p>
      <w:pPr>
        <w:jc w:val="both"/>
        <w:ind w:left="10" w:right="40" w:firstLine="981"/>
        <w:spacing w:after="0" w:line="286" w:lineRule="auto"/>
        <w:tabs>
          <w:tab w:leader="none" w:pos="1380"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BellRing LLC and BellRing Inc. Release of Post</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5.1(d)</w:t>
      </w:r>
      <w:r>
        <w:rPr>
          <w:rFonts w:ascii="Arial" w:cs="Arial" w:eastAsia="Arial" w:hAnsi="Arial"/>
          <w:sz w:val="16"/>
          <w:szCs w:val="16"/>
          <w:color w:val="auto"/>
        </w:rPr>
        <w:t>, effective as of the Effective Time, each of BellRing Inc. and, for itself and each other member of the BellRing Group, BellRing LLC, and for their respective successors and assigns and, to the extent permitted by Law, all Persons who at any time prior to the Effective Time have been directors, officers, members, managers, agents or employees of any member of the BellRing Group or BellRing Inc. (in each case, in their respective capacities as such), remise, release and forever discharge</w:t>
      </w:r>
    </w:p>
    <w:p>
      <w:pPr>
        <w:ind w:left="10" w:right="60" w:hanging="10"/>
        <w:spacing w:after="0" w:line="268" w:lineRule="auto"/>
        <w:tabs>
          <w:tab w:leader="none" w:pos="22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Post and the members of the Post Group, and their respective successors and assigns, and (ii) all Persons who at any time prior to the Effective Time have been directors, officers, members, managers, agents or employees of any member of the Post Group (in each case, in their respective capacities as such), and their respective heirs, executors, administrators, successors and assigns, from any and all Liabilities whatsoever, whether at Law or in equity (including any rights of contribution or recovery), whether arising under any contract, by operation of Law or otherwise, including for fraud, existing or arising from any acts or events occurring or failing to occur or alleged to have occurred or failed to occur or any conditions existing or alleged to have existed, in each case on or before the Effective Time, including in connection with the transactions and all other activities to implement the Formation Transactions and the IPO (but, for the avoidance of doubt, this shall not limit or affect indemnification obligations of the Parties set forth in this Agreement or any Ancillary Agreement).</w:t>
      </w:r>
    </w:p>
    <w:p>
      <w:pPr>
        <w:spacing w:after="0" w:line="114"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90"/>
          </w:cols>
          <w:pgMar w:left="450" w:top="274" w:right="459" w:bottom="1440" w:gutter="0" w:footer="0" w:header="0"/>
        </w:sectPr>
      </w:pPr>
    </w:p>
    <w:bookmarkStart w:id="300" w:name="page301"/>
    <w:bookmarkEnd w:id="300"/>
    <w:p>
      <w:pPr>
        <w:ind w:left="10" w:firstLine="981"/>
        <w:spacing w:after="0" w:line="268" w:lineRule="auto"/>
        <w:tabs>
          <w:tab w:leader="none" w:pos="1390"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Release of BellRing LLC and BellRing Inc.</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5.1(d)</w:t>
      </w:r>
      <w:r>
        <w:rPr>
          <w:rFonts w:ascii="Arial" w:cs="Arial" w:eastAsia="Arial" w:hAnsi="Arial"/>
          <w:sz w:val="17"/>
          <w:szCs w:val="17"/>
          <w:color w:val="auto"/>
        </w:rPr>
        <w:t>, effective as of the Effective Time, Post does hereby, for itself and each other member of the Post Group and their respective successors and assigns, and, to the extent permitted by Law, all Persons who at any time prior to the Effective Time have been directors, officers, members, managers, agents or employees of any member of the Post Group (in each case, in their respective capacities as such), remise, release and forever discharge (i) BellRing LLC, BellRing Inc. and the members of the BellRing Group and their respective successors and assigns, and (ii) all Persons who at any time prior to the Effective Time have been directors, officers, members, managers, agents or employees of any member of the BellRing Group or BellRing Inc. (in each case, in their respective capacities as such), and their respective heirs, executors, administrators, successors and assigns, from any and all Liabilities whatsoever, whether at Law or in equity (including any rights of contribution or recovery), whether arising under any contract, by operation of Law or otherwise, including for fraud, existing or arising from any acts or events occurring or failing to occur or alleged to have occurred or failed to occur or any conditions existing or alleged to have existed, in each case on or before the Effective Time, including in connection with the transactions and all other activities to implement the Formation Transactions and the IPO (but, for the avoidance of doubt, this shall not limit or affect indemnification obligations of the Parties set forth in this Agreement or any Ancillary Agreement).</w:t>
      </w:r>
    </w:p>
    <w:p>
      <w:pPr>
        <w:spacing w:after="0" w:line="186" w:lineRule="exact"/>
        <w:rPr>
          <w:rFonts w:ascii="Arial" w:cs="Arial" w:eastAsia="Arial" w:hAnsi="Arial"/>
          <w:sz w:val="17"/>
          <w:szCs w:val="17"/>
          <w:color w:val="auto"/>
        </w:rPr>
      </w:pPr>
    </w:p>
    <w:p>
      <w:pPr>
        <w:ind w:left="10" w:right="60" w:firstLine="981"/>
        <w:spacing w:after="0" w:line="253" w:lineRule="auto"/>
        <w:tabs>
          <w:tab w:leader="none" w:pos="1380"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Acknowledgment of Unknown Losses or Claims</w:t>
      </w:r>
      <w:r>
        <w:rPr>
          <w:rFonts w:ascii="Arial" w:cs="Arial" w:eastAsia="Arial" w:hAnsi="Arial"/>
          <w:sz w:val="18"/>
          <w:szCs w:val="18"/>
          <w:color w:val="auto"/>
        </w:rPr>
        <w:t>. The Parties expressly understand and acknowledge that it is possible that unknown losses or claims exist or might come to exist or that present losses may have been underestimated in amount, severity or both. Accordingly, the Parties are deemed expressly to understand provisions and principles of law such as Section 1542 of the Civil Code of the State of California (“</w:t>
      </w:r>
      <w:r>
        <w:rPr>
          <w:rFonts w:ascii="Arial" w:cs="Arial" w:eastAsia="Arial" w:hAnsi="Arial"/>
          <w:sz w:val="18"/>
          <w:szCs w:val="18"/>
          <w:u w:val="single" w:color="auto"/>
          <w:color w:val="auto"/>
        </w:rPr>
        <w:t>Section 1542</w:t>
      </w:r>
      <w:r>
        <w:rPr>
          <w:rFonts w:ascii="Arial" w:cs="Arial" w:eastAsia="Arial" w:hAnsi="Arial"/>
          <w:sz w:val="18"/>
          <w:szCs w:val="18"/>
          <w:color w:val="auto"/>
        </w:rPr>
        <w:t xml:space="preserve">”) (as well as any and all provisions, rights and benefits conferred by any law of any state or territory of the United States, or principle of common law, which is similar or comparable to Section 1542), which provides: GENERAL RELEASE DOES NOT EXTEND TO CLAIMS WHICH THE CREDITOR DOES NOT KNOW OR SUSPECT TO EXIST IN HIS OR HER FAVOR AT THE TIME OF EXECUTING THE RELEASE, WHICH IF KNOWN BY HIM OR HER MUST HAVE MATERIALLY AFFECTED HIS OR HER SETTLEMENT WITH THE DEBTOR. The Parties are hereby deemed to agree that the provisions of Section 1542 and all similar federal or state laws, rights, rules or legal principles of California or any other jurisdiction that may be applicable herein, are hereby knowingly and voluntarily waived and relinquished with respect to the releases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 w:right="60" w:firstLine="981"/>
        <w:spacing w:after="0" w:line="263" w:lineRule="auto"/>
        <w:tabs>
          <w:tab w:leader="none" w:pos="1390"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Obligations Not Affected</w:t>
      </w:r>
      <w:r>
        <w:rPr>
          <w:rFonts w:ascii="Arial" w:cs="Arial" w:eastAsia="Arial" w:hAnsi="Arial"/>
          <w:sz w:val="18"/>
          <w:szCs w:val="18"/>
          <w:color w:val="auto"/>
        </w:rPr>
        <w:t xml:space="preserve">. Nothing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5.1(b)</w:t>
      </w:r>
      <w:r>
        <w:rPr>
          <w:rFonts w:ascii="Arial" w:cs="Arial" w:eastAsia="Arial" w:hAnsi="Arial"/>
          <w:sz w:val="18"/>
          <w:szCs w:val="18"/>
          <w:color w:val="auto"/>
        </w:rPr>
        <w:t xml:space="preserve"> shall (x) impair any right of any Person to enforce this Agreement, any Ancillary Agreement or any Intercompany Agreements or the applicable Schedules thereto as not to terminate as of the Effective Time, in each case in accordance with its terms, or (y) release any Person from:</w:t>
      </w:r>
    </w:p>
    <w:p>
      <w:pPr>
        <w:spacing w:after="0" w:line="182" w:lineRule="exact"/>
        <w:rPr>
          <w:rFonts w:ascii="Arial" w:cs="Arial" w:eastAsia="Arial" w:hAnsi="Arial"/>
          <w:sz w:val="18"/>
          <w:szCs w:val="18"/>
          <w:color w:val="auto"/>
        </w:rPr>
      </w:pPr>
    </w:p>
    <w:p>
      <w:pPr>
        <w:ind w:left="1790" w:hanging="359"/>
        <w:spacing w:after="0"/>
        <w:tabs>
          <w:tab w:leader="none" w:pos="179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any Intercompany Agreement;</w:t>
      </w:r>
    </w:p>
    <w:p>
      <w:pPr>
        <w:spacing w:after="0" w:line="224" w:lineRule="exact"/>
        <w:rPr>
          <w:rFonts w:ascii="Arial" w:cs="Arial" w:eastAsia="Arial" w:hAnsi="Arial"/>
          <w:sz w:val="18"/>
          <w:szCs w:val="18"/>
          <w:color w:val="auto"/>
        </w:rPr>
      </w:pPr>
    </w:p>
    <w:p>
      <w:pPr>
        <w:jc w:val="both"/>
        <w:ind w:left="10" w:firstLine="1421"/>
        <w:spacing w:after="0" w:line="290" w:lineRule="auto"/>
        <w:tabs>
          <w:tab w:leader="none" w:pos="1840" w:val="left"/>
        </w:tabs>
        <w:numPr>
          <w:ilvl w:val="2"/>
          <w:numId w:val="202"/>
        </w:numPr>
        <w:rPr>
          <w:rFonts w:ascii="Arial" w:cs="Arial" w:eastAsia="Arial" w:hAnsi="Arial"/>
          <w:sz w:val="16"/>
          <w:szCs w:val="16"/>
          <w:color w:val="auto"/>
        </w:rPr>
      </w:pPr>
      <w:r>
        <w:rPr>
          <w:rFonts w:ascii="Arial" w:cs="Arial" w:eastAsia="Arial" w:hAnsi="Arial"/>
          <w:sz w:val="16"/>
          <w:szCs w:val="16"/>
          <w:color w:val="auto"/>
        </w:rPr>
        <w:t>any Liability, contingent or otherwise, assumed or retained by, or transferred, assigned or allocated to, the Group of which such Person is a member in accordance with, or any other Liability of any Person in any Group under, this Agreement or any Ancillary Agreement, including</w:t>
      </w:r>
    </w:p>
    <w:p>
      <w:pPr>
        <w:spacing w:after="0" w:line="1" w:lineRule="exact"/>
        <w:rPr>
          <w:rFonts w:ascii="Arial" w:cs="Arial" w:eastAsia="Arial" w:hAnsi="Arial"/>
          <w:sz w:val="16"/>
          <w:szCs w:val="16"/>
          <w:color w:val="auto"/>
        </w:rPr>
      </w:pPr>
    </w:p>
    <w:p>
      <w:pPr>
        <w:ind w:left="290" w:hanging="290"/>
        <w:spacing w:after="0"/>
        <w:tabs>
          <w:tab w:leader="none" w:pos="29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 respect to BellRing LLC, any BellRing Liability, and (B), with respect to Post, any Post Liability;</w:t>
      </w:r>
    </w:p>
    <w:p>
      <w:pPr>
        <w:spacing w:after="0" w:line="210" w:lineRule="exact"/>
        <w:rPr>
          <w:rFonts w:ascii="Arial" w:cs="Arial" w:eastAsia="Arial" w:hAnsi="Arial"/>
          <w:sz w:val="18"/>
          <w:szCs w:val="18"/>
          <w:color w:val="auto"/>
        </w:rPr>
      </w:pPr>
    </w:p>
    <w:p>
      <w:pPr>
        <w:ind w:left="10" w:right="100" w:firstLine="1421"/>
        <w:spacing w:after="0" w:line="263" w:lineRule="auto"/>
        <w:tabs>
          <w:tab w:leader="none" w:pos="189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any Liability provided in or resulting from any agreement or understanding that is entered into after the Effective Time between any Party (and/or a member of such Party’s Group), on the one hand, and any other Party (and/or a member of the other Party’s Group), on the other hand;</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90"/>
          </w:cols>
          <w:pgMar w:left="450" w:top="274" w:right="459" w:bottom="1440" w:gutter="0" w:footer="0" w:header="0"/>
        </w:sectPr>
      </w:pPr>
    </w:p>
    <w:bookmarkStart w:id="301" w:name="page302"/>
    <w:bookmarkEnd w:id="301"/>
    <w:p>
      <w:pPr>
        <w:ind w:right="20" w:firstLine="1421"/>
        <w:spacing w:after="0" w:line="263" w:lineRule="auto"/>
        <w:tabs>
          <w:tab w:leader="none" w:pos="187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Liability that the Parties may have with respect to any indemnification or contribution or other obligation pursuant to this Agreement or any Ancillary Agreement, which Liability shall be governed by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if applicable, the appropriate provisions of the Ancillary Agreements; or</w:t>
      </w:r>
    </w:p>
    <w:p>
      <w:pPr>
        <w:spacing w:after="0" w:line="182" w:lineRule="exact"/>
        <w:rPr>
          <w:rFonts w:ascii="Arial" w:cs="Arial" w:eastAsia="Arial" w:hAnsi="Arial"/>
          <w:sz w:val="18"/>
          <w:szCs w:val="18"/>
          <w:color w:val="auto"/>
        </w:rPr>
      </w:pPr>
    </w:p>
    <w:p>
      <w:pPr>
        <w:ind w:right="140" w:firstLine="1421"/>
        <w:spacing w:after="0" w:line="277" w:lineRule="auto"/>
        <w:tabs>
          <w:tab w:leader="none" w:pos="18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any Liability the release of which would result in the release of any Person other than a Person expressly contemplated to be released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shall release any member of the Post Group from honoring its existing obligations to indemnify any director, officer, member, manager or employee of BellRing LLC or BellRing Inc. who was a director, officer, member, manager or employee of any member of the Post Group at or prior to the Effective Time, to the extent such director, officer, member, manager or employee becomes a named defendant in any Action with respect to which such director, officer, member, manager or employee was entitled to such indemnification pursuant to such existing obligations; it being understood that, if the underlying obligation giving rise to such Action is a BellRing Liability, BellRing LLC shall indemnify Post for such Liability (including Post’s costs to indemnify the director, officer, member, manager or employee) in accordance with the provisions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93" w:lineRule="exact"/>
        <w:rPr>
          <w:sz w:val="20"/>
          <w:szCs w:val="20"/>
          <w:color w:val="auto"/>
        </w:rPr>
      </w:pPr>
    </w:p>
    <w:p>
      <w:pPr>
        <w:ind w:right="120" w:firstLine="981"/>
        <w:spacing w:after="0" w:line="254" w:lineRule="auto"/>
        <w:tabs>
          <w:tab w:leader="none" w:pos="137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No Claims</w:t>
      </w:r>
      <w:r>
        <w:rPr>
          <w:rFonts w:ascii="Arial" w:cs="Arial" w:eastAsia="Arial" w:hAnsi="Arial"/>
          <w:sz w:val="18"/>
          <w:szCs w:val="18"/>
          <w:color w:val="auto"/>
        </w:rPr>
        <w:t xml:space="preserve">. BellRing Inc. and BellRing LLC shall not make, and BellRing LLC shall not permit any other member of the BellRing Group to make, any claim or demand, or commence any Action asserting any claim or demand, including any claim of contribution or any indemnification, against Post or any other member of the Post Group, or any other Person released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with respect to any Liabilities released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Post shall not make, and shall not permit any other member of the Post Group to make, any claim or demand, or commence any Action asserting any claim or demand, including any claim of contribution or any indemnification, against BellRing Inc., BellRing LLC or any other member of the BellRing Group, or any other Person released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with respect to any Liabilities released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40" w:firstLine="981"/>
        <w:spacing w:after="0" w:line="286" w:lineRule="auto"/>
        <w:tabs>
          <w:tab w:leader="none" w:pos="135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Execution of Further Releases</w:t>
      </w:r>
      <w:r>
        <w:rPr>
          <w:rFonts w:ascii="Arial" w:cs="Arial" w:eastAsia="Arial" w:hAnsi="Arial"/>
          <w:sz w:val="17"/>
          <w:szCs w:val="17"/>
          <w:color w:val="auto"/>
        </w:rPr>
        <w:t xml:space="preserve">. At any time at or after the Effective Time, at the request of Post, on the one hand, or BellRing Inc. or BellRing LLC, on the other hand, Post (in the case of a request by BellRing Inc. or BellRing LLC) or BellRing LLC (in the case of a request by Post) shall cause each member of its respective Group to execute and deliver releases reflecting the provisions of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Indemnification by BellRing LLC</w:t>
      </w:r>
      <w:r>
        <w:rPr>
          <w:rFonts w:ascii="Arial" w:cs="Arial" w:eastAsia="Arial" w:hAnsi="Arial"/>
          <w:sz w:val="18"/>
          <w:szCs w:val="18"/>
          <w:color w:val="auto"/>
        </w:rPr>
        <w:t>. Except as otherwise specifically set forth in this Agreement or in any Ancillary Agreement, to the fullest extent permitted by Law, BellRing LLC shall, and shall cause the other members of the BellRing Group to, indemnify, defend and hold harmless Post, each member of the Post Group and each of their respective past, present and future directors, officers, members, managers, employees and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Post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Liabilities of the Post Indemnitees relating to, arising out of or resulting from, directly or indirectly, any of the following items (without duplication):</w:t>
      </w:r>
    </w:p>
    <w:p>
      <w:pPr>
        <w:spacing w:after="0" w:line="191" w:lineRule="exact"/>
        <w:rPr>
          <w:sz w:val="20"/>
          <w:szCs w:val="20"/>
          <w:color w:val="auto"/>
        </w:rPr>
      </w:pPr>
    </w:p>
    <w:p>
      <w:pPr>
        <w:ind w:left="1360" w:hanging="379"/>
        <w:spacing w:after="0"/>
        <w:tabs>
          <w:tab w:leader="none" w:pos="13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BellRing Liability;</w:t>
      </w:r>
    </w:p>
    <w:p>
      <w:pPr>
        <w:spacing w:after="0" w:line="224" w:lineRule="exact"/>
        <w:rPr>
          <w:rFonts w:ascii="Arial" w:cs="Arial" w:eastAsia="Arial" w:hAnsi="Arial"/>
          <w:sz w:val="18"/>
          <w:szCs w:val="18"/>
          <w:color w:val="auto"/>
        </w:rPr>
      </w:pPr>
    </w:p>
    <w:p>
      <w:pPr>
        <w:ind w:right="180" w:firstLine="981"/>
        <w:spacing w:after="0" w:line="277" w:lineRule="auto"/>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failure of BellRing LLC, any other member of the BellRing Group or any other Person to pay, perform or otherwise promptly discharge any BellRing Liabilities in accordance with their terms, whether prior to, on or after the Effective Time;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460" w:top="274" w:right="539" w:bottom="1440" w:gutter="0" w:footer="0" w:header="0"/>
        </w:sectPr>
      </w:pPr>
    </w:p>
    <w:bookmarkStart w:id="302" w:name="page303"/>
    <w:bookmarkEnd w:id="302"/>
    <w:p>
      <w:pPr>
        <w:ind w:left="10" w:right="260" w:firstLine="981"/>
        <w:spacing w:after="0" w:line="277" w:lineRule="auto"/>
        <w:tabs>
          <w:tab w:leader="none" w:pos="13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failure of BellRing Inc. or any other Person to pay, perform or otherwise promptly discharge any Inc. Liabilities in accordance with their terms, whether prior to, on or after the Effective Time;</w:t>
      </w:r>
    </w:p>
    <w:p>
      <w:pPr>
        <w:spacing w:after="0" w:line="169" w:lineRule="exact"/>
        <w:rPr>
          <w:rFonts w:ascii="Arial" w:cs="Arial" w:eastAsia="Arial" w:hAnsi="Arial"/>
          <w:sz w:val="18"/>
          <w:szCs w:val="18"/>
          <w:color w:val="auto"/>
        </w:rPr>
      </w:pPr>
    </w:p>
    <w:p>
      <w:pPr>
        <w:ind w:left="1390" w:hanging="399"/>
        <w:spacing w:after="0"/>
        <w:tabs>
          <w:tab w:leader="none" w:pos="139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any breach by BellRing Inc., BellRing LLC or any other member of the BellRing Group of this Agreement or any of the Ancillary</w:t>
      </w:r>
    </w:p>
    <w:p>
      <w:pPr>
        <w:spacing w:after="0" w:line="34" w:lineRule="exact"/>
        <w:rPr>
          <w:rFonts w:ascii="Arial" w:cs="Arial" w:eastAsia="Arial" w:hAnsi="Arial"/>
          <w:sz w:val="17"/>
          <w:szCs w:val="17"/>
          <w:color w:val="auto"/>
        </w:rPr>
      </w:pPr>
    </w:p>
    <w:p>
      <w:pPr>
        <w:ind w:left="10"/>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10" w:lineRule="exact"/>
        <w:rPr>
          <w:rFonts w:ascii="Arial" w:cs="Arial" w:eastAsia="Arial" w:hAnsi="Arial"/>
          <w:sz w:val="17"/>
          <w:szCs w:val="17"/>
          <w:color w:val="auto"/>
        </w:rPr>
      </w:pPr>
    </w:p>
    <w:p>
      <w:pPr>
        <w:ind w:left="10" w:right="180" w:firstLine="981"/>
        <w:spacing w:after="0" w:line="263" w:lineRule="auto"/>
        <w:tabs>
          <w:tab w:leader="none" w:pos="13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except to the extent that it relates to a Post Liability, any guarantee, indemnification or contribution obligation, surety bond or other credit support agreement, arrangement, commitment or understanding for the benefit of BellRing Inc. or any member of the BellRing Group by any member of the Post Group that survives following the Effective Time; and</w:t>
      </w:r>
    </w:p>
    <w:p>
      <w:pPr>
        <w:spacing w:after="0" w:line="182" w:lineRule="exact"/>
        <w:rPr>
          <w:rFonts w:ascii="Arial" w:cs="Arial" w:eastAsia="Arial" w:hAnsi="Arial"/>
          <w:sz w:val="18"/>
          <w:szCs w:val="18"/>
          <w:color w:val="auto"/>
        </w:rPr>
      </w:pPr>
    </w:p>
    <w:p>
      <w:pPr>
        <w:ind w:left="10" w:right="100" w:firstLine="981"/>
        <w:spacing w:after="0" w:line="284" w:lineRule="auto"/>
        <w:tabs>
          <w:tab w:leader="none" w:pos="13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or any Prospectus (including in any amendments or supplements thereto) (other than information provided by Post to BellRing Inc. or any member of the BellRing Group specifically for inclusion in the IPO Registration Statement or any Prospectus), (ii) contained in any public filings made by BellRing Inc. with the SEC following the date of the IPO, or (iii) provided by BellRing Inc., BellRing LLC or any other member of the BellRing Group to Post specifically for inclusion in Post’s annual or quarterly or current reports or proxy statements following the date of the IPO to the extent</w:t>
      </w:r>
    </w:p>
    <w:p>
      <w:pPr>
        <w:spacing w:after="0" w:line="3" w:lineRule="exact"/>
        <w:rPr>
          <w:rFonts w:ascii="Arial" w:cs="Arial" w:eastAsia="Arial" w:hAnsi="Arial"/>
          <w:sz w:val="16"/>
          <w:szCs w:val="16"/>
          <w:color w:val="auto"/>
        </w:rPr>
      </w:pPr>
    </w:p>
    <w:p>
      <w:pPr>
        <w:ind w:left="10" w:hanging="10"/>
        <w:spacing w:after="0" w:line="252" w:lineRule="auto"/>
        <w:tabs>
          <w:tab w:leader="none" w:pos="30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information pertains to (x) BellRing Inc. or a member of the BellRing Group or (y) the BellRing Business and (B) Post has provided prior written notice to BellRing Inc. that such information will be included in one or more annual or quarterly or current reports or proxy statements, specifying how such information will be presented, and the information is included in such annual or quarterly or current reports or proxy statements; provided that this subclause (B) shall not apply to the extent that any such Liability arises out of or results from, or in connection with, any action or inaction of any member of the Post Group, including as a result of any misstatement or omission of any information by any member of the Post Group to BellRing Inc. or BellRing LLC.</w:t>
      </w:r>
    </w:p>
    <w:p>
      <w:pPr>
        <w:spacing w:after="0" w:line="192" w:lineRule="exact"/>
        <w:rPr>
          <w:sz w:val="20"/>
          <w:szCs w:val="20"/>
          <w:color w:val="auto"/>
        </w:rPr>
      </w:pPr>
    </w:p>
    <w:p>
      <w:pPr>
        <w:ind w:left="10" w:right="100" w:firstLine="440"/>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Indemnification by Post</w:t>
      </w:r>
      <w:r>
        <w:rPr>
          <w:rFonts w:ascii="Arial" w:cs="Arial" w:eastAsia="Arial" w:hAnsi="Arial"/>
          <w:sz w:val="17"/>
          <w:szCs w:val="17"/>
          <w:color w:val="auto"/>
        </w:rPr>
        <w:t>. Except as otherwise specifically set forth in this Agreement or in any Ancillary Agreement, to the fullest extent permitted by Law, Post shall, and shall cause the other members of the Post Group to, indemnify, defend and hold harmless BellRing Inc., BellRing LLC, each other member of the BellRing Group and each of their respective past, present and future directors, officers, members, managers, employees or agents, in each case in their respective capacities as such, and each of the heirs, executors, successors and assigns of any of the foregoing (collectively, the “</w:t>
      </w:r>
      <w:r>
        <w:rPr>
          <w:rFonts w:ascii="Arial" w:cs="Arial" w:eastAsia="Arial" w:hAnsi="Arial"/>
          <w:sz w:val="17"/>
          <w:szCs w:val="17"/>
          <w:u w:val="single" w:color="auto"/>
          <w:color w:val="auto"/>
        </w:rPr>
        <w:t>BellRing Indemnitees</w:t>
      </w:r>
      <w:r>
        <w:rPr>
          <w:rFonts w:ascii="Arial" w:cs="Arial" w:eastAsia="Arial" w:hAnsi="Arial"/>
          <w:sz w:val="17"/>
          <w:szCs w:val="17"/>
          <w:color w:val="auto"/>
        </w:rPr>
        <w:t>”), from and against any and all Liabilities of the BellRing Indemnitees relating to, arising out of or resulting from, directly or indirectly, any of the following items (without duplication):</w:t>
      </w:r>
    </w:p>
    <w:p>
      <w:pPr>
        <w:spacing w:after="0" w:line="177" w:lineRule="exact"/>
        <w:rPr>
          <w:sz w:val="20"/>
          <w:szCs w:val="20"/>
          <w:color w:val="auto"/>
        </w:rPr>
      </w:pPr>
    </w:p>
    <w:p>
      <w:pPr>
        <w:ind w:left="1370" w:hanging="379"/>
        <w:spacing w:after="0"/>
        <w:tabs>
          <w:tab w:leader="none" w:pos="137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Post Liability;</w:t>
      </w:r>
    </w:p>
    <w:p>
      <w:pPr>
        <w:spacing w:after="0" w:line="224" w:lineRule="exact"/>
        <w:rPr>
          <w:rFonts w:ascii="Arial" w:cs="Arial" w:eastAsia="Arial" w:hAnsi="Arial"/>
          <w:sz w:val="18"/>
          <w:szCs w:val="18"/>
          <w:color w:val="auto"/>
        </w:rPr>
      </w:pPr>
    </w:p>
    <w:p>
      <w:pPr>
        <w:ind w:left="10" w:right="320" w:firstLine="981"/>
        <w:spacing w:after="0" w:line="277" w:lineRule="auto"/>
        <w:tabs>
          <w:tab w:leader="none" w:pos="139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failure of Post, any other member of the Post Group or any other Person to pay, perform or otherwise promptly discharge any Post Liabilities in accordance with their terms, whether prior to, on or after the Effective Time;</w:t>
      </w:r>
    </w:p>
    <w:p>
      <w:pPr>
        <w:spacing w:after="0" w:line="169" w:lineRule="exact"/>
        <w:rPr>
          <w:rFonts w:ascii="Arial" w:cs="Arial" w:eastAsia="Arial" w:hAnsi="Arial"/>
          <w:sz w:val="18"/>
          <w:szCs w:val="18"/>
          <w:color w:val="auto"/>
        </w:rPr>
      </w:pPr>
    </w:p>
    <w:p>
      <w:pPr>
        <w:ind w:left="1370" w:hanging="379"/>
        <w:spacing w:after="0"/>
        <w:tabs>
          <w:tab w:leader="none" w:pos="137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breach by Post or any other member of the Post Group of this Agreement or any of the Ancillary Agreements;</w:t>
      </w:r>
    </w:p>
    <w:p>
      <w:pPr>
        <w:spacing w:after="0" w:line="224" w:lineRule="exact"/>
        <w:rPr>
          <w:rFonts w:ascii="Arial" w:cs="Arial" w:eastAsia="Arial" w:hAnsi="Arial"/>
          <w:sz w:val="18"/>
          <w:szCs w:val="18"/>
          <w:color w:val="auto"/>
        </w:rPr>
      </w:pPr>
    </w:p>
    <w:p>
      <w:pPr>
        <w:ind w:left="10" w:right="100" w:firstLine="981"/>
        <w:spacing w:after="0" w:line="263" w:lineRule="auto"/>
        <w:tabs>
          <w:tab w:leader="none" w:pos="139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except to the extent it relates to a BellRing Liability, any guarantee, indemnification or contribution obligation, surety bond or other credit support agreement, arrangement, commitment or understanding for the benefit of any member of the Post Group by BellRing Inc. or any member of the BellRing Group that survives following the Effective Time; and</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10"/>
          </w:cols>
          <w:pgMar w:left="450" w:top="274" w:right="439" w:bottom="1440" w:gutter="0" w:footer="0" w:header="0"/>
        </w:sectPr>
      </w:pPr>
    </w:p>
    <w:bookmarkStart w:id="303" w:name="page304"/>
    <w:bookmarkEnd w:id="303"/>
    <w:p>
      <w:pPr>
        <w:ind w:left="10" w:right="40" w:firstLine="981"/>
        <w:spacing w:after="0" w:line="283" w:lineRule="auto"/>
        <w:tabs>
          <w:tab w:leader="none" w:pos="1380" w:val="left"/>
        </w:tabs>
        <w:numPr>
          <w:ilvl w:val="1"/>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or any Prospectus (including in any amendments or supplements thereto) provided by Post specifically for inclusion therein to the extent such information pertains to (x) any member of the Post Group or (y) the Post Business or (ii) provided by Post to BellRing Inc. or any member of the BellRing Group specifically for inclusion in BellRing Inc.’s annual or quarterly or current reports or proxy statements following the date of the IPO to the extent (A) such information pertains to (x) a member of the Post Group or (y) the Post Business and (B) BellRing Inc. has provided written notice to Post that such information will be included in one or more annual or quarterly or current reports or proxy statements, specifying how such information will be presented, and the information is included in such annual or quarterly or current reports or proxy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subclause</w:t>
      </w:r>
    </w:p>
    <w:p>
      <w:pPr>
        <w:spacing w:after="0" w:line="5" w:lineRule="exact"/>
        <w:rPr>
          <w:rFonts w:ascii="Arial" w:cs="Arial" w:eastAsia="Arial" w:hAnsi="Arial"/>
          <w:sz w:val="16"/>
          <w:szCs w:val="16"/>
          <w:color w:val="auto"/>
        </w:rPr>
      </w:pPr>
    </w:p>
    <w:p>
      <w:pPr>
        <w:ind w:left="10" w:right="180" w:hanging="10"/>
        <w:spacing w:after="0" w:line="255" w:lineRule="auto"/>
        <w:tabs>
          <w:tab w:leader="none" w:pos="29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shall not apply to the extent that any such Liability arises out of or results from, or in connection with, any action or inaction of any member of the BellRing Group or BellRing Inc., including as a result of any misstatement or omission of any information by any member of the BellRing Group or BellRing Inc. to Post.</w:t>
      </w:r>
    </w:p>
    <w:p>
      <w:pPr>
        <w:spacing w:after="0" w:line="297" w:lineRule="exact"/>
        <w:rPr>
          <w:sz w:val="20"/>
          <w:szCs w:val="20"/>
          <w:color w:val="auto"/>
        </w:rPr>
      </w:pPr>
    </w:p>
    <w:p>
      <w:pPr>
        <w:ind w:left="450"/>
        <w:spacing w:after="0"/>
        <w:tabs>
          <w:tab w:leader="none" w:pos="829"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Indemnification Obligations Net of Insurance Proceeds and Other Amounts</w:t>
      </w:r>
      <w:r>
        <w:rPr>
          <w:rFonts w:ascii="Arial" w:cs="Arial" w:eastAsia="Arial" w:hAnsi="Arial"/>
          <w:sz w:val="16"/>
          <w:szCs w:val="16"/>
          <w:color w:val="auto"/>
        </w:rPr>
        <w:t>.</w:t>
      </w:r>
    </w:p>
    <w:p>
      <w:pPr>
        <w:spacing w:after="0" w:line="117" w:lineRule="exact"/>
        <w:rPr>
          <w:sz w:val="20"/>
          <w:szCs w:val="20"/>
          <w:color w:val="auto"/>
        </w:rPr>
      </w:pPr>
    </w:p>
    <w:p>
      <w:pPr>
        <w:ind w:left="10" w:right="20" w:firstLine="981"/>
        <w:spacing w:after="0" w:line="269" w:lineRule="auto"/>
        <w:tabs>
          <w:tab w:leader="none" w:pos="13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Post and BellRing LLC intend that any Liability subject to indemnification, contribution or reimbursement pursuant to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shall be net of Insurance Proceeds or other amounts actually recovered (net of any out-of-pocket costs or expenses incurred in the collection thereof) from any Person by or on behalf of the Indemnitee in respect of any indemnifiable Liability. Accordingly, the amount which Post or BellRing LLC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pay to any Person entitled to indemnification or contribution hereunder (an “</w:t>
      </w:r>
      <w:r>
        <w:rPr>
          <w:rFonts w:ascii="Arial" w:cs="Arial" w:eastAsia="Arial" w:hAnsi="Arial"/>
          <w:sz w:val="17"/>
          <w:szCs w:val="17"/>
          <w:u w:val="single" w:color="auto"/>
          <w:color w:val="auto"/>
        </w:rPr>
        <w:t>Indemnitee</w:t>
      </w:r>
      <w:r>
        <w:rPr>
          <w:rFonts w:ascii="Arial" w:cs="Arial" w:eastAsia="Arial" w:hAnsi="Arial"/>
          <w:sz w:val="17"/>
          <w:szCs w:val="17"/>
          <w:color w:val="auto"/>
        </w:rPr>
        <w:t>”) shall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Arial" w:cs="Arial" w:eastAsia="Arial" w:hAnsi="Arial"/>
          <w:sz w:val="17"/>
          <w:szCs w:val="17"/>
          <w:u w:val="single" w:color="auto"/>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or any other amounts in respect of such Liability, then within ten (10) calendar days of receipt of such Insurance Proceeds, the Indemnitee shall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79" w:lineRule="exact"/>
        <w:rPr>
          <w:rFonts w:ascii="Arial" w:cs="Arial" w:eastAsia="Arial" w:hAnsi="Arial"/>
          <w:sz w:val="17"/>
          <w:szCs w:val="17"/>
          <w:color w:val="auto"/>
        </w:rPr>
      </w:pPr>
    </w:p>
    <w:p>
      <w:pPr>
        <w:ind w:left="10" w:firstLine="981"/>
        <w:spacing w:after="0" w:line="287" w:lineRule="auto"/>
        <w:tabs>
          <w:tab w:leader="none" w:pos="13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An insurer that would otherwise be obligated to pay any claim shall not be relieved of the responsibility with respect thereto or, solely by virtue of any provision contained in this Agreement or any Ancillary Agreement, have any subrogation rights with respect thereto, it being understood that no insurer or any other Third Party shall be entitled to a “windfall” (i.e., a benefit such insurer or other Third Party would not be entitled to receive in the absence of the indemnification provisions) by virtue of the indemnification and contribution provisions hereof. Each of Post, BellRing Inc. and BellRing LLC shall, and shall, as applicable, cause the members of its respective Group to, use commercially reasonable efforts (taking into account the probability of success on the merits and the cost of expending such efforts, including outside attorneys’ fees and expenses) to collect or recover any Insurance Proceeds that may be collectible or recoverable respecting the Liabilities for which indemnification or contribution may be available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10"/>
          </w:cols>
          <w:pgMar w:left="450" w:top="274" w:right="439" w:bottom="1440" w:gutter="0" w:footer="0" w:header="0"/>
        </w:sectPr>
      </w:pPr>
    </w:p>
    <w:bookmarkStart w:id="304" w:name="page305"/>
    <w:bookmarkEnd w:id="304"/>
    <w:p>
      <w:pPr>
        <w:ind w:right="180" w:firstLine="981"/>
        <w:spacing w:after="0" w:line="273" w:lineRule="auto"/>
        <w:tabs>
          <w:tab w:leader="none" w:pos="13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Liabilities indemnifiable hereunder shall be (i) reduced by an amount equal to any Tax benefit actually recognized in cash as a result of such Liability by an Indemnitee (on the basis of a reduction in cash payments for Taxes) during the two-year period starting on the date an Indemnity Payment is made with respect to such Liability, and (ii) increased by an amount equal to any additional Tax cost incurred by the Indemnitee arising from the receipt of Indemnification Payments hereunder. In computing the amount of any such Tax cost or Tax benefit, the Indemnitee shall be deemed to recognize all other items of income, gain, loss, deduction or credit before recognizing any item arising from the receipt of any Indemnification Payment hereunder or the incurrence or payment of any indemnified Liability.</w:t>
      </w:r>
    </w:p>
    <w:p>
      <w:pPr>
        <w:spacing w:after="0" w:line="28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Procedures for Indemnification of Third Party Claims</w:t>
      </w:r>
      <w:r>
        <w:rPr>
          <w:rFonts w:ascii="Arial" w:cs="Arial" w:eastAsia="Arial" w:hAnsi="Arial"/>
          <w:sz w:val="16"/>
          <w:szCs w:val="16"/>
          <w:color w:val="auto"/>
        </w:rPr>
        <w:t>.</w:t>
      </w:r>
    </w:p>
    <w:p>
      <w:pPr>
        <w:spacing w:after="0" w:line="117" w:lineRule="exact"/>
        <w:rPr>
          <w:sz w:val="20"/>
          <w:szCs w:val="20"/>
          <w:color w:val="auto"/>
        </w:rPr>
      </w:pPr>
    </w:p>
    <w:p>
      <w:pPr>
        <w:ind w:firstLine="981"/>
        <w:spacing w:after="0" w:line="269" w:lineRule="auto"/>
        <w:tabs>
          <w:tab w:leader="none" w:pos="137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Notice of Claims</w:t>
      </w:r>
      <w:r>
        <w:rPr>
          <w:rFonts w:ascii="Arial" w:cs="Arial" w:eastAsia="Arial" w:hAnsi="Arial"/>
          <w:sz w:val="17"/>
          <w:szCs w:val="17"/>
          <w:color w:val="auto"/>
        </w:rPr>
        <w:t>. If, at or following the Effective Time, an Indemnitee shall receive notice or otherwise learn of the assertion by a Person (including any Governmental Authority) who is not a member of the Post Group, BellRing Inc. or the BellRing Group of any claim or of the commencement by any such Person of any Action (collectively,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with respect to which an Indemnifying Party may be obligated to provide indemnification to such Indemnitee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or any other Section of this Agreement or any Ancillary Agreement, such Indemnitee shall give such Indemnifying Party written notice thereof as soon as practicable, but in any event within fourteen (14) days (or earlier if the nature of the Third Party Claim so requires) after becoming aware of such Third Party Claim. Any such notice shall describe the Third Party Claim in reasonable detail, including the facts and circumstances giving rise to such claim for indemnification, and include copies of all notices and documents (including court papers) received by the Indemnitee relating to the Third Party Claim. Notwithstanding the foregoing, the failure of an Indemnitee to provide notice in accordance with this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Arial" w:cs="Arial" w:eastAsia="Arial" w:hAnsi="Arial"/>
          <w:sz w:val="17"/>
          <w:szCs w:val="17"/>
          <w:u w:val="single" w:color="auto"/>
          <w:color w:val="auto"/>
        </w:rPr>
        <w:t>Section 5.5(a).</w:t>
      </w:r>
    </w:p>
    <w:p>
      <w:pPr>
        <w:spacing w:after="0" w:line="179" w:lineRule="exact"/>
        <w:rPr>
          <w:rFonts w:ascii="Arial" w:cs="Arial" w:eastAsia="Arial" w:hAnsi="Arial"/>
          <w:sz w:val="17"/>
          <w:szCs w:val="17"/>
          <w:color w:val="auto"/>
        </w:rPr>
      </w:pPr>
    </w:p>
    <w:p>
      <w:pPr>
        <w:ind w:right="80" w:firstLine="981"/>
        <w:spacing w:after="0" w:line="285" w:lineRule="auto"/>
        <w:tabs>
          <w:tab w:leader="none" w:pos="1380"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Control of Defense</w:t>
      </w:r>
      <w:r>
        <w:rPr>
          <w:rFonts w:ascii="Arial" w:cs="Arial" w:eastAsia="Arial" w:hAnsi="Arial"/>
          <w:sz w:val="16"/>
          <w:szCs w:val="16"/>
          <w:color w:val="auto"/>
        </w:rPr>
        <w:t xml:space="preserve">. Subject to any insurer’s rights pursuant to any Policies of any of Post, BellRing Inc. or BellRing LLC, as applicable, an Indemnifying Party may elect to defend (and seek to settle or compromise), at its own expense and with its own counsel, any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Indemnifying Party assuming and controlling defense of such Third Party Claim, it shall first confirm to the Indemnitee in writing that, assuming the facts presented to the Indemnifying Party by the Indemnitee are true, the Indemnifying Party shall indemnify the Indemnitee for any such damages to the extent resulting from, or arising out of, such Third Party Claim. Notwithstanding the foregoing, if the Indemnifying Party assumes such defense and, in the course of defending such Third Party Claim, (i) the Indemnifying Party discovers that the facts presented at the time the Indemnifying Party acknowledged its indemnification obligation in respect of such Third Party Claim were not true in all material respects and (ii) such untruth provides a reasonable basis for asserting that the Indemnifying Party does not have an indemnification obligation in respect of such Third Party Claim, then (A) the Indemnifying Party shall not be bound by such acknowledgment, (B) the Indemnifying Party shall promptly thereafter provide the Indemnitee written notice of its assertion that it does not have an indemnification obligation in respect of such Third Party Claim and (C) the Indemnitee shall have the right to assume the defense of such Third Party Claim. Within thirty (30) days after the receipt of a notice from an Indemnitee in accordance with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(or sooner, if the nature of the Third Party Claim so requires), the Indemnifying Party shall provide written notice to the Indemnitee indicating whether the Indemnifying Party shall assume responsibility for defending the Third Party Claim and specifying any reservations or exceptions to its defense. If an Indemnifying Party elects not to assume responsibility for defending any Third Party Claim as provided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or fails to notify an Indemnitee of its election within thirty (30) days (or such earlier period as provided herein) after receipt of the notice from an Indemnitee as provided in </w:t>
      </w:r>
      <w:r>
        <w:rPr>
          <w:rFonts w:ascii="Arial" w:cs="Arial" w:eastAsia="Arial" w:hAnsi="Arial"/>
          <w:sz w:val="16"/>
          <w:szCs w:val="16"/>
          <w:u w:val="single" w:color="auto"/>
          <w:color w:val="auto"/>
        </w:rPr>
        <w:t>Section 5.5(a)</w:t>
      </w:r>
      <w:r>
        <w:rPr>
          <w:rFonts w:ascii="Arial" w:cs="Arial" w:eastAsia="Arial" w:hAnsi="Arial"/>
          <w:sz w:val="16"/>
          <w:szCs w:val="16"/>
          <w:color w:val="auto"/>
        </w:rPr>
        <w:t>, then the Indemnitee that is the subject of such Third Party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60" w:top="274" w:right="439" w:bottom="1440" w:gutter="0" w:footer="0" w:header="0"/>
        </w:sectPr>
      </w:pPr>
    </w:p>
    <w:bookmarkStart w:id="305" w:name="page306"/>
    <w:bookmarkEnd w:id="30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 shall be entitled to continue to conduct and control the defense of such Third Party Claim. Notwithstanding anything herein to the contrary, to the extent a Third Party Claim involves or would reasonably be expected to involve both a BellRing Liability and a Post Liability (collectively, a “</w:t>
      </w:r>
      <w:r>
        <w:rPr>
          <w:rFonts w:ascii="Arial" w:cs="Arial" w:eastAsia="Arial" w:hAnsi="Arial"/>
          <w:sz w:val="18"/>
          <w:szCs w:val="18"/>
          <w:u w:val="single" w:color="auto"/>
          <w:color w:val="auto"/>
        </w:rPr>
        <w:t>Shared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Third Party Claim</w:t>
      </w:r>
      <w:r>
        <w:rPr>
          <w:rFonts w:ascii="Arial" w:cs="Arial" w:eastAsia="Arial" w:hAnsi="Arial"/>
          <w:sz w:val="18"/>
          <w:szCs w:val="18"/>
          <w:color w:val="auto"/>
        </w:rPr>
        <w:t>”), Post shall have the sole right to defend and control such portion of any Action relating to such Third Party Claim to the extent it relates to a Post Liability, and BellRing LLC shall have the sole right to defend and control such portion of any Action relating to such Third Party Claim to the extent it relates to a BellRing Liability.</w:t>
      </w:r>
    </w:p>
    <w:p>
      <w:pPr>
        <w:spacing w:after="0" w:line="191" w:lineRule="exact"/>
        <w:rPr>
          <w:sz w:val="20"/>
          <w:szCs w:val="20"/>
          <w:color w:val="auto"/>
        </w:rPr>
      </w:pPr>
    </w:p>
    <w:p>
      <w:pPr>
        <w:ind w:right="100" w:firstLine="981"/>
        <w:spacing w:after="0" w:line="268" w:lineRule="auto"/>
        <w:tabs>
          <w:tab w:leader="none" w:pos="137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Allocation of Defense Costs</w:t>
      </w:r>
      <w:r>
        <w:rPr>
          <w:rFonts w:ascii="Arial" w:cs="Arial" w:eastAsia="Arial" w:hAnsi="Arial"/>
          <w:sz w:val="17"/>
          <w:szCs w:val="17"/>
          <w:color w:val="auto"/>
        </w:rPr>
        <w:t xml:space="preserve">. If an Indemnifying Party has elected to assume the defense of a Third Party Claim, whether with or without any reservations or exceptions with respect to such defense, then such Indemnifying Party shall be solely liable for all fees and expenses incurred by it in connection with the defense of such Third Party Claim and shall not be entitled to seek any indemnification or reimbursement from the Indemnitee for any such fees or expenses incurred by the Indemnifying Party during the course of the defense of such Third Party Claim by such Indemnifying Party, regardless of any subsequent decision by the Indemnifying Party to reject or otherwise abandon its assumption of such defense. If an Indemnifying Party elects not to assume responsibility for defending any Third 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(or such earlier period as provided in </w:t>
      </w:r>
      <w:r>
        <w:rPr>
          <w:rFonts w:ascii="Arial" w:cs="Arial" w:eastAsia="Arial" w:hAnsi="Arial"/>
          <w:sz w:val="17"/>
          <w:szCs w:val="17"/>
          <w:u w:val="single" w:color="auto"/>
          <w:color w:val="auto"/>
        </w:rPr>
        <w:t>Section 5.5(b)</w:t>
      </w:r>
      <w:r>
        <w:rPr>
          <w:rFonts w:ascii="Arial" w:cs="Arial" w:eastAsia="Arial" w:hAnsi="Arial"/>
          <w:sz w:val="17"/>
          <w:szCs w:val="17"/>
          <w:color w:val="auto"/>
        </w:rPr>
        <w:t>), and the Indemnitee conducts and controls the defense of such Third Party Claim and the Indemnifying Party has an indemnification obligation with respect to such Third Party Claim, then the Indemnifying Party shall be liable for all reasonable fees and expenses incurred by the Indemnitee in connection with the defense of such Third Party Claim. In the event of a Shared Third Party Claim, each Party shall be liable for the portion of the fees and expenses incurred by such Party in connection with the defense of such Shared Third Party Claim that is equal to the relative portion of such Party’s Liability in respect of such Shared Third Party Claim, and shall be entitled to seek any indemnification or reimbursement from the other Party for any fees or expenses incurred by such Party during the course of the defense of such Shared Third Party Claim in excess of such fees and expenses that are the responsibility of such Party pursuant to this Agreement.</w:t>
      </w:r>
    </w:p>
    <w:p>
      <w:pPr>
        <w:spacing w:after="0" w:line="181" w:lineRule="exact"/>
        <w:rPr>
          <w:rFonts w:ascii="Arial" w:cs="Arial" w:eastAsia="Arial" w:hAnsi="Arial"/>
          <w:sz w:val="17"/>
          <w:szCs w:val="17"/>
          <w:color w:val="auto"/>
        </w:rPr>
      </w:pPr>
    </w:p>
    <w:p>
      <w:pPr>
        <w:ind w:firstLine="981"/>
        <w:spacing w:after="0" w:line="287" w:lineRule="auto"/>
        <w:tabs>
          <w:tab w:leader="none" w:pos="1380"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Right to Monitor and Participate</w:t>
      </w:r>
      <w:r>
        <w:rPr>
          <w:rFonts w:ascii="Arial" w:cs="Arial" w:eastAsia="Arial" w:hAnsi="Arial"/>
          <w:sz w:val="16"/>
          <w:szCs w:val="16"/>
          <w:color w:val="auto"/>
        </w:rPr>
        <w:t xml:space="preserve">. An Indemnitee that does not conduct and control the defense of any Third Party Claim, or an Indemnifying Party that has failed to elect to defend any Third Party Claim as contemplated hereby and either Post or BellRing LLC in the case of a Shared Third Party Claim, nevertheless shall have the right to employ separate outside counsel (including local counsel as necessary) of its own choosing to monitor and participate in (but not control) the defense of any Third 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5.5(c)</w:t>
      </w:r>
      <w:r>
        <w:rPr>
          <w:rFonts w:ascii="Arial" w:cs="Arial" w:eastAsia="Arial" w:hAnsi="Arial"/>
          <w:sz w:val="16"/>
          <w:szCs w:val="16"/>
          <w:color w:val="auto"/>
        </w:rPr>
        <w:t xml:space="preserve"> shall not apply to such fees and expenses. Notwithstanding the foregoing, such Party shall cooperate with the Party entitled to conduct and control the defense of such Third Party Claim in such defense and make available to the controlling Party, at the Indemnifying Party’s expense, all witnesses, information and materials in such Party’s possession or under such Party’s control relating thereto as are reasonably required by the controlling Party. In addition to the foregoing, if any Indemnitee shall in good faith determine that such Indemnitee and the Indemnifying Party have actual or potential differing defenses or conflicts of interest between them that make joint representation inappropriate, then the Indemnitee shall have the right to employ separate outside counsel (including local counsel as necessary) and to participate in (but not control) the defense, compromise, or settlement thereof, and in such case the Indemnifying Party shall bear the reasonable fees and expenses of such counsel for all Indemnitees.</w:t>
      </w:r>
    </w:p>
    <w:p>
      <w:pPr>
        <w:spacing w:after="0" w:line="165" w:lineRule="exact"/>
        <w:rPr>
          <w:rFonts w:ascii="Arial" w:cs="Arial" w:eastAsia="Arial" w:hAnsi="Arial"/>
          <w:sz w:val="16"/>
          <w:szCs w:val="16"/>
          <w:color w:val="auto"/>
        </w:rPr>
      </w:pPr>
    </w:p>
    <w:p>
      <w:pPr>
        <w:ind w:right="140" w:firstLine="981"/>
        <w:spacing w:after="0" w:line="341" w:lineRule="auto"/>
        <w:tabs>
          <w:tab w:leader="none" w:pos="1370"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No Settlement</w:t>
      </w:r>
      <w:r>
        <w:rPr>
          <w:rFonts w:ascii="Arial" w:cs="Arial" w:eastAsia="Arial" w:hAnsi="Arial"/>
          <w:sz w:val="16"/>
          <w:szCs w:val="16"/>
          <w:color w:val="auto"/>
        </w:rPr>
        <w:t>. None of Post, BellRing LLC or BellRing Inc. may settle or compromise any Third Party Claim for which such Party is seeking to be indemnified hereunder without the prior written consent of the Indemnifying Party, which consent may not be unreasonably withheld,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60" w:top="273" w:right="439" w:bottom="1440" w:gutter="0" w:footer="0" w:header="0"/>
        </w:sectPr>
      </w:pPr>
    </w:p>
    <w:bookmarkStart w:id="306" w:name="page307"/>
    <w:bookmarkEnd w:id="306"/>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conditioned or delayed, unless such settlement or compromise is solely for monetary damages that are fully payable by the settling or compromising Party, does not involve any admission, finding or determination of wrongdoing or violation of Law by such other Party or another member of its Group (including for this purpose BellRing Inc., if Post is the Indemnifying Party) or the Indemnitee and provides for a full, unconditional and irrevocable release of such other Party and the other members of its Group (including for this purpose BellRing Inc., if Post is the Indemnifying Party) and the Indemnitee(s) from all Liability in connection with the Third Party Claim. Post, BellRing LLC and BellRing Inc. hereby agree that if one of them presents such other Party with a written notice containing a proposal to settle or compromise a Third Party Claim for which any of Post, BellRing LLC or BellRing Inc. is seeking to be indemnified hereunder and the Party receiving such proposal does not respond in any manner to the Party presenting such proposal within thirty (30) days (or within any such shorter time period that may be required by applicable Law or court order) of receipt of such proposal, then the Party receiving such proposal shall be deemed to have consented to the terms of such proposal.</w:t>
      </w:r>
    </w:p>
    <w:p>
      <w:pPr>
        <w:spacing w:after="0" w:line="164" w:lineRule="exact"/>
        <w:rPr>
          <w:sz w:val="20"/>
          <w:szCs w:val="20"/>
          <w:color w:val="auto"/>
        </w:rPr>
      </w:pPr>
    </w:p>
    <w:p>
      <w:pPr>
        <w:jc w:val="both"/>
        <w:ind w:firstLine="981"/>
        <w:spacing w:after="0" w:line="259" w:lineRule="auto"/>
        <w:tabs>
          <w:tab w:leader="none" w:pos="135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Tax Matters Agreement Coordination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hereof shall not apply with respect to Taxes or Tax matters (it being understood and agreed that claims with respect to Taxes and Tax matters, including the control of Tax-related proceedings, shall be governed by the Tax Matters Agreement). In the case of any conflict between this Agreement and the Tax Matters Agreement in relation to any matters addressed by the Tax Matters Agreement, the Tax Matters Agreement shall prevail.</w:t>
      </w:r>
    </w:p>
    <w:p>
      <w:pPr>
        <w:spacing w:after="0" w:line="29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Additional Matters</w:t>
      </w:r>
      <w:r>
        <w:rPr>
          <w:rFonts w:ascii="Arial" w:cs="Arial" w:eastAsia="Arial" w:hAnsi="Arial"/>
          <w:sz w:val="16"/>
          <w:szCs w:val="16"/>
          <w:color w:val="auto"/>
        </w:rPr>
        <w:t>.</w:t>
      </w:r>
    </w:p>
    <w:p>
      <w:pPr>
        <w:spacing w:after="0" w:line="117" w:lineRule="exact"/>
        <w:rPr>
          <w:sz w:val="20"/>
          <w:szCs w:val="20"/>
          <w:color w:val="auto"/>
        </w:rPr>
      </w:pPr>
    </w:p>
    <w:p>
      <w:pPr>
        <w:ind w:right="100" w:firstLine="981"/>
        <w:spacing w:after="0" w:line="271" w:lineRule="auto"/>
        <w:tabs>
          <w:tab w:leader="none" w:pos="137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xml:space="preserve">. Indemnification or contribution payments in respect of any Liabilities for which an Indemnitee is entitled to indemnification or contribution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paid reasonably promptly (but in any event within forty-five (45) days of the final determination of the amount that the Indemnitee is entitled to indemnification or contribution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176" w:lineRule="exact"/>
        <w:rPr>
          <w:rFonts w:ascii="Arial" w:cs="Arial" w:eastAsia="Arial" w:hAnsi="Arial"/>
          <w:sz w:val="17"/>
          <w:szCs w:val="17"/>
          <w:color w:val="auto"/>
        </w:rPr>
      </w:pPr>
    </w:p>
    <w:p>
      <w:pPr>
        <w:ind w:firstLine="981"/>
        <w:spacing w:after="0" w:line="288" w:lineRule="auto"/>
        <w:tabs>
          <w:tab w:leader="none" w:pos="138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Notice of Direct Claims</w:t>
      </w:r>
      <w:r>
        <w:rPr>
          <w:rFonts w:ascii="Arial" w:cs="Arial" w:eastAsia="Arial" w:hAnsi="Arial"/>
          <w:sz w:val="16"/>
          <w:szCs w:val="16"/>
          <w:color w:val="auto"/>
        </w:rPr>
        <w:t xml:space="preserve">. Any claim for indemnification or contribution under this Agreement or any Ancillary Agreement that does not result from a Third Party Claim shall be asserted by written notice given by the Indemnitee to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 Indemnitee to so assert any such claim shall not prejudice the ability of the Indemnitee to do so at a later time except to the extent (if any) that the Indemnifying Party is prejudiced thereby. Such Indemnifying Party shall have a period of thirty (30) days after the receipt of such notice within which to respond thereto. If such Indemnifying Party does not respond within such thirty (30)-day period, such specified claim shall be conclusively deemed a Liability of the Indemnifying Party under this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be free to pursue such remedies as may be available to such Party as contemplated by this Agreement and the Ancillary Agreements, as applicable, without prejudice to its continuing rights to pursue indemnification or contribution 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307" w:name="page308"/>
    <w:bookmarkEnd w:id="307"/>
    <w:p>
      <w:pPr>
        <w:ind w:right="60" w:firstLine="981"/>
        <w:spacing w:after="0" w:line="255" w:lineRule="auto"/>
        <w:tabs>
          <w:tab w:leader="none" w:pos="137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Pursuit of Claims Against Third Parties</w:t>
      </w:r>
      <w:r>
        <w:rPr>
          <w:rFonts w:ascii="Arial" w:cs="Arial" w:eastAsia="Arial" w:hAnsi="Arial"/>
          <w:sz w:val="18"/>
          <w:szCs w:val="18"/>
          <w:color w:val="auto"/>
        </w:rPr>
        <w:t>. If (i) Post, BellRing Inc. or BellRing LLC incurs any Liability arising out of this Agreement or any Ancillary Agreement; (ii) an adequate legal or equitable remedy is not available for any reason against such other Party to satisfy the Liability incurred by such incurring Party; and (iii) a legal or equitable remedy may be available to such other Party against a Third Party for such Liability, then such other Party (Post, BellRing Inc. or BellRing LLC, as the case may be) shall use its commercially reasonable efforts to cooperate with such incurring Party, at such incurring Party’s expense, to permit such incurring Party to obtain the benefits of such legal or equitable remedy against the Third Party.</w:t>
      </w:r>
    </w:p>
    <w:p>
      <w:pPr>
        <w:spacing w:after="0" w:line="191" w:lineRule="exact"/>
        <w:rPr>
          <w:rFonts w:ascii="Arial" w:cs="Arial" w:eastAsia="Arial" w:hAnsi="Arial"/>
          <w:sz w:val="18"/>
          <w:szCs w:val="18"/>
          <w:color w:val="auto"/>
        </w:rPr>
      </w:pPr>
    </w:p>
    <w:p>
      <w:pPr>
        <w:ind w:right="40" w:firstLine="981"/>
        <w:spacing w:after="0" w:line="275" w:lineRule="auto"/>
        <w:tabs>
          <w:tab w:leader="none" w:pos="138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75" w:lineRule="exact"/>
        <w:rPr>
          <w:rFonts w:ascii="Arial" w:cs="Arial" w:eastAsia="Arial" w:hAnsi="Arial"/>
          <w:sz w:val="17"/>
          <w:szCs w:val="17"/>
          <w:color w:val="auto"/>
        </w:rPr>
      </w:pPr>
    </w:p>
    <w:p>
      <w:pPr>
        <w:ind w:firstLine="981"/>
        <w:spacing w:after="0" w:line="266" w:lineRule="auto"/>
        <w:tabs>
          <w:tab w:leader="none" w:pos="137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Covered Expenses</w:t>
      </w:r>
      <w:r>
        <w:rPr>
          <w:rFonts w:ascii="Arial" w:cs="Arial" w:eastAsia="Arial" w:hAnsi="Arial"/>
          <w:sz w:val="17"/>
          <w:szCs w:val="17"/>
          <w:color w:val="auto"/>
        </w:rPr>
        <w:t>. Each of BellRing Inc. and BellRing LLC acknowledges and agrees that it shall, and to the extent applicable, BellRing LLC shall cause the other members of the BellRing Group to, be fully and primarily responsible for the payment to each Covered Person in respect of indemnification or advancement of all out-of-pocket costs of any type or nature whatsoever (including, without limitation, all outside attorneys’ fees and related disbursements) in each case, actually and reasonably incurred by or on behalf of a Covered Person in connection with either the investigation, defense or appeal of a claim, demand, action, suit or proceeding or establishing or enforcing a right to indemnification under this Agreement or otherwise incurred in connection with a claim that is indemnifiable in connection with any Covered Claim (collectively, “</w:t>
      </w:r>
      <w:r>
        <w:rPr>
          <w:rFonts w:ascii="Arial" w:cs="Arial" w:eastAsia="Arial" w:hAnsi="Arial"/>
          <w:sz w:val="17"/>
          <w:szCs w:val="17"/>
          <w:u w:val="single" w:color="auto"/>
          <w:color w:val="auto"/>
        </w:rPr>
        <w:t>Covered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Expenses</w:t>
      </w:r>
      <w:r>
        <w:rPr>
          <w:rFonts w:ascii="Arial" w:cs="Arial" w:eastAsia="Arial" w:hAnsi="Arial"/>
          <w:sz w:val="17"/>
          <w:szCs w:val="17"/>
          <w:color w:val="auto"/>
        </w:rPr>
        <w:t>”), pursuant to and in accordance with (as applicable) the terms of (i) this Agreement, (ii) any other agreement between or among BellRing Inc., BellRing LLC or any other member of the BellRing Group, on the one hand, and the Covered Person, on the other hand, pursuant to which the Covered Person has rights to indemnification, advancement of expenses and/or insurance, (iii) applicable Law and/or (iv) the certificate of incorporation, certificate of organization, bylaws, partnership agreement, operating agreement, certificate of formation, certificate of limited partnership, certificate of qualification or other organizational or governing documents of BellRing Inc., BellRing LLC or any other member of the BellRing Group ((i) through (iv) collectively, the “</w:t>
      </w:r>
      <w:r>
        <w:rPr>
          <w:rFonts w:ascii="Arial" w:cs="Arial" w:eastAsia="Arial" w:hAnsi="Arial"/>
          <w:sz w:val="17"/>
          <w:szCs w:val="17"/>
          <w:u w:val="single" w:color="auto"/>
          <w:color w:val="auto"/>
        </w:rPr>
        <w:t>Covered Expense Sources</w:t>
      </w:r>
      <w:r>
        <w:rPr>
          <w:rFonts w:ascii="Arial" w:cs="Arial" w:eastAsia="Arial" w:hAnsi="Arial"/>
          <w:sz w:val="17"/>
          <w:szCs w:val="17"/>
          <w:color w:val="auto"/>
        </w:rPr>
        <w:t xml:space="preserve">”), irrespective of any right of recovery the Covered Person may have from Post or any other member of the Post Group. Under no circumstance shall BellRing Inc., BellRing LLC or any other member of the BellRing Group be entitled to any right of subrogation or contribution by Post or any other member of the Post Group and no right of advancement or recovery the Covered Person may have from Post or any other member of the Post Group shall reduce or otherwise alter the rights of the Covered Person or the obligations of BellRing Inc., BellRing LLC or any other member of the BellRing Group under the Covered Expense Sources. In the event that Post or any other member of the Post Group shall make any payment to the Covered Person in respect of indemnification or advancement of Covered Expenses with respect to any Covered Claim, (x) BellRing Inc. or BellRing LLC, as applicable, shall, and to the extent applicable, BellRing LLC shall cause any other member of the BellRing Group to, reimburse the applicable member(s) of the Post Group making such payment to the extent of such payment promptly upon written demand from Post or such member(s) of the Post Group, and (y) to the extent not previously and fully reimbursed by BellRing Inc., BellRing LLC or any other member of the BellRing Group, as applicable, pursuant to clause (x), the applicable member(s) of the Post Group making such payment shall be subrogated to the extent of the outstanding balance of such payment to all of the rights of recovery of the Covered Person against BellRing Inc., BellRing LLC and/or such members of the BellRing Group, as applicable. For the avoidance of doubt, BellRing Inc. and BellRing LLC each acknowledges and agrees that insurance policies carried by Post or other members of the Post Group may have provisions reflecting the allocation of liability set forth in this </w:t>
      </w:r>
      <w:r>
        <w:rPr>
          <w:rFonts w:ascii="Arial" w:cs="Arial" w:eastAsia="Arial" w:hAnsi="Arial"/>
          <w:sz w:val="17"/>
          <w:szCs w:val="17"/>
          <w:u w:val="single" w:color="auto"/>
          <w:color w:val="auto"/>
        </w:rPr>
        <w:t>Section 5.6(e)</w:t>
      </w:r>
      <w:r>
        <w:rPr>
          <w:rFonts w:ascii="Arial" w:cs="Arial" w:eastAsia="Arial" w:hAnsi="Arial"/>
          <w:sz w:val="17"/>
          <w:szCs w:val="17"/>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60" w:top="274" w:right="459" w:bottom="1440" w:gutter="0" w:footer="0" w:header="0"/>
        </w:sectPr>
      </w:pPr>
    </w:p>
    <w:bookmarkStart w:id="308" w:name="page309"/>
    <w:bookmarkEnd w:id="308"/>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r>
        <w:rPr>
          <w:sz w:val="20"/>
          <w:szCs w:val="20"/>
          <w:color w:val="auto"/>
        </w:rPr>
        <w:tab/>
      </w:r>
      <w:r>
        <w:rPr>
          <w:rFonts w:ascii="Arial" w:cs="Arial" w:eastAsia="Arial" w:hAnsi="Arial"/>
          <w:sz w:val="17"/>
          <w:szCs w:val="17"/>
          <w:u w:val="single" w:color="auto"/>
          <w:color w:val="auto"/>
        </w:rPr>
        <w:t>Right of Contribution</w:t>
      </w:r>
      <w:r>
        <w:rPr>
          <w:rFonts w:ascii="Arial" w:cs="Arial" w:eastAsia="Arial" w:hAnsi="Arial"/>
          <w:sz w:val="17"/>
          <w:szCs w:val="17"/>
          <w:color w:val="auto"/>
        </w:rPr>
        <w:t>.</w:t>
      </w:r>
    </w:p>
    <w:p>
      <w:pPr>
        <w:spacing w:after="0" w:line="117" w:lineRule="exact"/>
        <w:rPr>
          <w:sz w:val="20"/>
          <w:szCs w:val="20"/>
          <w:color w:val="auto"/>
        </w:rPr>
      </w:pPr>
    </w:p>
    <w:p>
      <w:pPr>
        <w:ind w:right="140" w:firstLine="981"/>
        <w:spacing w:after="0" w:line="255" w:lineRule="auto"/>
        <w:tabs>
          <w:tab w:leader="none" w:pos="137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any right of indemnification contained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(including for this purpose BellRing Inc., if the Indemnitee is a Post Indemnitee), on the one hand, and the Indemnitees entitled to contribution, on the other hand, as well as any other relevant equitable considerations.</w:t>
      </w:r>
    </w:p>
    <w:p>
      <w:pPr>
        <w:spacing w:after="0" w:line="191" w:lineRule="exact"/>
        <w:rPr>
          <w:rFonts w:ascii="Arial" w:cs="Arial" w:eastAsia="Arial" w:hAnsi="Arial"/>
          <w:sz w:val="18"/>
          <w:szCs w:val="18"/>
          <w:color w:val="auto"/>
        </w:rPr>
      </w:pPr>
    </w:p>
    <w:p>
      <w:pPr>
        <w:ind w:firstLine="981"/>
        <w:spacing w:after="0" w:line="269" w:lineRule="auto"/>
        <w:tabs>
          <w:tab w:leader="none" w:pos="1380"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Allocation of Relative Fault</w:t>
      </w:r>
      <w:r>
        <w:rPr>
          <w:rFonts w:ascii="Arial" w:cs="Arial" w:eastAsia="Arial" w:hAnsi="Arial"/>
          <w:sz w:val="17"/>
          <w:szCs w:val="17"/>
          <w:color w:val="auto"/>
        </w:rPr>
        <w:t xml:space="preserve">. Solely for purposes of determining relative fault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(i) any fault associated with the business conducted with the Delayed BellRing Assets or Delayed BellRing Liabilities (except for the gross negligence or intentional misconduct of a member of the Post Group) or with the ownership, operation or activities of the BellRing Business prior to the Effective Time shall be deemed to be the fault of BellRing LLC and the other members of the BellRing Group, and no such fault shall be deemed to be the fault of Post or any other member of the Post Group; (ii) any fault associated with the business conducted with Delayed Post Assets or Delayed Post Liabilities (except for the gross negligence or intentional misconduct of BellRing Inc. or a member of the BellRing Group) shall be deemed to be the fault of Post and the other members of the Post Group, and no such fault shall be deemed to be the fault of BellRing Inc., BellRing LLC or any other member of the BellRing Group; and (iii) any fault associated with the ownership, operation or activities of the Post Business prior to the Effective Time shall be deemed to be the fault of Post and the other members of the Post Group, and no such fault shall be deemed to be the fault of BellRing Inc., BellRing LLC or any other member of the BellRing Group.</w:t>
      </w:r>
    </w:p>
    <w:p>
      <w:pPr>
        <w:spacing w:after="0" w:line="183" w:lineRule="exact"/>
        <w:rPr>
          <w:sz w:val="20"/>
          <w:szCs w:val="20"/>
          <w:color w:val="auto"/>
        </w:rPr>
      </w:pPr>
    </w:p>
    <w:p>
      <w:pPr>
        <w:ind w:right="260" w:firstLine="440"/>
        <w:spacing w:after="0" w:line="272"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Covenant Not to Sue</w:t>
      </w:r>
      <w:r>
        <w:rPr>
          <w:rFonts w:ascii="Arial" w:cs="Arial" w:eastAsia="Arial" w:hAnsi="Arial"/>
          <w:sz w:val="17"/>
          <w:szCs w:val="17"/>
          <w:color w:val="auto"/>
        </w:rPr>
        <w:t xml:space="preserve">. Each of BellRing Inc., Post and BellRing LLC hereby covenants and agrees that none of it, the members of its respective Group, as applicable,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BellRing Liabilities by BellRing LLC or a member of the BellRing Group on the terms and conditions set forth in this Agreement and the Ancillary Agreements is void or unenforceable for any reason; (b) the retention of any Post Liabilities by Post or a member of the Post Group on the terms and conditions set forth in this Agreement and the Ancillary Agreements is void or unenforceable for any reason; or (c)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are void or unenforceable for any reason.</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cumulative and, subject to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preclude assertion by any Indemnitee of any other rights or the seeking of any and all other remedies against any Indemnifying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procedures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the exclusive procedures governing any indemnity action brought under this Agreement.</w:t>
      </w:r>
    </w:p>
    <w:p>
      <w:pPr>
        <w:spacing w:after="0" w:line="186"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xml:space="preserve">. The rights and obligations of each of Post, BellRing Inc. and BellRing LLC and their respective Indemnitees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 the sale or other transfer by any such Party or any member of its respective Group, as applicable, of any Assets or businesses or the assignment by it of any Liabilities; or (b) any merger, consolidation, business combination, sale of all or substantially all of its Assets, restructuring, recapitalization, reorganization or similar transaction involving any such Party or any of the members of its respective Group, as applicable.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60" w:top="274" w:right="439" w:bottom="1440" w:gutter="0" w:footer="0" w:header="0"/>
        </w:sectPr>
      </w:pPr>
    </w:p>
    <w:bookmarkStart w:id="309" w:name="page310"/>
    <w:bookmarkEnd w:id="309"/>
    <w:p>
      <w:pPr>
        <w:jc w:val="center"/>
        <w:ind w:right="-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CERTAIN OTHER MATTERS</w:t>
      </w:r>
    </w:p>
    <w:p>
      <w:pPr>
        <w:spacing w:after="0" w:line="210" w:lineRule="exact"/>
        <w:rPr>
          <w:sz w:val="20"/>
          <w:szCs w:val="20"/>
          <w:color w:val="auto"/>
        </w:rPr>
      </w:pPr>
    </w:p>
    <w:p>
      <w:pPr>
        <w:ind w:left="10" w:right="20" w:firstLine="44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each reference to the “BellRing Group” shall be deemed to include BellRing Inc., BellRing LLC and each Subsidiary of BellRing Inc. and BellRing LLC and each other Person that is controlled directly or indirectly by BellRing Inc. or BellRing LLC, in each case, determined as of the applicable time period relevant to such reference. Each of BellRing LLC and BellRing Inc. agrees that, for the period set forth in </w:t>
      </w:r>
      <w:r>
        <w:rPr>
          <w:rFonts w:ascii="Arial" w:cs="Arial" w:eastAsia="Arial" w:hAnsi="Arial"/>
          <w:sz w:val="18"/>
          <w:szCs w:val="18"/>
          <w:u w:val="single" w:color="auto"/>
          <w:color w:val="auto"/>
        </w:rPr>
        <w:t>Section 6.1(j)</w:t>
      </w:r>
      <w:r>
        <w:rPr>
          <w:rFonts w:ascii="Arial" w:cs="Arial" w:eastAsia="Arial" w:hAnsi="Arial"/>
          <w:sz w:val="18"/>
          <w:szCs w:val="18"/>
          <w:color w:val="auto"/>
        </w:rPr>
        <w:t>:</w:t>
      </w:r>
    </w:p>
    <w:p>
      <w:pPr>
        <w:spacing w:after="0" w:line="186" w:lineRule="exact"/>
        <w:rPr>
          <w:sz w:val="20"/>
          <w:szCs w:val="20"/>
          <w:color w:val="auto"/>
        </w:rPr>
      </w:pPr>
    </w:p>
    <w:p>
      <w:pPr>
        <w:ind w:left="10" w:firstLine="981"/>
        <w:spacing w:after="0" w:line="269" w:lineRule="auto"/>
        <w:tabs>
          <w:tab w:leader="none" w:pos="1380"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Disclosure of Financial Controls</w:t>
      </w:r>
      <w:r>
        <w:rPr>
          <w:rFonts w:ascii="Arial" w:cs="Arial" w:eastAsia="Arial" w:hAnsi="Arial"/>
          <w:sz w:val="17"/>
          <w:szCs w:val="17"/>
          <w:color w:val="auto"/>
        </w:rPr>
        <w:t>. Each of BellRing LLC and BellRing Inc. shall, and shall, as applicable, cause each other member of the BellRing Group to, maintain, as of and after the IPO Closing Date, disclosure controls and procedures and internal control over financial reporting as defined in Rule 13a-15 promulgated under the Exchange Act. Each of BellRing LLC and BellRing Inc. shall, and shall, as applicable, cause each other member of the BellRing Group to, maintain, as of and after the IPO Closing Date, internal systems and procedures that will provide reasonable assurance that (A) their respective annual and quarterly financial statements are reliable and timely prepared in accordance with GAAP and applicable Law, (B) all transactions of the members of the BellRing Group and BellRing Inc. are recorded as necessary to permit the preparation of BellRing LLC’s, BellRing Inc.’s and any other member of the BellRing Group’s annual and quarterly financial statements, as applicable, (C) the receipts and expenditures of the members of the BellRing Group and BellRing Inc. are authorized at the appropriate level within the BellRing Group or BellRing Inc., as applicable, and (D) unauthorized use or disposition of the assets of any member of the BellRing Group or BellRing Inc. that could have a material effect on the annual and quarterly financial statements of any member of the BellRing Group or BellRing Inc., as applicable, is prevented or detected in a timely manner.</w:t>
      </w:r>
    </w:p>
    <w:p>
      <w:pPr>
        <w:spacing w:after="0" w:line="179" w:lineRule="exact"/>
        <w:rPr>
          <w:rFonts w:ascii="Arial" w:cs="Arial" w:eastAsia="Arial" w:hAnsi="Arial"/>
          <w:sz w:val="17"/>
          <w:szCs w:val="17"/>
          <w:color w:val="auto"/>
        </w:rPr>
      </w:pPr>
    </w:p>
    <w:p>
      <w:pPr>
        <w:ind w:left="10" w:right="80" w:firstLine="981"/>
        <w:spacing w:after="0" w:line="259" w:lineRule="auto"/>
        <w:tabs>
          <w:tab w:leader="none" w:pos="1390"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Each of BellRing LLC and BellRing Inc. shall, and shall, as applicable, cause each other member of the BellRing Group organized in the United States to, maintain a fiscal year that commences and ends on the same calendar days as Post’s fiscal year commences and ends, and to maintain monthly accounting periods that commence and end on the same calendar days as Post’s monthly accounting periods commence and end.</w:t>
      </w:r>
    </w:p>
    <w:p>
      <w:pPr>
        <w:spacing w:after="0" w:line="185" w:lineRule="exact"/>
        <w:rPr>
          <w:rFonts w:ascii="Arial" w:cs="Arial" w:eastAsia="Arial" w:hAnsi="Arial"/>
          <w:sz w:val="18"/>
          <w:szCs w:val="18"/>
          <w:color w:val="auto"/>
        </w:rPr>
      </w:pPr>
    </w:p>
    <w:p>
      <w:pPr>
        <w:ind w:left="10" w:right="20" w:firstLine="981"/>
        <w:spacing w:after="0" w:line="284" w:lineRule="auto"/>
        <w:tabs>
          <w:tab w:leader="none" w:pos="1380"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Monthly Financial Reports</w:t>
      </w:r>
      <w:r>
        <w:rPr>
          <w:rFonts w:ascii="Arial" w:cs="Arial" w:eastAsia="Arial" w:hAnsi="Arial"/>
          <w:sz w:val="16"/>
          <w:szCs w:val="16"/>
          <w:color w:val="auto"/>
        </w:rPr>
        <w:t>. No later than five (5) Business Days after the end of each month (including the last month of Post’s fiscal year), unless otherwise agreed in writing by the Parties, each of BellRing LLC and BellRing Inc. shall deliver to Post a preliminary consolidated income statement and preliminary consolidated balance sheet and, if requested by Post, income statements and balance sheets for each Affiliate of BellRing LLC or BellRing Inc. which is consolidated with BellRing LLC or BellRing Inc., as the case may be, for such period, and each shall provide Post an opportunity to meet with relevant management personnel to discuss such reports. Each of BellRing LLC and BellRing Inc. shall also deliver to Post preliminary rollforwards as specifically requested by Post for such period and, in the case of BellRing LLC, if requested by Post, rollforwards for each Affiliate of BellRing LLC or BellRing Inc. which is consolidated with BellRing LLC or BellRing Inc., as the case may be, no later than seven</w:t>
      </w:r>
    </w:p>
    <w:p>
      <w:pPr>
        <w:spacing w:after="0" w:line="1" w:lineRule="exact"/>
        <w:rPr>
          <w:rFonts w:ascii="Arial" w:cs="Arial" w:eastAsia="Arial" w:hAnsi="Arial"/>
          <w:sz w:val="16"/>
          <w:szCs w:val="16"/>
          <w:color w:val="auto"/>
        </w:rPr>
      </w:pPr>
    </w:p>
    <w:p>
      <w:pPr>
        <w:ind w:left="10" w:right="100" w:hanging="10"/>
        <w:spacing w:after="0" w:line="288" w:lineRule="auto"/>
        <w:tabs>
          <w:tab w:leader="none" w:pos="26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Business Days after the end of each monthly accounting period of BellRing LLC and BellRing Inc. (including the last monthly accounting period of BellRing LLC and BellRing Inc. of each fiscal year), as applicable. Each of BellRing LLC and BellRing Inc. shall also deliver to Post a preliminary consolidated statement of cash flows for BellRing LLC and BellRing Inc., as applicable, for such period and, if requested by Post, statements of cash flow for each Affiliate of BellRing LLC or BellRing Inc. which is consolidated with BellRing LLC or BellRing Inc., as the case may be, no later than ten (10) Business Days after the end of each monthly accounting period of BellRing LLC and BellRing Inc. (including the last monthly accounting period of BellRing LLC and BellRing Inc. of each fiscal year), as applicable. The income statements, balance sheets, statements of cash flows and related rollforwards shall be in such format and detail as Post may request, and the information supporting such statements</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10"/>
          </w:cols>
          <w:pgMar w:left="450" w:top="274" w:right="439" w:bottom="1440" w:gutter="0" w:footer="0" w:header="0"/>
        </w:sectPr>
      </w:pPr>
    </w:p>
    <w:bookmarkStart w:id="310" w:name="page311"/>
    <w:bookmarkEnd w:id="31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submitted electronically for inclusion in each of Post’s financial reporting systems by such date to permit timely preparation of Post’s consolidated financial statements. In addition, if either of BellRing LLC or BellRing Inc. makes adjustments or other corrections to such financial information, adjustments or other corrections shall be delivered by BellRing LLC or BellRing Inc., as applicable, to Post as soon as practicable, and in any event within twenty-four (24) hours thereafter.</w:t>
      </w:r>
    </w:p>
    <w:p>
      <w:pPr>
        <w:spacing w:after="0" w:line="186" w:lineRule="exact"/>
        <w:rPr>
          <w:sz w:val="20"/>
          <w:szCs w:val="20"/>
          <w:color w:val="auto"/>
        </w:rPr>
      </w:pPr>
    </w:p>
    <w:p>
      <w:pPr>
        <w:ind w:right="20" w:firstLine="981"/>
        <w:spacing w:after="0" w:line="269" w:lineRule="auto"/>
        <w:tabs>
          <w:tab w:leader="none" w:pos="138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Quarterly and Annual Financial Statements</w:t>
      </w:r>
      <w:r>
        <w:rPr>
          <w:rFonts w:ascii="Arial" w:cs="Arial" w:eastAsia="Arial" w:hAnsi="Arial"/>
          <w:sz w:val="17"/>
          <w:szCs w:val="17"/>
          <w:color w:val="auto"/>
        </w:rPr>
        <w:t>. BellRing LLC or BellRing Inc. shall establish a disclosure committee (the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w:t>
      </w:r>
      <w:r>
        <w:rPr>
          <w:rFonts w:ascii="Arial" w:cs="Arial" w:eastAsia="Arial" w:hAnsi="Arial"/>
          <w:sz w:val="17"/>
          <w:szCs w:val="17"/>
          <w:color w:val="auto"/>
        </w:rPr>
        <w:t>”) for the purposes of review and approval of BellRing Inc.’s Forms 10-Q and Forms 10-K and other significant filings with the SEC prior to the filing of such documents. Post shall have sole discretion to select certain of its employees to participate in all meetings of the Disclosure Committee for the purpose of reviewing the consistency of such documents with similar documents or other disclosures of Post. Distribution of documents for review by Post should be made at the time such documents are distributed to the participants from BellRing Inc. and the members of the BellRing Group and should provide a reasonable period for review prior to the applicable meeting or by a date otherwise specified by Post. The management of BellRing Inc. shall be solely liable for the completeness and accuracy of any such filings, including any financial statements included therein. BellRing Inc. shall cause each of its principal executive and principal financial officers to sign and deliver to Post the certifications required by Sections 302 and 906 of the Sarbanes-Oxley Act of 2002 and shall include the certifications in BellRing Inc.’s periodic reports, as and when required pursuant to Rule 13a-14 promulgated under the Exchange Act and Item 601 of Regulation S-K.</w:t>
      </w:r>
    </w:p>
    <w:p>
      <w:pPr>
        <w:spacing w:after="0" w:line="183" w:lineRule="exact"/>
        <w:rPr>
          <w:rFonts w:ascii="Arial" w:cs="Arial" w:eastAsia="Arial" w:hAnsi="Arial"/>
          <w:sz w:val="17"/>
          <w:szCs w:val="17"/>
          <w:color w:val="auto"/>
        </w:rPr>
      </w:pPr>
    </w:p>
    <w:p>
      <w:pPr>
        <w:ind w:right="60" w:firstLine="981"/>
        <w:spacing w:after="0" w:line="271" w:lineRule="auto"/>
        <w:tabs>
          <w:tab w:leader="none" w:pos="137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Budgets and Financial Projections</w:t>
      </w:r>
      <w:r>
        <w:rPr>
          <w:rFonts w:ascii="Arial" w:cs="Arial" w:eastAsia="Arial" w:hAnsi="Arial"/>
          <w:sz w:val="17"/>
          <w:szCs w:val="17"/>
          <w:color w:val="auto"/>
        </w:rPr>
        <w:t>. BellRing LLC and BellRing Inc. shall, as promptly as practicable, deliver to Post copies of all quarterly business process reviews, annual budgets and periodic financial projections (consistent in terms of format and detail and otherwise required by Post) relating to BellRing LLC or BellRing Inc., as the case may be, on a consolidated basis and each shall provide Post an opportunity to meet with relevant management personnel, and each shall, as applicable, cause each other member of the BellRing Group to provide Post an opportunity to meet with relevant management personnel, to discuss such reviews, budgets and projections. BellRing LLC and BellRing Inc. shall, and shall, as applicable, cause each other member of the BellRing Group to, continue to provide to Post projections on a monthly basis consistent with past practices, including income, cash flow and operating indicators, as well as capital expenditure detail on a quarterly basis. Such projections shall be submitted electronically for inclusion in Post’s management reporting systems.</w:t>
      </w:r>
    </w:p>
    <w:p>
      <w:pPr>
        <w:spacing w:after="0" w:line="176" w:lineRule="exact"/>
        <w:rPr>
          <w:rFonts w:ascii="Arial" w:cs="Arial" w:eastAsia="Arial" w:hAnsi="Arial"/>
          <w:sz w:val="17"/>
          <w:szCs w:val="17"/>
          <w:color w:val="auto"/>
        </w:rPr>
      </w:pPr>
    </w:p>
    <w:p>
      <w:pPr>
        <w:ind w:right="180" w:firstLine="981"/>
        <w:spacing w:after="0" w:line="256" w:lineRule="auto"/>
        <w:tabs>
          <w:tab w:leader="none" w:pos="135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Conformance with Post Financial Presentation</w:t>
      </w:r>
      <w:r>
        <w:rPr>
          <w:rFonts w:ascii="Arial" w:cs="Arial" w:eastAsia="Arial" w:hAnsi="Arial"/>
          <w:sz w:val="18"/>
          <w:szCs w:val="18"/>
          <w:color w:val="auto"/>
        </w:rPr>
        <w:t>. All information provided by any member of the BellRing Group or BellRing Inc. to Post shall be consistent in terms of format and detail and otherwise with Post’s policies with respect to the application of GAAP and practices in effect on the IPO Closing Date with respect to the provision of such financial information by such member of the BellRing Group or BellRing Inc. to Post, with such changes therein as may be required by GAAP or requested by Post from time to time consistent with changes in such accounting principles and practices.</w:t>
      </w:r>
    </w:p>
    <w:p>
      <w:pPr>
        <w:spacing w:after="0" w:line="191" w:lineRule="exact"/>
        <w:rPr>
          <w:rFonts w:ascii="Arial" w:cs="Arial" w:eastAsia="Arial" w:hAnsi="Arial"/>
          <w:sz w:val="18"/>
          <w:szCs w:val="18"/>
          <w:color w:val="auto"/>
        </w:rPr>
      </w:pPr>
    </w:p>
    <w:p>
      <w:pPr>
        <w:ind w:right="80" w:firstLine="981"/>
        <w:spacing w:after="0" w:line="259" w:lineRule="auto"/>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With reasonable promptness, each of BellRing LLC and BellRing Inc. shall, and shall, as applicable, cause each other member of the BellRing Group to, deliver to Post such additional financial and other information and data with respect to the BellRing Group and BellRing Inc. and their respective businesses, properties, financial positions, results of operations and prospects as may be reasonably requested by Post from time to time.</w:t>
      </w:r>
    </w:p>
    <w:p>
      <w:pPr>
        <w:spacing w:after="0" w:line="185" w:lineRule="exact"/>
        <w:rPr>
          <w:rFonts w:ascii="Arial" w:cs="Arial" w:eastAsia="Arial" w:hAnsi="Arial"/>
          <w:sz w:val="18"/>
          <w:szCs w:val="18"/>
          <w:color w:val="auto"/>
        </w:rPr>
      </w:pPr>
    </w:p>
    <w:p>
      <w:pPr>
        <w:ind w:firstLine="981"/>
        <w:spacing w:after="0" w:line="259" w:lineRule="auto"/>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Press Releases and Similar Information</w:t>
      </w:r>
      <w:r>
        <w:rPr>
          <w:rFonts w:ascii="Arial" w:cs="Arial" w:eastAsia="Arial" w:hAnsi="Arial"/>
          <w:sz w:val="18"/>
          <w:szCs w:val="18"/>
          <w:color w:val="auto"/>
        </w:rPr>
        <w:t>. BellRing Inc. shall consult and coordinate with Post as to the timing and content of any quarterly earnings releases and any interim financial guidance relating to BellRing Inc. for a current or future period and shall give Post the opportunity to review the information therein relating to the BellRing Group or BellRing Inc. and to comment thereon. BellRing Inc. shall make reasonable efforts to coordinate the issuance of any quarterly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60" w:top="273" w:right="439" w:bottom="1440" w:gutter="0" w:footer="0" w:header="0"/>
        </w:sectPr>
      </w:pPr>
    </w:p>
    <w:bookmarkStart w:id="311" w:name="page312"/>
    <w:bookmarkEnd w:id="311"/>
    <w:p>
      <w:pPr>
        <w:ind w:left="10" w:right="3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releases with those of Post. No later than five (5) days prior to the time and date that BellRing Inc. intends to publish any regular quarterly earnings release or any financial guidance for a current or future period, BellRing Inc. shall deliver to Post copies of drafts of (i) all press releases,</w:t>
      </w:r>
    </w:p>
    <w:p>
      <w:pPr>
        <w:spacing w:after="0" w:line="1" w:lineRule="exact"/>
        <w:rPr>
          <w:sz w:val="20"/>
          <w:szCs w:val="20"/>
          <w:color w:val="auto"/>
        </w:rPr>
      </w:pPr>
    </w:p>
    <w:p>
      <w:pPr>
        <w:ind w:left="10" w:hanging="10"/>
        <w:spacing w:after="0" w:line="268" w:lineRule="auto"/>
        <w:tabs>
          <w:tab w:leader="none" w:pos="27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investor presentations and (iii) other statements to be made available by BellRing Inc. to employees of the BellRing Group or to the public, in each case, concerning any matters that could be reasonably likely to have a material financial impact on the earnings, results of operations, financial condition or prospects of any member of the BellRing Group or BellRing Inc. No later than four (4) hours prior to the time and date that BellRing Inc. intends to publish any regular quarterly earnings release or any financial guidance for a current or future period, BellRing Inc. shall deliver to Post copies of substantially final drafts of all such materials. In addition, prior to the issuance of any such press release, investor presentation or public statement that meets the criteria set forth in the preceding two sentences, BellRing Inc. shall consult with Post regarding any changes (other than typographical or other similar minor changes) to such substantially final drafts. Immediately following the issuance thereof, BellRing Inc. shall deliver to Post copies of final versions of all press releases, investor presentations and such other public statements.</w:t>
      </w:r>
    </w:p>
    <w:p>
      <w:pPr>
        <w:spacing w:after="0" w:line="181" w:lineRule="exact"/>
        <w:rPr>
          <w:rFonts w:ascii="Arial" w:cs="Arial" w:eastAsia="Arial" w:hAnsi="Arial"/>
          <w:sz w:val="17"/>
          <w:szCs w:val="17"/>
          <w:color w:val="auto"/>
        </w:rPr>
      </w:pPr>
    </w:p>
    <w:p>
      <w:pPr>
        <w:ind w:left="10" w:firstLine="981"/>
        <w:spacing w:after="0" w:line="284" w:lineRule="auto"/>
        <w:tabs>
          <w:tab w:leader="none" w:pos="1350"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Cooperation on Post Filings</w:t>
      </w:r>
      <w:r>
        <w:rPr>
          <w:rFonts w:ascii="Arial" w:cs="Arial" w:eastAsia="Arial" w:hAnsi="Arial"/>
          <w:sz w:val="16"/>
          <w:szCs w:val="16"/>
          <w:color w:val="auto"/>
        </w:rPr>
        <w:t>. Each of BellRing LLC and BellRing Inc. shall cooperate fully, BellRing LLC shall cause each member of the BellRing Group that is a Subsidiary of, or that is controlled by, BellRing LLC and its and their independent certified public accountants (the “</w:t>
      </w:r>
      <w:r>
        <w:rPr>
          <w:rFonts w:ascii="Arial" w:cs="Arial" w:eastAsia="Arial" w:hAnsi="Arial"/>
          <w:sz w:val="16"/>
          <w:szCs w:val="16"/>
          <w:u w:val="single" w:color="auto"/>
          <w:color w:val="auto"/>
        </w:rPr>
        <w:t>BellRing LLC Auditors</w:t>
      </w:r>
      <w:r>
        <w:rPr>
          <w:rFonts w:ascii="Arial" w:cs="Arial" w:eastAsia="Arial" w:hAnsi="Arial"/>
          <w:sz w:val="16"/>
          <w:szCs w:val="16"/>
          <w:color w:val="auto"/>
        </w:rPr>
        <w:t>”) to cooperate fully, and BellRing Inc. shall cause each member of the BellRing Group (other than any such member that is a Subsidiary of, or that is controlled by, BellRing LLC) and its and their independent certified public accountants (the “</w:t>
      </w:r>
      <w:r>
        <w:rPr>
          <w:rFonts w:ascii="Arial" w:cs="Arial" w:eastAsia="Arial" w:hAnsi="Arial"/>
          <w:sz w:val="16"/>
          <w:szCs w:val="16"/>
          <w:u w:val="single" w:color="auto"/>
          <w:color w:val="auto"/>
        </w:rPr>
        <w:t>BellRing Inc. Auditors</w:t>
      </w:r>
      <w:r>
        <w:rPr>
          <w:rFonts w:ascii="Arial" w:cs="Arial" w:eastAsia="Arial" w:hAnsi="Arial"/>
          <w:sz w:val="16"/>
          <w:szCs w:val="16"/>
          <w:color w:val="auto"/>
        </w:rPr>
        <w:t>”) to cooperate fully, in each case, with Post to the extent requested by Post in the preparation of Post’s public earnings or other press releases, Quarterly Reports on Form 10-Q, Annual Reports to Stockholders, Annual Reports on Form 10-K, any Current Reports on Form 8-K and any other proxy, information and registration statements, reports, notices, prospectuses and any other filings made by Post with the SEC or the New York Stock Exchange (or such other national securities exchange on which the BellRing Inc. Class A Common Stock is listed) (whether or not such statements, reports, notices prospectuses or filings are made publicly available) or that is otherwise made publicly available, and any comparable offering memoranda or circulars used in any private offerings (collectively, the “</w:t>
      </w:r>
      <w:r>
        <w:rPr>
          <w:rFonts w:ascii="Arial" w:cs="Arial" w:eastAsia="Arial" w:hAnsi="Arial"/>
          <w:sz w:val="16"/>
          <w:szCs w:val="16"/>
          <w:u w:val="single" w:color="auto"/>
          <w:color w:val="auto"/>
        </w:rPr>
        <w:t>Post Public Filings</w:t>
      </w:r>
      <w:r>
        <w:rPr>
          <w:rFonts w:ascii="Arial" w:cs="Arial" w:eastAsia="Arial" w:hAnsi="Arial"/>
          <w:sz w:val="16"/>
          <w:szCs w:val="16"/>
          <w:color w:val="auto"/>
        </w:rPr>
        <w:t>”). Each of BellRing LLC and BellRing Inc. shall be responsible for the preparation of its financial statements in accordance with Post’s policies with respect to the application of GAAP and shall indemnify Post for any Liabilities it shall incur with respect to the inaccuracy of such statements. Each of BellRing LLC and BellRing Inc. shall, and shall, as applicable, cause each other member of the BellRing Group (other than, in the case of BellRing Inc., any such member that is a Subsidiary of, or that is controlled by, BellRing LLC) to, prepare the quarterly and annual financial reporting analysis and provide support for financial statement footnotes and other information included in the Post Public Filings. Such information and the timing thereof shall be consistent with the Post financial statement processes in place prior to the Effective Time. Each of BellRing LLC and BellRing Inc. also shall, and shall, as applicable, cause each other member of the BellRing Group to, provide to Post all other information that Post reasonably requests in connection with any Post Public Filings or that, in the judgment of Post’s legal department, is required to be disclosed or incorporated by reference therein under any Law. Each of BellRing LLC and BellRing Inc. shall, and shall, as applicable, cause each other member of the BellRing Group to, provide such information in a timely manner on the dates requested by Post to enable Post to prepare, print, release and use all Post Public Filings on such dates as Post shall determine, but in no event later than as required by applicable Law. Each of BellRing LLC and BellRing Inc. shall use its commercially reasonable efforts to cause the BellRing LLC Auditors and the BellRing Inc. Auditors, respectively, to consent to any reference to them as experts in any Post Public Filings required under any Law. If and to the extent requested by Post, each of BellRing LLC and BellRing Inc. shall, and shall, as applicable, cause each other member of the BellRing Group to, diligently and promptly review all drafts of such Post Public Filings and prepare in a diligent and timely fashion any portion of such Post Public Filing pertaining to any member of the BellRing Group or BellRing Inc., as applicable. The responsibility of</w:t>
      </w:r>
    </w:p>
    <w:p>
      <w:pPr>
        <w:spacing w:after="0" w:line="3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90"/>
          </w:cols>
          <w:pgMar w:left="450" w:top="273" w:right="459" w:bottom="1440" w:gutter="0" w:footer="0" w:header="0"/>
        </w:sectPr>
      </w:pPr>
    </w:p>
    <w:bookmarkStart w:id="312" w:name="page313"/>
    <w:bookmarkEnd w:id="31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BellRing LLC management and BellRing Inc. management for reviewing such disclosures shall include a determination that such disclosures are complete and accurate and consistent with other public filings or other disclosures which have been made by BellRing LLC or BellRing Inc., as the case may be. Prior to any printing or public release of or use of any Post Public Filing, an appropriate executive officer of BellRing LLC or BellRing Inc. shall, if requested by Post, certify that the information relating to any member of the BellRing Group or BellRing Inc., as applicable, in such Post Public Filing is accurate, true, complete and correct in all material respects. Unless required by applicable Law, none of BellRing LLC, any other member of the BellRing Group or BellRing Inc. shall publicly release any financial or other information which conflicts with the information with respect to any member of the BellRing Group or BellRing Inc. that is included in any Post Public Filing without Post’s prior written consent.</w:t>
      </w:r>
    </w:p>
    <w:p>
      <w:pPr>
        <w:spacing w:after="0" w:line="165" w:lineRule="exact"/>
        <w:rPr>
          <w:sz w:val="20"/>
          <w:szCs w:val="20"/>
          <w:color w:val="auto"/>
        </w:rPr>
      </w:pPr>
    </w:p>
    <w:p>
      <w:pPr>
        <w:ind w:right="40" w:firstLine="981"/>
        <w:spacing w:after="0" w:line="254" w:lineRule="auto"/>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Duration of Obligations</w:t>
      </w:r>
      <w:r>
        <w:rPr>
          <w:rFonts w:ascii="Arial" w:cs="Arial" w:eastAsia="Arial" w:hAnsi="Arial"/>
          <w:sz w:val="18"/>
          <w:szCs w:val="18"/>
          <w:color w:val="auto"/>
        </w:rPr>
        <w:t xml:space="preserve">. BellRing LLC’s and BellRing Inc.’s respective obligations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continue until such time as Post is no longer required to include, for any fiscal year presented in any Form 10-K of Post, the consolidated results of operations and financial position of BellRing LLC, BellRing Inc. or any other member of the BellRing Group or to account for its investment in BellRing LLC, BellRing Inc. or any other member of the BellRing Group under the equity method of accounting (determined in accordance with GAAP consistently applied and consistent with SEC reporting requirements). For example, if BellRing LLC ceases to be a consolidated subsidiary or equity method affiliate of Post on June 30, 2020, BellRing LLC’s obligations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remain in effect until Post shall have filed its Form 10-K for the year ended September 30, 2022.</w:t>
      </w:r>
    </w:p>
    <w:p>
      <w:pPr>
        <w:spacing w:after="0" w:line="19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Auditors and Audits; Annual Financial Statements and Accounting</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each reference to the “BellRing Group” shall be deemed to include BellRing Inc., BellRing LLC and each Subsidiary of BellRing Inc. and BellRing LLC and each other Person that is controlled directly or indirectly by BellRing Inc. or BellRing LLC, in each case, determined as of the applicable time period relevant to such reference. Each of BellRing LLC and BellRing Inc. agrees that, for the period set forth in </w:t>
      </w:r>
      <w:r>
        <w:rPr>
          <w:rFonts w:ascii="Arial" w:cs="Arial" w:eastAsia="Arial" w:hAnsi="Arial"/>
          <w:sz w:val="18"/>
          <w:szCs w:val="18"/>
          <w:u w:val="single" w:color="auto"/>
          <w:color w:val="auto"/>
        </w:rPr>
        <w:t>Section 6.2(i)</w:t>
      </w:r>
      <w:r>
        <w:rPr>
          <w:rFonts w:ascii="Arial" w:cs="Arial" w:eastAsia="Arial" w:hAnsi="Arial"/>
          <w:sz w:val="18"/>
          <w:szCs w:val="18"/>
          <w:color w:val="auto"/>
        </w:rPr>
        <w:t>:</w:t>
      </w:r>
    </w:p>
    <w:p>
      <w:pPr>
        <w:spacing w:after="0" w:line="186" w:lineRule="exact"/>
        <w:rPr>
          <w:sz w:val="20"/>
          <w:szCs w:val="20"/>
          <w:color w:val="auto"/>
        </w:rPr>
      </w:pPr>
    </w:p>
    <w:p>
      <w:pPr>
        <w:ind w:right="360" w:firstLine="981"/>
        <w:spacing w:after="0" w:line="277" w:lineRule="auto"/>
        <w:tabs>
          <w:tab w:leader="none" w:pos="137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Auditor</w:t>
      </w:r>
      <w:r>
        <w:rPr>
          <w:rFonts w:ascii="Arial" w:cs="Arial" w:eastAsia="Arial" w:hAnsi="Arial"/>
          <w:sz w:val="18"/>
          <w:szCs w:val="18"/>
          <w:color w:val="auto"/>
        </w:rPr>
        <w:t>. Neither BellRing Inc. nor any member of the BellRing Group shall change its independent auditors without Post’s prior written consent (which shall not be unreasonably withheld, conditioned or delayed).</w:t>
      </w:r>
    </w:p>
    <w:p>
      <w:pPr>
        <w:spacing w:after="0" w:line="169" w:lineRule="exact"/>
        <w:rPr>
          <w:rFonts w:ascii="Arial" w:cs="Arial" w:eastAsia="Arial" w:hAnsi="Arial"/>
          <w:sz w:val="18"/>
          <w:szCs w:val="18"/>
          <w:color w:val="auto"/>
        </w:rPr>
      </w:pPr>
    </w:p>
    <w:p>
      <w:pPr>
        <w:jc w:val="both"/>
        <w:ind w:right="80" w:firstLine="981"/>
        <w:spacing w:after="0" w:line="279" w:lineRule="auto"/>
        <w:tabs>
          <w:tab w:leader="none" w:pos="138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Audit Timing</w:t>
      </w:r>
      <w:r>
        <w:rPr>
          <w:rFonts w:ascii="Arial" w:cs="Arial" w:eastAsia="Arial" w:hAnsi="Arial"/>
          <w:sz w:val="17"/>
          <w:szCs w:val="17"/>
          <w:color w:val="auto"/>
        </w:rPr>
        <w:t xml:space="preserve">. Each of BellRing LLC and BellRing Inc. shall use, and shall, as applicable, cause each other member of the BellRing Group to use, its reasonable best efforts to enable the BellRing LLC Auditors and the BellRing Inc. Auditors to complete their audits of BellRing LLC, BellRing Inc. and the other members of the BellRing Group in a timely manner so as to permit Post to meet its timetable for the printing, filing and public dissemination of the Post Public Filings, all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as required by applicable Law.</w:t>
      </w:r>
    </w:p>
    <w:p>
      <w:pPr>
        <w:spacing w:after="0" w:line="170" w:lineRule="exact"/>
        <w:rPr>
          <w:rFonts w:ascii="Arial" w:cs="Arial" w:eastAsia="Arial" w:hAnsi="Arial"/>
          <w:sz w:val="17"/>
          <w:szCs w:val="17"/>
          <w:color w:val="auto"/>
        </w:rPr>
      </w:pPr>
    </w:p>
    <w:p>
      <w:pPr>
        <w:ind w:right="20" w:firstLine="981"/>
        <w:spacing w:after="0" w:line="271" w:lineRule="auto"/>
        <w:tabs>
          <w:tab w:leader="none" w:pos="137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Information Needed by Post</w:t>
      </w:r>
      <w:r>
        <w:rPr>
          <w:rFonts w:ascii="Arial" w:cs="Arial" w:eastAsia="Arial" w:hAnsi="Arial"/>
          <w:sz w:val="17"/>
          <w:szCs w:val="17"/>
          <w:color w:val="auto"/>
        </w:rPr>
        <w:t>. Each of BellRing LLC and BellRing Inc. shall provide, and shall, as applicable, cause each other member of the BellRing Group to provide, to Post and the independent auditors of Post (the “</w:t>
      </w:r>
      <w:r>
        <w:rPr>
          <w:rFonts w:ascii="Arial" w:cs="Arial" w:eastAsia="Arial" w:hAnsi="Arial"/>
          <w:sz w:val="17"/>
          <w:szCs w:val="17"/>
          <w:u w:val="single" w:color="auto"/>
          <w:color w:val="auto"/>
        </w:rPr>
        <w:t>Post Auditors</w:t>
      </w:r>
      <w:r>
        <w:rPr>
          <w:rFonts w:ascii="Arial" w:cs="Arial" w:eastAsia="Arial" w:hAnsi="Arial"/>
          <w:sz w:val="17"/>
          <w:szCs w:val="17"/>
          <w:color w:val="auto"/>
        </w:rPr>
        <w:t xml:space="preserve">”) on a timely basis all information that Post and the Post Auditors reasonably require to meet Post’s schedule for the preparation, printing, filing and public dissemination of the Post Public Filings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as required by applicable Law. Without limiting the generality of the foregoing, each of BellRing LLC and BellRing Inc. shall provide, and shall, as applicable, cause each other member of the BellRing Group to provide, all required financial information with respect to the BellRing Group to the BellRing LLC Auditors, and all required financial information with respect to BellRing Inc. to the BellRing Inc. Auditors, as well as access to personnel of BellRing LLC, BellRing Inc. and the other members of the BellRing Group who are responsible for such financial information, in a sufficient and reasonable time and in sufficient detail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60" w:top="274" w:right="479" w:bottom="1440" w:gutter="0" w:footer="0" w:header="0"/>
        </w:sectPr>
      </w:pPr>
    </w:p>
    <w:bookmarkStart w:id="313" w:name="page314"/>
    <w:bookmarkEnd w:id="313"/>
    <w:p>
      <w:pPr>
        <w:ind w:right="42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 the BellRing LLC Auditors or the BellRing Inc. Auditors, as the case may be, to take all steps and perform all reviews necessary to provide sufficient assistance to the Post Auditors with respect to information to be included or contained in the Post Public Filings.</w:t>
      </w:r>
    </w:p>
    <w:p>
      <w:pPr>
        <w:spacing w:after="0" w:line="147" w:lineRule="exact"/>
        <w:rPr>
          <w:sz w:val="20"/>
          <w:szCs w:val="20"/>
          <w:color w:val="auto"/>
        </w:rPr>
      </w:pPr>
    </w:p>
    <w:p>
      <w:pPr>
        <w:ind w:right="100" w:firstLine="981"/>
        <w:spacing w:after="0" w:line="291" w:lineRule="auto"/>
        <w:tabs>
          <w:tab w:leader="none" w:pos="138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Access to the BellRing LLC and BellRing Inc. Auditors</w:t>
      </w:r>
      <w:r>
        <w:rPr>
          <w:rFonts w:ascii="Arial" w:cs="Arial" w:eastAsia="Arial" w:hAnsi="Arial"/>
          <w:sz w:val="16"/>
          <w:szCs w:val="16"/>
          <w:color w:val="auto"/>
        </w:rPr>
        <w:t>. BellRing LLC shall authorize the BellRing LLC Auditors, and BellRing Inc. shall authorize the BellRing Inc. Auditors, to make available to the Post Auditors both the personnel who performed, or are performing, the annual audit of BellRing LLC, any other member of the BellRing Group or BellRing Inc. and work papers related to the annual audit of BellRing LLC, any other member of the BellRing Group or BellRing Inc., in all cases within a reasonable time prior to the BellRing LLC Auditors’ or the BellRing Inc. Auditors’ opinion date, as applicable, so that the Post Auditors are able to perform the procedures they consider necessary to take responsibility for the work of the BellRing LLC Auditors and the BellRing Inc. Auditors as it relates to the Post Auditors’ report on Post’s annual audited financial statements, all within sufficient time to enable Post to meet its timetable for the printing, filing and public dissemination of the Post Public Filings.</w:t>
      </w:r>
    </w:p>
    <w:p>
      <w:pPr>
        <w:spacing w:after="0" w:line="165" w:lineRule="exact"/>
        <w:rPr>
          <w:rFonts w:ascii="Arial" w:cs="Arial" w:eastAsia="Arial" w:hAnsi="Arial"/>
          <w:sz w:val="16"/>
          <w:szCs w:val="16"/>
          <w:color w:val="auto"/>
        </w:rPr>
      </w:pPr>
    </w:p>
    <w:p>
      <w:pPr>
        <w:ind w:right="20" w:firstLine="981"/>
        <w:spacing w:after="0" w:line="273" w:lineRule="auto"/>
        <w:tabs>
          <w:tab w:leader="none" w:pos="137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Access to Records</w:t>
      </w:r>
      <w:r>
        <w:rPr>
          <w:rFonts w:ascii="Arial" w:cs="Arial" w:eastAsia="Arial" w:hAnsi="Arial"/>
          <w:sz w:val="17"/>
          <w:szCs w:val="17"/>
          <w:color w:val="auto"/>
        </w:rPr>
        <w:t>. If Post determines in good faith that there may be some inaccuracy in a BellRing Group member’s or BellRing Inc.’s financial statements or deficiency in a BellRing Group member’s or BellRing Inc.’s internal accounting controls or operations that could materially impact Post’s financial statements, at Post’s request, BellRing LLC or BellRing Inc., as the case may be, shall provide Post’s internal auditors with access to any member of the BellRing Group’s or BellRing Inc.’s books and records so that Post may conduct reasonable audits relating to the financial statements provided by BellRing LLC or BellRing Inc. or any other member of the BellRing Group hereunder as well as to the internal accounting controls and operations of any member of the BellRing Group or BellRing Inc., as the case may be.</w:t>
      </w:r>
    </w:p>
    <w:p>
      <w:pPr>
        <w:spacing w:after="0" w:line="176" w:lineRule="exact"/>
        <w:rPr>
          <w:rFonts w:ascii="Arial" w:cs="Arial" w:eastAsia="Arial" w:hAnsi="Arial"/>
          <w:sz w:val="17"/>
          <w:szCs w:val="17"/>
          <w:color w:val="auto"/>
        </w:rPr>
      </w:pPr>
    </w:p>
    <w:p>
      <w:pPr>
        <w:ind w:firstLine="981"/>
        <w:spacing w:after="0" w:line="289" w:lineRule="auto"/>
        <w:tabs>
          <w:tab w:leader="none" w:pos="135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Notice of Changes</w:t>
      </w:r>
      <w:r>
        <w:rPr>
          <w:rFonts w:ascii="Arial" w:cs="Arial" w:eastAsia="Arial" w:hAnsi="Arial"/>
          <w:sz w:val="16"/>
          <w:szCs w:val="16"/>
          <w:color w:val="auto"/>
        </w:rPr>
        <w:t>. Each of BellRing LLC and BellRing Inc. shall give Post as much prior notice as reasonably practicable of any proposed determination of, or any significant changes in, BellRing LLC’s or BellRing Inc.’s accounting estimates or accounting principles from those in effect on the IPO Closing Date, as applicable. Each of BellRing LLC and BellRing Inc. shall consult with Post and, if requested by Post, each of BellRing LLC and BellRing Inc. shall consult with the Post Auditors with respect thereto. Neither BellRing LLC nor BellRing Inc. shall make any such determination or changes without Post’s prior written consent if such a determination or a change would be sufficiently material to be required to be disclosed in BellRing LLC’s, BellRing Inc.’s or Post’s financial statements as filed with the SEC or otherwise publicly disclosed therein. Each of BellRing LLC and BellRing Inc. shall give Post as much prior notice as reasonably practicable of any business combination, the acquisition of any variable interest entities or any other transaction, in each case, which could reasonably be expected to result in the consolidation by Post of the results of operations and financial position of an entity other than BellRing Inc. that is not a member of the BellRing Group.</w:t>
      </w:r>
    </w:p>
    <w:p>
      <w:pPr>
        <w:spacing w:after="0" w:line="164" w:lineRule="exact"/>
        <w:rPr>
          <w:rFonts w:ascii="Arial" w:cs="Arial" w:eastAsia="Arial" w:hAnsi="Arial"/>
          <w:sz w:val="16"/>
          <w:szCs w:val="16"/>
          <w:color w:val="auto"/>
        </w:rPr>
      </w:pPr>
    </w:p>
    <w:p>
      <w:pPr>
        <w:ind w:right="260" w:firstLine="981"/>
        <w:spacing w:after="0" w:line="263" w:lineRule="auto"/>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Accounting Changes Requested by Post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6.2(f)</w:t>
      </w:r>
      <w:r>
        <w:rPr>
          <w:rFonts w:ascii="Arial" w:cs="Arial" w:eastAsia="Arial" w:hAnsi="Arial"/>
          <w:sz w:val="18"/>
          <w:szCs w:val="18"/>
          <w:color w:val="auto"/>
        </w:rPr>
        <w:t>, each of BellRing LLC and BellRing Inc. shall make any changes in its accounting estimates or accounting principles that are requested by Post in order for BellRing LLC’s or BellRing Inc.’s accounting practices and principles to be consistent with those of Post.</w:t>
      </w:r>
    </w:p>
    <w:p>
      <w:pPr>
        <w:spacing w:after="0" w:line="182" w:lineRule="exact"/>
        <w:rPr>
          <w:rFonts w:ascii="Arial" w:cs="Arial" w:eastAsia="Arial" w:hAnsi="Arial"/>
          <w:sz w:val="18"/>
          <w:szCs w:val="18"/>
          <w:color w:val="auto"/>
        </w:rPr>
      </w:pPr>
    </w:p>
    <w:p>
      <w:pPr>
        <w:ind w:right="20" w:firstLine="981"/>
        <w:spacing w:after="0" w:line="301" w:lineRule="auto"/>
        <w:tabs>
          <w:tab w:leader="none" w:pos="138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Special Reports of Deficiencies or Violations</w:t>
      </w:r>
      <w:r>
        <w:rPr>
          <w:rFonts w:ascii="Arial" w:cs="Arial" w:eastAsia="Arial" w:hAnsi="Arial"/>
          <w:sz w:val="16"/>
          <w:szCs w:val="16"/>
          <w:color w:val="auto"/>
        </w:rPr>
        <w:t>. Each of BellRing LLC and BellRing Inc. shall report in reasonable detail to Post the following events or circumstances promptly after any executive officer of BellRing LLC or BellRing Inc. or any of the BellRing LLC Managers or any member of the BellRing Inc. Board becomes aware of such matter: (A) all significant deficiencies and material weaknesses in the design or operation of internal control over financial reporting which are reasonably likely to adversely affect BellRing LLC’s, any other member of the BellRing Group’s or</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60" w:top="274" w:right="479" w:bottom="1440" w:gutter="0" w:footer="0" w:header="0"/>
        </w:sectPr>
      </w:pPr>
    </w:p>
    <w:bookmarkStart w:id="314" w:name="page315"/>
    <w:bookmarkEnd w:id="314"/>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Inc.’s ability to record, process, summarize and report financial information; (B) any fraud, whether or not material, that involves management or other employees who have a significant role in BellRing LLC’s, any other member of the BellRing Group’s or BellRing Inc.’s internal control over financial reporting; (C) any illegal act within the meaning of Section 10A(b) and (f) of the Exchange Act; and (D) any report of a material violation of Law that an attorney representing any member of the BellRing Group or BellRing Inc. has formally made to any officers, managers or directors of BellRing LLC, any other member of the BellRing Group or BellRing Inc. pursuant to the SEC’s attorney conduct rules (17 C.F.R. Part 205).</w:t>
      </w:r>
    </w:p>
    <w:p>
      <w:pPr>
        <w:spacing w:after="0" w:line="160" w:lineRule="exact"/>
        <w:rPr>
          <w:sz w:val="20"/>
          <w:szCs w:val="20"/>
          <w:color w:val="auto"/>
        </w:rPr>
      </w:pPr>
    </w:p>
    <w:p>
      <w:pPr>
        <w:ind w:firstLine="981"/>
        <w:spacing w:after="0" w:line="293" w:lineRule="auto"/>
        <w:tabs>
          <w:tab w:leader="none" w:pos="134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Duration of Obligations</w:t>
      </w:r>
      <w:r>
        <w:rPr>
          <w:rFonts w:ascii="Arial" w:cs="Arial" w:eastAsia="Arial" w:hAnsi="Arial"/>
          <w:sz w:val="16"/>
          <w:szCs w:val="16"/>
          <w:color w:val="auto"/>
        </w:rPr>
        <w:t xml:space="preserve">. BellRing LLC’s and BellRing Inc.’s obligations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continue until such time as Post is no longer required to include, for any fiscal year presented in any Form 10-K of Post, the consolidated results of operations and financial position of BellRing LLC, BellRing Inc. or any other member of the BellRing Group or to account for its investment in BellRing LLC, BellRing Inc. or any other member of the BellRing Group under the equity method of accounting (determined in accordance with GAAP consistently applied and consistent with SEC reporting requirements). For example, if BellRing LLC ceases to be a consolidated subsidiary or equity method affiliate of Post on June 30, 2020, BellRing LLC’s obligations under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remain in effect until Post shall have filed its Form 10-K for the year ended September 30, 2022.</w:t>
      </w:r>
    </w:p>
    <w:p>
      <w:pPr>
        <w:spacing w:after="0" w:line="27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Names Following the Effective Time</w:t>
      </w:r>
      <w:r>
        <w:rPr>
          <w:rFonts w:ascii="Arial" w:cs="Arial" w:eastAsia="Arial" w:hAnsi="Arial"/>
          <w:sz w:val="16"/>
          <w:szCs w:val="16"/>
          <w:color w:val="auto"/>
        </w:rPr>
        <w:t>.</w:t>
      </w:r>
    </w:p>
    <w:p>
      <w:pPr>
        <w:spacing w:after="0" w:line="117" w:lineRule="exact"/>
        <w:rPr>
          <w:sz w:val="20"/>
          <w:szCs w:val="20"/>
          <w:color w:val="auto"/>
        </w:rPr>
      </w:pPr>
    </w:p>
    <w:p>
      <w:pPr>
        <w:ind w:right="20" w:firstLine="981"/>
        <w:spacing w:after="0" w:line="279" w:lineRule="auto"/>
        <w:tabs>
          <w:tab w:leader="none" w:pos="137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Except as provided for in the License Agreement, none of BellRing Inc., BellRing LLC or any other member of the BellRing Group shall use, or have the right to use, the Post Marks or any name or mark that, in the reasonable judgment of Post, is confusingly similar to the Post Marks, and none of BellRing Inc., BellRing LLC or any other member of the BellRing Group shall use the Post Marks in any manner that detracts from the goodwill and reputation of Post or any other member of the Post Group associated with the Post Marks.</w:t>
      </w:r>
    </w:p>
    <w:p>
      <w:pPr>
        <w:spacing w:after="0" w:line="170" w:lineRule="exact"/>
        <w:rPr>
          <w:rFonts w:ascii="Arial" w:cs="Arial" w:eastAsia="Arial" w:hAnsi="Arial"/>
          <w:sz w:val="17"/>
          <w:szCs w:val="17"/>
          <w:color w:val="auto"/>
        </w:rPr>
      </w:pPr>
    </w:p>
    <w:p>
      <w:pPr>
        <w:ind w:right="20" w:firstLine="981"/>
        <w:spacing w:after="0" w:line="259" w:lineRule="auto"/>
        <w:tabs>
          <w:tab w:leader="none" w:pos="13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as provided for in the License Agreement, neither Post nor any member of its Group shall use, or have the right to use, the BellRing Marks or any name or mark that, in the reasonable judgment of BellRing LLC, is confusingly similar to the BellRing Marks, and neither Post nor any member of its Group shall use the BellRing Marks in any manner that detracts from the goodwill and reputation of BellRing Inc., BellRing LLC or any other member of the BellRing Group associated with the BellRing Marks.</w:t>
      </w:r>
    </w:p>
    <w:p>
      <w:pPr>
        <w:spacing w:after="0" w:line="185" w:lineRule="exact"/>
        <w:rPr>
          <w:rFonts w:ascii="Arial" w:cs="Arial" w:eastAsia="Arial" w:hAnsi="Arial"/>
          <w:sz w:val="18"/>
          <w:szCs w:val="18"/>
          <w:color w:val="auto"/>
        </w:rPr>
      </w:pPr>
    </w:p>
    <w:p>
      <w:pPr>
        <w:ind w:right="160" w:firstLine="981"/>
        <w:spacing w:after="0" w:line="279" w:lineRule="auto"/>
        <w:tabs>
          <w:tab w:leader="none" w:pos="137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nothing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limit any of Post’s, BellRing Inc.’s or BellRing LLC’s (or the members of their respective Groups, as applicable) nominative use of the BellRing Marks (in the case of Post or the members of the Post Group) or the Post Marks (in the case of BellRing Inc., BellRing LLC or the other members of the BellRing Group), respectively, including for the purposes of referring to the other Party and the transactions contemplated hereby.</w:t>
      </w:r>
    </w:p>
    <w:p>
      <w:pPr>
        <w:spacing w:after="0" w:line="170"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Insurance Matters</w:t>
      </w:r>
      <w:r>
        <w:rPr>
          <w:rFonts w:ascii="Arial" w:cs="Arial" w:eastAsia="Arial" w:hAnsi="Arial"/>
          <w:sz w:val="16"/>
          <w:szCs w:val="16"/>
          <w:color w:val="auto"/>
        </w:rPr>
        <w:t>. For so long as BellRing Inc. or any members of the BellRing Group continue to participate in Post’s insurance programs (including, for the avoidance of doubt, workers compensation insurance), Post shall continue to administer such insurance programs and allocate or pass through, as applicable, the premiums, claims and other costs thereunder to BellRing Inc. or BellRing LLC, as applicable, in the same manner that Post administers and allocates or passes through such premiums, claims and costs thereunder to the members of the BellRing Group as of the date hereof. BellRing Inc. or BellRing LLC may elect to discontinue participation in Post’s insurance programs, to be effective as of any policy renewal date, provided that BellRing Inc. or BellRing LLC provides Post written notice of such election at least ninety (90) days prior (or such longer period that may be required by any applicable insurance policy) to any such policy renewal date. BellRing Inc. and BellRing LLC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3" w:right="459" w:bottom="1440" w:gutter="0" w:footer="0" w:header="0"/>
        </w:sectPr>
      </w:pPr>
    </w:p>
    <w:bookmarkStart w:id="315" w:name="page316"/>
    <w:bookmarkEnd w:id="315"/>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provide Post with all information reasonably requested by Post as it relates to BellRing Inc.’s and the BellRing Group’s participation in Post’s insurance programs, their withdrawal therefrom or their participation in their own insurance programs, subject to the terms of the Master Services Agreement.</w:t>
      </w:r>
    </w:p>
    <w:p>
      <w:pPr>
        <w:spacing w:after="0" w:line="183"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Except as expressly provided to the contrary in this Agreement or in any Ancillary Agreement, or as otherwise agreed in writing by the Parties, any amount not paid when due pursuant to this Agreement or any Ancillary Agreement (and any amounts billed or otherwise invoiced or demanded and properly payable that are not paid within forty-five (45) days of such bill, invoice or other demand) shall accrue interest at a rate per annum equal to the Prime Rate plus two (2%) percent;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of any such late payment has been provided and the other Party has been provided fifteen (15) days to cure any such late payment.</w:t>
      </w:r>
    </w:p>
    <w:p>
      <w:pPr>
        <w:spacing w:after="0" w:line="19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Inducement</w:t>
      </w:r>
      <w:r>
        <w:rPr>
          <w:rFonts w:ascii="Arial" w:cs="Arial" w:eastAsia="Arial" w:hAnsi="Arial"/>
          <w:sz w:val="17"/>
          <w:szCs w:val="17"/>
          <w:color w:val="auto"/>
        </w:rPr>
        <w:t xml:space="preserve">. Each of BellRing Inc. and BellRing LLC acknowledges and agrees that Post’s willingness to cause, effect and consummate the Formation Transactions and the IPO has been conditioned upon and induced by BellRing Inc.’s and BellRing LLC’s covenants and agreements in this Agreement and the Ancillary Agreements, including BellRing LLC’s assumption of the BellRing Liabilities pursuant to the provisions of this Agreement and BellRing Inc.’s and BellRing LLC’s covenants and agreements contained in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0"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No Restrictions on Competition</w:t>
      </w:r>
      <w:r>
        <w:rPr>
          <w:rFonts w:ascii="Arial" w:cs="Arial" w:eastAsia="Arial" w:hAnsi="Arial"/>
          <w:sz w:val="16"/>
          <w:szCs w:val="16"/>
          <w:color w:val="auto"/>
        </w:rPr>
        <w:t>. It is the explicit intent of each of the Parties that the provisions of this Agreement shall not include any non-competition or other similar restrictive arrangements with respect to the range of business activities that may be conducted by the Parties from and after the Effective Time. Accordingly, each of the Parties acknowledges and agrees that nothing set forth in this Agreement shall be construed to create any explicit or implied restriction or other limitation on the ability of any Party to engage in any (a) business or other activity that competes with the business of any other Party, or (b) specific line of business or engage in any business activity in any specific geographic area.</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EXCHANGE OF INFORMATION; CONFIDENTIALITY</w:t>
      </w:r>
    </w:p>
    <w:p>
      <w:pPr>
        <w:spacing w:after="0" w:line="21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Agreement for Exchange of Information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and any other applicable confidentiality obligations, each of Post, BellRing LLC and BellRing Inc., on behalf of themselves and each member of their respective Groups, as applicable, agrees to use commercially reasonable efforts to provide or make available, or cause to be provided or made available, to such other Party and the members of such other Party’s Group, as applicable, at any time before, on or after the Effective Time, as soon as reasonably practicable after written request therefor is received by such Party, any information (or a copy thereof) in the possession or under the control of such Party or its Group, as applicable, which the requesting Party requests to the extent that (i) such information relates to the BellRing Business, or any BellRing Asset or BellRing Liability, if BellRing Inc. or BellRing LLC is the requesting Party, or to the Post Business, or any Post Asset or Post Liability, if Post is the requesting Party; (ii) such information is required by the requesting Party to comply with its obligations under this Agreement or any Ancillary Agreement; or (iii) such information is required by the requesting Party to comply with any obligation imposed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Party to whom the request has been made determines that any such provision of information could be detrimental to the Party providing the information, violate any Law or agreement or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expand the obligations of a Party under </w:t>
      </w:r>
      <w:r>
        <w:rPr>
          <w:rFonts w:ascii="Arial" w:cs="Arial" w:eastAsia="Arial" w:hAnsi="Arial"/>
          <w:sz w:val="16"/>
          <w:szCs w:val="16"/>
          <w:u w:val="single" w:color="auto"/>
          <w:color w:val="auto"/>
        </w:rPr>
        <w:t>Section 7.3</w:t>
      </w:r>
      <w:r>
        <w:rPr>
          <w:rFonts w:ascii="Arial" w:cs="Arial" w:eastAsia="Arial" w:hAnsi="Arial"/>
          <w:sz w:val="16"/>
          <w:szCs w:val="16"/>
          <w:color w:val="auto"/>
        </w:rPr>
        <w: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460" w:top="274" w:right="499" w:bottom="1440" w:gutter="0" w:footer="0" w:header="0"/>
        </w:sectPr>
      </w:pPr>
    </w:p>
    <w:bookmarkStart w:id="316" w:name="page317"/>
    <w:bookmarkEnd w:id="316"/>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u w:val="single" w:color="auto"/>
          <w:color w:val="auto"/>
        </w:rPr>
        <w:t>Ownership of Information</w:t>
      </w:r>
      <w:r>
        <w:rPr>
          <w:rFonts w:ascii="Arial" w:cs="Arial" w:eastAsia="Arial" w:hAnsi="Arial"/>
          <w:sz w:val="18"/>
          <w:szCs w:val="18"/>
          <w:color w:val="auto"/>
        </w:rPr>
        <w:t xml:space="preserve">. The provision of any information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affect the ownership of such information (which shall be determined solely in accordance with the terms of this Agreement and the Ancillary Agreements), or constitute a grant of rights in or to any such information.</w:t>
      </w:r>
    </w:p>
    <w:p>
      <w:pPr>
        <w:spacing w:after="0" w:line="183"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Record Retention</w:t>
      </w:r>
      <w:r>
        <w:rPr>
          <w:rFonts w:ascii="Arial" w:cs="Arial" w:eastAsia="Arial" w:hAnsi="Arial"/>
          <w:sz w:val="18"/>
          <w:szCs w:val="18"/>
          <w:color w:val="auto"/>
        </w:rPr>
        <w:t xml:space="preserve">. To facilitate the possible exchange of information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other provisions of this Agreement after the Effective Time, Post, BellRing LLC and BellRing Inc. shall use their commercially reasonable efforts, which shall be no less rigorous than those used for retention of such Party’s own information, to retain all information in their respective possession or control at the Effective Time in accordance with their respective policies regarding retention of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any information relating to Taxes, such retention period shall be extended to the expiration of the applicable statute of limitations (giving effect to any extensions thereof). None of Post, BellRing LLC or BellRing Inc. shall destroy, or permit any of its respective Group members, as applicable, to destroy, any information which such other Party may have the right to obtain pursuant to this Agreement prior to the end of the retention period set forth in such policies without first notifying such other Party of the proposed destruction and giving such other Party the opportunity to take possession of such information prior to such destruction. Notwithstanding anything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the contrary, the Tax Matters Agreement exclusively governs the exchange of Tax-related information.</w:t>
      </w:r>
    </w:p>
    <w:p>
      <w:pPr>
        <w:spacing w:after="0" w:line="192"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xml:space="preserve">. No Party shall have any Liability to any other Party in the event that any information exchanged or provided pursuant to this Agreement is found to be inaccurate in the absence of gross negligence, bad faith or willful misconduct by the Party providing such information. No Party shall have any Liability to any other Party if any information is destroyed after commercially reasonable efforts by such Party to comply with the provisions of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9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Other Agreements Providing for Exchange of Information</w:t>
      </w:r>
      <w:r>
        <w:rPr>
          <w:rFonts w:ascii="Arial" w:cs="Arial" w:eastAsia="Arial" w:hAnsi="Arial"/>
          <w:sz w:val="16"/>
          <w:szCs w:val="16"/>
          <w:color w:val="auto"/>
        </w:rPr>
        <w:t>.</w:t>
      </w:r>
    </w:p>
    <w:p>
      <w:pPr>
        <w:spacing w:after="0" w:line="117" w:lineRule="exact"/>
        <w:rPr>
          <w:sz w:val="20"/>
          <w:szCs w:val="20"/>
          <w:color w:val="auto"/>
        </w:rPr>
      </w:pPr>
    </w:p>
    <w:p>
      <w:pPr>
        <w:ind w:right="680" w:firstLine="981"/>
        <w:spacing w:after="0" w:line="277" w:lineRule="auto"/>
        <w:tabs>
          <w:tab w:leader="none" w:pos="137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In the event of any conflict between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the terms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as applicable, shall control.</w:t>
      </w:r>
    </w:p>
    <w:p>
      <w:pPr>
        <w:spacing w:after="0" w:line="169" w:lineRule="exact"/>
        <w:rPr>
          <w:rFonts w:ascii="Arial" w:cs="Arial" w:eastAsia="Arial" w:hAnsi="Arial"/>
          <w:sz w:val="18"/>
          <w:szCs w:val="18"/>
          <w:color w:val="auto"/>
        </w:rPr>
      </w:pPr>
    </w:p>
    <w:p>
      <w:pPr>
        <w:ind w:right="540" w:firstLine="981"/>
        <w:spacing w:after="0" w:line="341" w:lineRule="auto"/>
        <w:tabs>
          <w:tab w:leader="none" w:pos="137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rights and obligations granted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are subject to any specific limitations, qualifications or additional provisions on the sharing, exchange, retention, destruction or confidential treatment of information set forth in any Ancillary Agreement.</w:t>
      </w:r>
    </w:p>
    <w:p>
      <w:pPr>
        <w:spacing w:after="0" w:line="124" w:lineRule="exact"/>
        <w:rPr>
          <w:rFonts w:ascii="Arial" w:cs="Arial" w:eastAsia="Arial" w:hAnsi="Arial"/>
          <w:sz w:val="16"/>
          <w:szCs w:val="16"/>
          <w:color w:val="auto"/>
        </w:rPr>
      </w:pPr>
    </w:p>
    <w:p>
      <w:pPr>
        <w:jc w:val="both"/>
        <w:ind w:right="40" w:firstLine="981"/>
        <w:spacing w:after="0" w:line="259" w:lineRule="auto"/>
        <w:tabs>
          <w:tab w:leader="none" w:pos="13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Any Party that receives, pursuant to a request for information in accordance with this </w:t>
      </w:r>
      <w:r>
        <w:rPr>
          <w:rFonts w:ascii="Arial" w:cs="Arial" w:eastAsia="Arial" w:hAnsi="Arial"/>
          <w:sz w:val="18"/>
          <w:szCs w:val="18"/>
          <w:u w:val="single" w:color="auto"/>
          <w:color w:val="auto"/>
        </w:rPr>
        <w:t>ARTICLE VII</w:t>
      </w:r>
      <w:r>
        <w:rPr>
          <w:rFonts w:ascii="Arial" w:cs="Arial" w:eastAsia="Arial" w:hAnsi="Arial"/>
          <w:sz w:val="18"/>
          <w:szCs w:val="18"/>
          <w:color w:val="auto"/>
        </w:rPr>
        <w:t>, Tangible Information that is not relevant to its request shall, at the request of the providing Party (i) return it to the providing Party or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29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7" w:lineRule="exact"/>
        <w:rPr>
          <w:sz w:val="20"/>
          <w:szCs w:val="20"/>
          <w:color w:val="auto"/>
        </w:rPr>
      </w:pPr>
    </w:p>
    <w:p>
      <w:pPr>
        <w:ind w:right="40" w:firstLine="981"/>
        <w:spacing w:after="0" w:line="259" w:lineRule="auto"/>
        <w:tabs>
          <w:tab w:leader="none" w:pos="137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7.7</w:t>
      </w:r>
      <w:r>
        <w:rPr>
          <w:rFonts w:ascii="Arial" w:cs="Arial" w:eastAsia="Arial" w:hAnsi="Arial"/>
          <w:sz w:val="18"/>
          <w:szCs w:val="18"/>
          <w:color w:val="auto"/>
        </w:rPr>
        <w:t>, from and after the Effective Time each Party, on behalf of itself and each member of its respective Group, as applicable, agrees to hold, and to cause its respective Representatives to hold, in strict confidence, with at least the same degree of care that applies to Post’s confidential and proprietary information pursuant to policies in effect as of the Effective Time, all confidential and proprietary information concerning the other Parties or any member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60" w:top="273" w:right="459" w:bottom="1440" w:gutter="0" w:footer="0" w:header="0"/>
        </w:sectPr>
      </w:pPr>
    </w:p>
    <w:bookmarkStart w:id="317" w:name="page318"/>
    <w:bookmarkEnd w:id="317"/>
    <w:p>
      <w:pPr>
        <w:ind w:left="10"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Party’s Group, as applicable, or their respective businesses (giving effect to the Formation Transactions) that is either in its possession (including confidential and proprietary information in its possession prior to the date hereof) or furnished by any such other Party or any member of such Party’s Group, as applicable, or their respective Representatives at any time pursuant to this Agreement, any Ancillary Agreement or otherwise, except to the extent that such confidential and proprietary information has been (i) in the public domain or generally available to the public, other than as a result of a disclosure by such Party or any member of such Party’s Group, as applicable, or any of their respective Representatives in violation of this Agreement,</w:t>
      </w:r>
    </w:p>
    <w:p>
      <w:pPr>
        <w:spacing w:after="0" w:line="1" w:lineRule="exact"/>
        <w:rPr>
          <w:sz w:val="20"/>
          <w:szCs w:val="20"/>
          <w:color w:val="auto"/>
        </w:rPr>
      </w:pPr>
    </w:p>
    <w:p>
      <w:pPr>
        <w:ind w:left="10" w:hanging="10"/>
        <w:spacing w:after="0" w:line="271" w:lineRule="auto"/>
        <w:tabs>
          <w:tab w:leader="none" w:pos="27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later lawfully acquired from other sources by such Party (or any member of such Party’s Group, as applicable) which sources are not, to the receiving Party’s knowledge after reasonable inquiry, themselves bound by a confidentiality obligation or other contractual, legal or fiduciary obligation of confidentiality with respect to such confidential and proprietary information, (iii) independently developed or generated without reference to or use of any proprietary or confidential information of any other Party or any member of such Party’s Group, as applicable, or (iv) publicly disclosed in connection with or as part of Post’s or BellRing Inc.’s ordinary course investor relations activities.</w:t>
      </w:r>
    </w:p>
    <w:p>
      <w:pPr>
        <w:spacing w:after="0" w:line="177" w:lineRule="exact"/>
        <w:rPr>
          <w:rFonts w:ascii="Arial" w:cs="Arial" w:eastAsia="Arial" w:hAnsi="Arial"/>
          <w:sz w:val="17"/>
          <w:szCs w:val="17"/>
          <w:color w:val="auto"/>
        </w:rPr>
      </w:pPr>
    </w:p>
    <w:p>
      <w:pPr>
        <w:ind w:left="10" w:right="20" w:firstLine="981"/>
        <w:spacing w:after="0" w:line="286" w:lineRule="auto"/>
        <w:tabs>
          <w:tab w:leader="none" w:pos="1390"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Third Party Information; Privacy or Data Protection Laws</w:t>
      </w:r>
      <w:r>
        <w:rPr>
          <w:rFonts w:ascii="Arial" w:cs="Arial" w:eastAsia="Arial" w:hAnsi="Arial"/>
          <w:sz w:val="16"/>
          <w:szCs w:val="16"/>
          <w:color w:val="auto"/>
        </w:rPr>
        <w:t>. Each Party acknowledges that it and members of its Group, as applicable, may presently have and, following the Effective Time, may gain access to or possession of confidential or proprietary information of, or legally protected personal information relating to, Third Parties (i) that was received under privacy policies and/or confidentiality or non-disclosure agreements entered into between such Third Parties, on the one hand, and another Party or members of such Party’s Group, as applicable, on the other hand, prior to the Effective Time; or (ii) that, as between such Parties, was originally collected by the other Party or members of such other Party’s Group, as applicable, and that may be subject to and protected by privacy policies, as well as privacy, data protection or other applicable Laws. Each Party agrees that it shall hold, protect and use, and shall cause the members of its Group, as applicable, and its and their respective Representatives to hold, protect and use, in strict confidence the confidential and proprietary information of, or legally protected personal information relating to, Third Parties in accordance with privacy policies and privacy, data protection or other applicable Laws and the terms of any agreements that were either entered into before the Effective Time or affirmative commitments or representations that were made before the Effective Time by, between or among another Party or members of such Party’s Group, as applicable, on the one hand, and such Third Parties, on the other hand. With respect to legally protected personal information received from consumers before the Effective Time, each Party agrees that it shall not use data in a manner that is materially inconsistent with promises made at the time the data was collected unless it first obtains affirmative express consent from the relevant consumer.</w:t>
      </w:r>
    </w:p>
    <w:p>
      <w:pPr>
        <w:spacing w:after="0" w:line="171" w:lineRule="exact"/>
        <w:rPr>
          <w:sz w:val="20"/>
          <w:szCs w:val="20"/>
          <w:color w:val="auto"/>
        </w:rPr>
      </w:pPr>
    </w:p>
    <w:p>
      <w:pPr>
        <w:ind w:left="10" w:right="60" w:firstLine="440"/>
        <w:spacing w:after="0" w:line="269"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Protective Arrangements</w:t>
      </w:r>
      <w:r>
        <w:rPr>
          <w:rFonts w:ascii="Arial" w:cs="Arial" w:eastAsia="Arial" w:hAnsi="Arial"/>
          <w:sz w:val="17"/>
          <w:szCs w:val="17"/>
          <w:color w:val="auto"/>
        </w:rPr>
        <w:t>. In the event that a Party or any member of its Group, as applicable, either determines on the advice of its counsel that it is required to disclose any information pursuant to applicable Law or receives any request or demand under lawful process or from any Governmental Authority to disclose or provide information of any other Party (or any member of any other Party’s Group, as applicable) that is subject to the confidentiality provisions hereof, such Party shall notify the other Parties (to the extent legally permitted) as promptly as practicable under the circumstances prior to disclosing or providing such information and shall reasonably cooperate, at the expense of the other Party(ies), in seeking any appropriate protective order requested by the other Party(ies). In the event that such other Party(ies) fails to receive such appropriate protective order in a timely manner, then the Party that received such request or demand may thereafter disclose or provide information to the extent required by such Law (as so advised by its counsel) or by lawful process or such Governmental Authority, and the disclosing Party shall promptly provide the other Parties with a copy of the information so disclosed, in the same form and format so disclosed, together with a list of all Persons to whom such information was disclosed, in each case to the extent legally permitted.</w:t>
      </w:r>
    </w:p>
    <w:p>
      <w:pPr>
        <w:spacing w:after="0" w:line="11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70"/>
          </w:cols>
          <w:pgMar w:left="450" w:top="274" w:right="47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DISPUTE RESOLUTION</w:t>
      </w:r>
    </w:p>
    <w:p>
      <w:pPr>
        <w:spacing w:after="0" w:line="21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Good Faith Officer Negotiation</w:t>
      </w:r>
      <w:r>
        <w:rPr>
          <w:rFonts w:ascii="Arial" w:cs="Arial" w:eastAsia="Arial" w:hAnsi="Arial"/>
          <w:sz w:val="16"/>
          <w:szCs w:val="16"/>
          <w:color w:val="auto"/>
        </w:rPr>
        <w:t>. Any Party seeking resolution of any dispute, controversy or claim arising out of or relating to this Agreement or any Ancillary Agreement (other than the Tax Matters Agreement), including regarding whether any Assets are BellRing Assets, any Liabilities are BellRing Liabilities or the validity, interpretation, breach or termination of this Agreement or any Ancillary Agreement (a “</w:t>
      </w:r>
      <w:r>
        <w:rPr>
          <w:rFonts w:ascii="Arial" w:cs="Arial" w:eastAsia="Arial" w:hAnsi="Arial"/>
          <w:sz w:val="16"/>
          <w:szCs w:val="16"/>
          <w:u w:val="single" w:color="auto"/>
          <w:color w:val="auto"/>
        </w:rPr>
        <w:t>Dispute</w:t>
      </w:r>
      <w:r>
        <w:rPr>
          <w:rFonts w:ascii="Arial" w:cs="Arial" w:eastAsia="Arial" w:hAnsi="Arial"/>
          <w:sz w:val="16"/>
          <w:szCs w:val="16"/>
          <w:color w:val="auto"/>
        </w:rPr>
        <w:t>”), shall provide written notice thereof to the other Parties (the “</w:t>
      </w:r>
      <w:r>
        <w:rPr>
          <w:rFonts w:ascii="Arial" w:cs="Arial" w:eastAsia="Arial" w:hAnsi="Arial"/>
          <w:sz w:val="16"/>
          <w:szCs w:val="16"/>
          <w:u w:val="single" w:color="auto"/>
          <w:color w:val="auto"/>
        </w:rPr>
        <w:t>Officer Negotiation Request</w:t>
      </w:r>
      <w:r>
        <w:rPr>
          <w:rFonts w:ascii="Arial" w:cs="Arial" w:eastAsia="Arial" w:hAnsi="Arial"/>
          <w:sz w:val="16"/>
          <w:szCs w:val="16"/>
          <w:color w:val="auto"/>
        </w:rPr>
        <w:t xml:space="preserve">”). Within fifteen (15) days of the delivery of the Officer Negotiation Request, the Parties shall attempt to resolve the Dispute through good faith negotiation. All such negotiations shall be conducted by executives who hold, at a minimum, the title of Senior Vice President and who have authority to settle the Dispute. All such negotiations shall be confidential and shall be treated as compromise and settlement negotiations for purposes of applicable rules of evidence. If the Parties are unable for any reason to resolve a Dispute within thirty (30) days of receipt of the Officer Negotiation Request, and such thirty (30) day period is not extended by mutual written consent of the Parties, the Chief Executive Officers of the Parties shall enter into good faith negotiations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CEO Negotiation</w:t>
      </w:r>
      <w:r>
        <w:rPr>
          <w:rFonts w:ascii="Arial" w:cs="Arial" w:eastAsia="Arial" w:hAnsi="Arial"/>
          <w:sz w:val="18"/>
          <w:szCs w:val="18"/>
          <w:color w:val="auto"/>
        </w:rPr>
        <w:t xml:space="preserve">. If any Dispute is not resolved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the Party that delivered the Officer Negotiation Request shall provide written notice of such Dispute to the Chief Executive Officer of each Party (a “</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As soon as reasonably practicable following receipt of a CEO Negotiation Request, the Chief Executive Officers of the Parties shall begin conducting good-faith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thirty (30) days of receipt of a CEO Negotiation Request, and such thirty (30) day period is not extended by mutual written consent of the Parties, the Dispute may be resolved as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93"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Dispute Resolution and Injunctive Relief</w:t>
      </w:r>
      <w:r>
        <w:rPr>
          <w:rFonts w:ascii="Arial" w:cs="Arial" w:eastAsia="Arial" w:hAnsi="Arial"/>
          <w:sz w:val="18"/>
          <w:szCs w:val="18"/>
          <w:color w:val="auto"/>
        </w:rPr>
        <w:t xml:space="preserve">. In the event that a Dispute has not been resolved within thirty (30) days of the receipt of a CEO Negotiation Request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within such longer period as the Parties may agree to in writing, then any Party may petition or file an action in a court of competent jurisdiction for resolution of such Dispute. Notwithstanding the foregoing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 a Party may seek preliminary provisional or injunctive judicial relief with respect to a Dispute without first complying with the procedures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if such action is reasonably necessary to avoid irreparable damage, and (b) a Party may petition or file an action in a court of competent jurisdiction for resolution of a Dispute before the expiration of the periods specified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if such Party has submitted a CEO Negotiation Request and the other Party(ies) has failed to comply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in good faith with respect to such negotiation.</w:t>
      </w:r>
    </w:p>
    <w:p>
      <w:pPr>
        <w:spacing w:after="0" w:line="19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Conduct During Dispute Resolution Process</w:t>
      </w:r>
      <w:r>
        <w:rPr>
          <w:rFonts w:ascii="Arial" w:cs="Arial" w:eastAsia="Arial" w:hAnsi="Arial"/>
          <w:sz w:val="18"/>
          <w:szCs w:val="18"/>
          <w:color w:val="auto"/>
        </w:rPr>
        <w:t xml:space="preserve">. Unless otherwise agreed in writing, the Parties shall, and shall cause the respective members of their Groups, as applicable, to, continue to honor all commitments under this Agreement and each Ancillary Agreement to the extent required by such agreements during the course of dispute resolution pursuant to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unless such commitments are the specific subject of the Dispute at issue.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60" w:top="273" w:right="45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Termination; Waiver and Amendments</w:t>
      </w:r>
      <w:r>
        <w:rPr>
          <w:rFonts w:ascii="Arial" w:cs="Arial" w:eastAsia="Arial" w:hAnsi="Arial"/>
          <w:sz w:val="16"/>
          <w:szCs w:val="16"/>
          <w:color w:val="auto"/>
        </w:rPr>
        <w:t>.</w:t>
      </w:r>
    </w:p>
    <w:p>
      <w:pPr>
        <w:spacing w:after="0" w:line="225" w:lineRule="exact"/>
        <w:rPr>
          <w:sz w:val="20"/>
          <w:szCs w:val="20"/>
          <w:color w:val="auto"/>
        </w:rPr>
      </w:pPr>
    </w:p>
    <w:p>
      <w:pPr>
        <w:ind w:firstLine="981"/>
        <w:spacing w:after="0" w:line="263" w:lineRule="auto"/>
        <w:tabs>
          <w:tab w:leader="none" w:pos="137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Prior to the IPO Closing Date, this Agreement may be terminated by Post, in its sole discretion. In the event of any termination of this Agreement prior to the IPO Closing Date, no Party (nor any of its directors, officers, members, managers or employees) shall have any Liability or further obligation to the other Party by reason of this Agreement.</w:t>
      </w:r>
    </w:p>
    <w:p>
      <w:pPr>
        <w:spacing w:after="0" w:line="182" w:lineRule="exact"/>
        <w:rPr>
          <w:rFonts w:ascii="Arial" w:cs="Arial" w:eastAsia="Arial" w:hAnsi="Arial"/>
          <w:sz w:val="18"/>
          <w:szCs w:val="18"/>
          <w:color w:val="auto"/>
        </w:rPr>
      </w:pPr>
    </w:p>
    <w:p>
      <w:pPr>
        <w:ind w:left="1360" w:hanging="379"/>
        <w:spacing w:after="0"/>
        <w:tabs>
          <w:tab w:leader="none" w:pos="13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After the IPO Closing Date, this Agreement may be terminated only by mutual consent of each of the Parties.</w:t>
      </w:r>
    </w:p>
    <w:p>
      <w:pPr>
        <w:spacing w:after="0" w:line="224" w:lineRule="exact"/>
        <w:rPr>
          <w:rFonts w:ascii="Arial" w:cs="Arial" w:eastAsia="Arial" w:hAnsi="Arial"/>
          <w:sz w:val="18"/>
          <w:szCs w:val="18"/>
          <w:color w:val="auto"/>
        </w:rPr>
      </w:pPr>
    </w:p>
    <w:p>
      <w:pPr>
        <w:ind w:right="20" w:firstLine="981"/>
        <w:spacing w:after="0" w:line="277" w:lineRule="auto"/>
        <w:tabs>
          <w:tab w:leader="none" w:pos="137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provisions of this Agreement or any Ancillary Agreement shall be deemed waived by a Party, unless such waiver is in writing and signed by the authorized representative of the Party against whom it sought to enforce such waiver.</w:t>
      </w:r>
    </w:p>
    <w:p>
      <w:pPr>
        <w:spacing w:after="0" w:line="169" w:lineRule="exact"/>
        <w:rPr>
          <w:rFonts w:ascii="Arial" w:cs="Arial" w:eastAsia="Arial" w:hAnsi="Arial"/>
          <w:sz w:val="18"/>
          <w:szCs w:val="18"/>
          <w:color w:val="auto"/>
        </w:rPr>
      </w:pPr>
    </w:p>
    <w:p>
      <w:pPr>
        <w:ind w:right="420" w:firstLine="981"/>
        <w:spacing w:after="0" w:line="277" w:lineRule="auto"/>
        <w:tabs>
          <w:tab w:leader="none" w:pos="1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provisions of this Agreement or any Ancillary Agreement shall be deemed amended, supplemented or modified, unless such waiver, supplement or modification is in writing and signed by the authorized representative of each Party.</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 Without limiting the foregoing, prior to, on and after the Effective Time, each Party shall cooperate with the other Parties, and without any further consideration, but at the expense of the requesting Party, to execute and deliver, or use its reasonable best efforts to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Party(ies) from time to time, consistent with the terms of this Agreement and the Ancillary Agreements, in order to effectuate the provisions and purposes of this Agreement and the Ancillary Agreements and the transfers of the BellRing Assets and the Post Assets and the assignment and assumption of the BellRing Liabilities and the Post Liabilities and the other transactions contemplated hereby and thereby. Without limiting the foregoing, each Party shall, at the reasonable request, cost and expense of the other Party(ies), take such other actions as may be reasonably necessary to vest in such other Party good and marketable title to the Assets allocated to such Party under this Agreement or any of the Ancillary Agreements, free and clear of any Security Interest, if and to the extent it is practicable to do so.</w:t>
      </w:r>
    </w:p>
    <w:p>
      <w:pPr>
        <w:spacing w:after="0" w:line="27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Counterparts; Entire Agreement; Corporate Power</w:t>
      </w:r>
      <w:r>
        <w:rPr>
          <w:rFonts w:ascii="Arial" w:cs="Arial" w:eastAsia="Arial" w:hAnsi="Arial"/>
          <w:sz w:val="16"/>
          <w:szCs w:val="16"/>
          <w:color w:val="auto"/>
        </w:rPr>
        <w:t>.</w:t>
      </w:r>
    </w:p>
    <w:p>
      <w:pPr>
        <w:spacing w:after="0" w:line="117" w:lineRule="exact"/>
        <w:rPr>
          <w:sz w:val="20"/>
          <w:szCs w:val="20"/>
          <w:color w:val="auto"/>
        </w:rPr>
      </w:pPr>
    </w:p>
    <w:p>
      <w:pPr>
        <w:jc w:val="both"/>
        <w:ind w:right="220" w:firstLine="981"/>
        <w:spacing w:after="0" w:line="263" w:lineRule="auto"/>
        <w:tabs>
          <w:tab w:leader="none" w:pos="136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This Agreement and each Ancillary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82" w:lineRule="exact"/>
        <w:rPr>
          <w:rFonts w:ascii="Arial" w:cs="Arial" w:eastAsia="Arial" w:hAnsi="Arial"/>
          <w:sz w:val="18"/>
          <w:szCs w:val="18"/>
          <w:color w:val="auto"/>
        </w:rPr>
      </w:pPr>
    </w:p>
    <w:p>
      <w:pPr>
        <w:ind w:right="60" w:firstLine="981"/>
        <w:spacing w:after="0" w:line="275" w:lineRule="auto"/>
        <w:tabs>
          <w:tab w:leader="none" w:pos="137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This Agreement, the Ancillary Agreements and the Exhibits, Schedules and appendices hereto and thereto contain the entire agreement among the Parties with respect to the subject matter hereof and supersede all previous agreements, negotiations, discussions, writings, understandings, commitments and conversations with respect to such subject matter, and there are no agreements or understandings among the Parties other than those set forth or referred to herein or therein. This Agreement and the Ancillary Agreements together govern the arrangements in connection with the Formation Transactions and the IPO and would not have been entered into independently.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60" w:top="273" w:right="439" w:bottom="1440" w:gutter="0" w:footer="0" w:header="0"/>
        </w:sectPr>
      </w:pPr>
    </w:p>
    <w:bookmarkStart w:id="320" w:name="page321"/>
    <w:bookmarkEnd w:id="320"/>
    <w:p>
      <w:pPr>
        <w:ind w:right="280" w:firstLine="981"/>
        <w:spacing w:after="0" w:line="277" w:lineRule="auto"/>
        <w:tabs>
          <w:tab w:leader="none" w:pos="137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 represents on behalf of itself and each other member of the Post Group, BellRing LLC represents on behalf of itself and each other member of the BellRing Group, and BellRing Inc. represents on behalf of itself, as follows:</w:t>
      </w:r>
    </w:p>
    <w:p>
      <w:pPr>
        <w:spacing w:after="0" w:line="169" w:lineRule="exact"/>
        <w:rPr>
          <w:rFonts w:ascii="Arial" w:cs="Arial" w:eastAsia="Arial" w:hAnsi="Arial"/>
          <w:sz w:val="18"/>
          <w:szCs w:val="18"/>
          <w:color w:val="auto"/>
        </w:rPr>
      </w:pPr>
    </w:p>
    <w:p>
      <w:pPr>
        <w:ind w:right="120" w:firstLine="1421"/>
        <w:spacing w:after="0" w:line="263" w:lineRule="auto"/>
        <w:tabs>
          <w:tab w:leader="none" w:pos="17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82" w:lineRule="exact"/>
        <w:rPr>
          <w:rFonts w:ascii="Arial" w:cs="Arial" w:eastAsia="Arial" w:hAnsi="Arial"/>
          <w:sz w:val="18"/>
          <w:szCs w:val="18"/>
          <w:color w:val="auto"/>
        </w:rPr>
      </w:pPr>
    </w:p>
    <w:p>
      <w:pPr>
        <w:ind w:right="60" w:firstLine="1421"/>
        <w:spacing w:after="0" w:line="277" w:lineRule="auto"/>
        <w:tabs>
          <w:tab w:leader="none" w:pos="183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169" w:lineRule="exact"/>
        <w:rPr>
          <w:rFonts w:ascii="Arial" w:cs="Arial" w:eastAsia="Arial" w:hAnsi="Arial"/>
          <w:sz w:val="18"/>
          <w:szCs w:val="18"/>
          <w:color w:val="auto"/>
        </w:rPr>
      </w:pPr>
    </w:p>
    <w:p>
      <w:pPr>
        <w:ind w:right="40" w:firstLine="981"/>
        <w:spacing w:after="0" w:line="263" w:lineRule="auto"/>
        <w:tabs>
          <w:tab w:leader="none" w:pos="13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Party acknowledges that delivery of an executed counterpart of a signature page to this Agreement or any Ancillary Agreement by facsimile or by e-mail in portable document format (PDF) shall be effective as delivery of such executed counterpart of this Agreement or any Ancillary Agreement.</w:t>
      </w:r>
    </w:p>
    <w:p>
      <w:pPr>
        <w:spacing w:after="0" w:line="183"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unless expressly provided therein, each Ancillary Agreement (and any claims or disputes arising out of or related hereto or thereto or to the transactions contemplated hereby and thereby or to the inducement of any party to enter into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7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Assignability</w:t>
      </w:r>
      <w:r>
        <w:rPr>
          <w:rFonts w:ascii="Arial" w:cs="Arial" w:eastAsia="Arial" w:hAnsi="Arial"/>
          <w:sz w:val="16"/>
          <w:szCs w:val="16"/>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nor any such party thereto may assign its rights or delegate its obligations under this Agreement or any Ancillary Agreement without the express prior written consent of the other Parties or other parties thereto, as applicable. Notwithstanding the foregoing, no such consent shall be required for the assignment of a party’s rights and obligations under this Agreement and the Ancillary Agreements (except as may be otherwise provided in any such Ancillary Agreement) in whole (i.e., the assignment of a party’s rights and obligations under this Agreement and all Ancillary Agreements all at the same time) in connection with a Change of Control of such party so long as the resulting, surviving or transferee Person assumes all of the obligations of the relevant party thereto by operation of Law or pursuant to an agreement in form and substance reasonably satisfactory to the other Parties.</w:t>
      </w:r>
    </w:p>
    <w:p>
      <w:pPr>
        <w:spacing w:after="0" w:line="16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Except for the indemnification rights under this Agreement and each Ancillary Agreement of any Post Indemnitee or BellRing Indemnitee in their respective capacities as such, (a) the provisions of this Agreement and each Ancillary Agreement are solely for the benefit of the Parties and are not intended to confer upon any Person except the Parties any rights or remedies hereunder, and (b) there are no third party beneficiaries of this Agreement or any Ancillary Agreement and neither this Agreement nor any Ancillary Agreement shall provide any third Person with any remedy, claim, Liability, reimbursement, claim of action or other right in excess of those existing without reference to this Agreement or any Ancillary Agreement.</w:t>
      </w:r>
    </w:p>
    <w:p>
      <w:pPr>
        <w:spacing w:after="0" w:line="19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or other communications under this Agreement and, to the extent applicable and unless otherwise provided therein, under each of the Ancillary Agreements, shall be in writing and shall be given or made (and shall be deemed to have been duly given or made upon receipt) by delivery in person, by overnight courier service or electronically,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60" w:top="274" w:right="45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respective Parties at the following addresses (or at such other address for a Party as shall be specified in a notice given in accordance with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(prior to, on or after the Effective Time),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LLC (prior to, on or after the Effective Time),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Inc. (prior to, on or after the Effective Time),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Party may, by notice to the other Parties, change the address to which such notices are to be given.</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7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Force Majeure</w:t>
      </w:r>
      <w:r>
        <w:rPr>
          <w:rFonts w:ascii="Arial" w:cs="Arial" w:eastAsia="Arial" w:hAnsi="Arial"/>
          <w:sz w:val="18"/>
          <w:szCs w:val="18"/>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Parties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60" w:top="273" w:right="479" w:bottom="1440" w:gutter="0" w:footer="0" w:header="0"/>
        </w:sectPr>
      </w:pPr>
    </w:p>
    <w:bookmarkStart w:id="322" w:name="page323"/>
    <w:bookmarkEnd w:id="322"/>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9.10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set forth in any Ancillary Agreement or as otherwise mutually agreed to in writing by the Parties, no Party nor any member of such Party’s Group, as applicable, shall have any right of set-off or other similar rights with respect to (a) any amounts received pursuant to this Agreement or any Ancillary Agreement; or (b) any other amounts claimed to be owed to any other Party or any member of its Group, as applicable, arising out of this Agreement or any Ancillary Agreement.</w:t>
      </w:r>
    </w:p>
    <w:p>
      <w:pPr>
        <w:spacing w:after="0" w:line="18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Except as otherwise expressly set forth in this Agreement or any Ancillary Agreement, or as otherwise agreed to in writing by the Parties, all fees, costs and expenses incurred at or prior to the Effective Time in connection with the preparation, execution, delivery and implementation of this Agreement, including the Formation Transactions and the IPO, and any Ancillary Agreement, the IPO Registration Statement and the consummation of the transactions contemplated hereby and thereby, will be borne by the Party or its applicable Subsidiary incurring such fees, costs or expenses. The Parties agree that certain specified costs, expenses and reimbursements shall be allocated among the Parties, and borne and be the responsibility of the applicable Party, as set forth on </w:t>
      </w:r>
      <w:r>
        <w:rPr>
          <w:rFonts w:ascii="Arial" w:cs="Arial" w:eastAsia="Arial" w:hAnsi="Arial"/>
          <w:sz w:val="17"/>
          <w:szCs w:val="17"/>
          <w:u w:val="single" w:color="auto"/>
          <w:color w:val="auto"/>
        </w:rPr>
        <w:t>Schedule 9.11</w:t>
      </w:r>
      <w:r>
        <w:rPr>
          <w:rFonts w:ascii="Arial" w:cs="Arial" w:eastAsia="Arial" w:hAnsi="Arial"/>
          <w:sz w:val="17"/>
          <w:szCs w:val="17"/>
          <w:color w:val="auto"/>
        </w:rPr>
        <w:t>.</w:t>
      </w:r>
    </w:p>
    <w:p>
      <w:pPr>
        <w:spacing w:after="0" w:line="177" w:lineRule="exact"/>
        <w:rPr>
          <w:sz w:val="20"/>
          <w:szCs w:val="20"/>
          <w:color w:val="auto"/>
        </w:rPr>
      </w:pPr>
    </w:p>
    <w:p>
      <w:pPr>
        <w:ind w:right="400" w:firstLine="440"/>
        <w:spacing w:after="0" w:line="307"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Headings</w:t>
      </w:r>
      <w:r>
        <w:rPr>
          <w:rFonts w:ascii="Arial" w:cs="Arial" w:eastAsia="Arial" w:hAnsi="Arial"/>
          <w:sz w:val="17"/>
          <w:szCs w:val="17"/>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47" w:lineRule="exact"/>
        <w:rPr>
          <w:sz w:val="20"/>
          <w:szCs w:val="20"/>
          <w:color w:val="auto"/>
        </w:rPr>
      </w:pPr>
    </w:p>
    <w:p>
      <w:pPr>
        <w:ind w:right="340" w:firstLine="440"/>
        <w:spacing w:after="0" w:line="256"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xml:space="preserve">. Except as expressly set forth in this Agreement or any Ancillary Agreement, the covenants, representations and warranties contained in this Agreement and each Ancillary Agreement, and any Liabilities for the breach of any obligations contained herein, shall survive the Formation Transactions and the IPO and (subject to any agreement of the parties in connection therewith) any termination under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and shall remain in full force and effect. Notwithstanding anything to the contrary set forth in this Agreement,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the termination of this Agreement for any reason.</w:t>
      </w:r>
    </w:p>
    <w:p>
      <w:pPr>
        <w:spacing w:after="0" w:line="19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a Party of any default by any other Party of any provision of this Agreement or any Ancillary Agreement shall not be deemed a waiver by the waiving Party of any subsequent or other default, nor shall it prejudice the rights of any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for which a remedy at law would be adequate is waived. Any requirements for the securing or posting of any bond with such remedy are waived by each of the Parties.</w:t>
      </w:r>
    </w:p>
    <w:p>
      <w:pPr>
        <w:spacing w:after="0" w:line="17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Interpretation</w:t>
      </w:r>
      <w:r>
        <w:rPr>
          <w:rFonts w:ascii="Arial" w:cs="Arial" w:eastAsia="Arial" w:hAnsi="Arial"/>
          <w:sz w:val="18"/>
          <w:szCs w:val="18"/>
          <w:color w:val="auto"/>
        </w:rPr>
        <w:t>. In this Agreement and any Ancillary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Schedule, Exhibit and Appendix references are to the Articles, Sections, Schedules, Exhibits and Appendices to this Agreement (or the applicable Ancillary Agreement) unless otherwise specified; (d) unless otherwise stated, all references to any agreement (including this Agreement and each Ancillary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323" w:name="page324"/>
    <w:bookmarkEnd w:id="323"/>
    <w:p>
      <w:pPr>
        <w:ind w:left="1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shall be deemed to include the exhibits, schedules and appendices (including all Exhibits, Schedules and Appendices) to such agreement;</w:t>
      </w:r>
    </w:p>
    <w:p>
      <w:pPr>
        <w:spacing w:after="0" w:line="46" w:lineRule="exact"/>
        <w:rPr>
          <w:sz w:val="20"/>
          <w:szCs w:val="20"/>
          <w:color w:val="auto"/>
        </w:rPr>
      </w:pPr>
    </w:p>
    <w:p>
      <w:pPr>
        <w:ind w:left="10" w:right="120" w:hanging="10"/>
        <w:spacing w:after="0" w:line="281" w:lineRule="auto"/>
        <w:tabs>
          <w:tab w:leader="none" w:pos="25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word “including” and words of similar import when used in this Agreement (or the applicable Ancillary Agreement) shall mean “including, without limitation,” unless otherwise specified; (f) the word “or” shall not be exclusive; (g) unless otherwise specified in a particular case, the word “days” refers to calendar days; (h) references herein to this Agreement or any other agreement contemplated herein shall be deemed to refer to this Agreement or such other agreement as of the date on which it is executed and as it may be amended, modified or supplemented thereafter, unless otherwise specified; and (i) unless expressly stated to the contrary in this Agreement or in any Ancillary Agreement, all references to “the date hereof,”</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5"/>
              </w:rPr>
              <w:t>“the date of this Agreement,” “hereby” and “hereupon” and words of similar import shall all be references to</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87" w:lineRule="exact"/>
        <w:rPr>
          <w:sz w:val="20"/>
          <w:szCs w:val="20"/>
          <w:color w:val="auto"/>
        </w:rPr>
      </w:pPr>
    </w:p>
    <w:p>
      <w:pPr>
        <w:ind w:left="10" w:firstLine="440"/>
        <w:spacing w:after="0" w:line="289"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Limitations of Liability; No Recourse</w:t>
      </w:r>
      <w:r>
        <w:rPr>
          <w:rFonts w:ascii="Arial" w:cs="Arial" w:eastAsia="Arial" w:hAnsi="Arial"/>
          <w:sz w:val="16"/>
          <w:szCs w:val="16"/>
          <w:color w:val="auto"/>
        </w:rPr>
        <w:t>. Notwithstanding anything in this Agreement to the contrary, (a) none of BellRing Inc., BellRing LLC or any other member of the BellRing Group, on the one hand, nor Post or any other member of the Post Group, on the other hand, shall be liable under this Agreement to the others for any special, indirect, punitive, exemplary, remote, speculative or similar damages in excess of compensatory damages of the other arising in connection with the transactions contemplated hereby (other than any such Liability with respect to a Third Party Claim); and (b) no individual who is a shareholder, director, member, manager, employee, officer, agent or representative of any of the Parties, in such individual’s capacity as such, shall have any liability in respect of or relating to the covenants or obligations of any Party under this Agreement or any Ancillary Agreement or in respect of any certificate delivered with respect hereto or thereto and, to the fullest extent legally permissible, each Party, for itself and its respective Subsidiaries and its and their respective shareholders, directors, members, managers, employees and officers, waives and agrees not to seek to assert or enforce any such liability that any such Person otherwise might have pursuant to applicable Law.</w:t>
      </w:r>
    </w:p>
    <w:p>
      <w:pPr>
        <w:spacing w:after="0" w:line="164" w:lineRule="exact"/>
        <w:rPr>
          <w:sz w:val="20"/>
          <w:szCs w:val="20"/>
          <w:color w:val="auto"/>
        </w:rPr>
      </w:pPr>
    </w:p>
    <w:p>
      <w:pPr>
        <w:ind w:left="10" w:right="80" w:firstLine="440"/>
        <w:spacing w:after="0" w:line="291"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Performance</w:t>
      </w:r>
      <w:r>
        <w:rPr>
          <w:rFonts w:ascii="Arial" w:cs="Arial" w:eastAsia="Arial" w:hAnsi="Arial"/>
          <w:sz w:val="16"/>
          <w:szCs w:val="16"/>
          <w:color w:val="auto"/>
        </w:rPr>
        <w:t>. Post shall cause to be performed, and hereby guarantees the performance of, all actions, agreements and obligations set forth in this Agreement or in any Ancillary Agreement to be performed by any member of the Post Group. BellRing LLC shall cause to be performed, and hereby guarantees the performance of, all actions, agreements and obligations set forth in this Agreement or in any Ancillary Agreement to be performed by any member of the BellRing Group. Each of Post and BellRing LLC (including its permitted successors and assigns) further agrees that it shall (a) give timely notice of the terms, conditions and continuing obligations contained in this Agreement and any applicable Ancillary Agreement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65" w:lineRule="exact"/>
        <w:rPr>
          <w:sz w:val="20"/>
          <w:szCs w:val="20"/>
          <w:color w:val="auto"/>
        </w:rPr>
      </w:pPr>
    </w:p>
    <w:p>
      <w:pPr>
        <w:ind w:left="10" w:right="60" w:firstLine="440"/>
        <w:spacing w:after="0" w:line="277"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70" w:lineRule="exact"/>
        <w:rPr>
          <w:sz w:val="20"/>
          <w:szCs w:val="20"/>
          <w:color w:val="auto"/>
        </w:rPr>
      </w:pPr>
    </w:p>
    <w:p>
      <w:pPr>
        <w:jc w:val="center"/>
        <w:ind w:right="-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90"/>
          </w:cols>
          <w:pgMar w:left="450" w:top="274" w:right="459" w:bottom="1440" w:gutter="0" w:footer="0" w:header="0"/>
        </w:sectPr>
      </w:pPr>
    </w:p>
    <w:bookmarkStart w:id="324" w:name="page325"/>
    <w:bookmarkEnd w:id="32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Master Transaction Agreement to be executed by their duly authorized representatives as of the date first written above.</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14605</wp:posOffset>
            </wp:positionV>
            <wp:extent cx="25698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98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14605</wp:posOffset>
            </wp:positionV>
            <wp:extent cx="25698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698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14605</wp:posOffset>
            </wp:positionV>
            <wp:extent cx="25698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698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Master Transaction Agreement]</w:t>
      </w:r>
    </w:p>
    <w:p>
      <w:pPr>
        <w:sectPr>
          <w:pgSz w:w="11900" w:h="16838" w:orient="portrait"/>
          <w:cols w:equalWidth="0" w:num="1">
            <w:col w:w="10860"/>
          </w:cols>
          <w:pgMar w:left="460" w:top="273" w:right="57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MATTERS AGREEMENT</w:t>
      </w:r>
    </w:p>
    <w:p>
      <w:pPr>
        <w:spacing w:after="0" w:line="21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This EMPLOYEE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2019,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BellRing Inc.</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RECITALS</w:t>
            </w:r>
          </w:p>
        </w:tc>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8820" w:type="dxa"/>
            <w:vAlign w:val="bottom"/>
            <w:gridSpan w:val="4"/>
          </w:tcPr>
          <w:p>
            <w:pPr>
              <w:ind w:left="440"/>
              <w:spacing w:after="0"/>
              <w:rPr>
                <w:sz w:val="20"/>
                <w:szCs w:val="20"/>
                <w:color w:val="auto"/>
              </w:rPr>
            </w:pPr>
            <w:r>
              <w:rPr>
                <w:rFonts w:ascii="Arial" w:cs="Arial" w:eastAsia="Arial" w:hAnsi="Arial"/>
                <w:sz w:val="18"/>
                <w:szCs w:val="18"/>
                <w:color w:val="auto"/>
                <w:w w:val="95"/>
              </w:rPr>
              <w:t>A.  BellRing Inc., BellRing LLC, and Post are parties to that certain Master Transaction Agreement, dated as of</w:t>
            </w: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w w:val="89"/>
              </w:rPr>
              <w:t>, 2019 (the “Transaction</w:t>
            </w:r>
          </w:p>
        </w:tc>
      </w:tr>
      <w:tr>
        <w:trPr>
          <w:trHeight w:val="196"/>
        </w:trPr>
        <w:tc>
          <w:tcPr>
            <w:tcW w:w="8820" w:type="dxa"/>
            <w:vAlign w:val="bottom"/>
            <w:gridSpan w:val="4"/>
          </w:tcPr>
          <w:p>
            <w:pPr>
              <w:spacing w:after="0" w:line="196" w:lineRule="exact"/>
              <w:rPr>
                <w:sz w:val="20"/>
                <w:szCs w:val="20"/>
                <w:color w:val="auto"/>
              </w:rPr>
            </w:pPr>
            <w:r>
              <w:rPr>
                <w:rFonts w:ascii="Arial" w:cs="Arial" w:eastAsia="Arial" w:hAnsi="Arial"/>
                <w:sz w:val="18"/>
                <w:szCs w:val="18"/>
                <w:color w:val="auto"/>
              </w:rPr>
              <w:t>Agreement”).</w:t>
            </w:r>
          </w:p>
        </w:tc>
        <w:tc>
          <w:tcPr>
            <w:tcW w:w="1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28" w:lineRule="exact"/>
        <w:rPr>
          <w:sz w:val="20"/>
          <w:szCs w:val="20"/>
          <w:color w:val="auto"/>
        </w:rPr>
      </w:pPr>
    </w:p>
    <w:p>
      <w:pPr>
        <w:ind w:right="60" w:firstLine="430"/>
        <w:spacing w:after="0" w:line="311" w:lineRule="auto"/>
        <w:tabs>
          <w:tab w:leader="none" w:pos="78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To facilitate the transaction described in the Transaction Agreement, the parties deem it appropriate and in the best interests of the parties to enter into this Agreement for the purpose of, together with the Master Services Agreement, allocating assets, Liabilities and responsibilities with respect to certain employment matters, employee compensation and benefit plans and programs described herein between and among them.</w:t>
      </w:r>
    </w:p>
    <w:p>
      <w:pPr>
        <w:spacing w:after="0" w:line="14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otherwise defined or provided herein, the capitalized terms used herein shall have the meanings given to them in the Transaction Agreement. In addition to the other terms defined elsewhere in this Agreement, for the purposes of this Agreement, the following terms shall have the meaning set forth below:</w:t>
      </w:r>
    </w:p>
    <w:p>
      <w:pPr>
        <w:spacing w:after="0" w:line="18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Benefit Plans</w:t>
      </w:r>
      <w:r>
        <w:rPr>
          <w:rFonts w:ascii="Arial" w:cs="Arial" w:eastAsia="Arial" w:hAnsi="Arial"/>
          <w:sz w:val="18"/>
          <w:szCs w:val="18"/>
          <w:color w:val="auto"/>
        </w:rPr>
        <w:t>” means any Benefit Plan sponsored or maintained or contributed to by BellRing Inc. or any member of the BellRing Group (or their predecessors), and any Benefit Plan assumed or adopted by BellRing Inc. or any member of the BellRing Group, specifically excluding any Post Benefit Plan.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Employees</w:t>
      </w:r>
      <w:r>
        <w:rPr>
          <w:rFonts w:ascii="Arial" w:cs="Arial" w:eastAsia="Arial" w:hAnsi="Arial"/>
          <w:sz w:val="18"/>
          <w:szCs w:val="18"/>
          <w:color w:val="auto"/>
        </w:rPr>
        <w:t>” means employees of and service providers to BellRing Inc. or any member of the BellRing Group.</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with respect to an entity, each plan, program, arrangement, agreement or commitment (whether written or unwritten, formal or informal) that is an employment, consulting, non-competition or deferred compensation agreement, or an executive compensation, incentive bonus or other bonus, employee pension, profit-sharing, savings, retirement, supplemental retirement, stock option, stock purchase, stock appreciation rights, restricted stock, other equity-based compensation, severance pay, salary continuation, life, health, hospitalization, wellness, sick leave, vacation pay, disability or accident insurance plan, or other employee benefit plan, program, arrangement, agreement or commitment, (a) including any “employee benefit plan” (as defined in Section 3(3) of ERISA), sponsored or maintained by such entity (or to which such entity contributes or is required to contribute or has any Liabilities, directly or indirectly, contingent or fixed) and (b) excluding any indemnification obligations, other than any obligations contained in any of the foregoing.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60" w:top="121" w:right="439" w:bottom="1440" w:gutter="0" w:footer="0" w:header="0"/>
        </w:sectPr>
      </w:pPr>
    </w:p>
    <w:bookmarkStart w:id="326" w:name="page327"/>
    <w:bookmarkEnd w:id="326"/>
    <w:p>
      <w:pPr>
        <w:ind w:right="10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7"/>
          <w:szCs w:val="17"/>
          <w:u w:val="single" w:color="auto"/>
          <w:color w:val="auto"/>
        </w:rPr>
        <w:t>Change of Control</w:t>
      </w:r>
      <w:r>
        <w:rPr>
          <w:rFonts w:ascii="Arial" w:cs="Arial" w:eastAsia="Arial" w:hAnsi="Arial"/>
          <w:sz w:val="17"/>
          <w:szCs w:val="17"/>
          <w:color w:val="auto"/>
        </w:rPr>
        <w:t>” of BellRing Inc. and BellRing LLC shall have occurred in the event any transaction or series of transactions (however structured or evidenced) is/are consummated which (a) results in Post no longer controlling more than 50% of the combined voting power of the capital stock of BellRing Inc. entitled to vote generally in the election of directors of BellRing Inc. (including, for avoidance of doubt, (i) the granting or entry into by Post or any of its Affiliates (other than BellRing Inc. or any of its Subsidiaries) of proxies, voting agreements or other voting arrangements with third parties in accordance with the BellRing Limited Liability Company Agreement pursuant to which such third parties have the right to direct how Post or any of its Affiliates (other than BellRing Inc. or any of its Subsidiaries) shall cast all or a portion of the votes to which the Class B Common Stock of BellRing Inc. is entitled, or (ii) the distribution by Post of its retained beneficial interest in BellRing Inc. by means of a spin-off or split-off to its shareholders (however structured or evidenced)), or (b) involves the sale, assignment, conveyance, transfer, lease or other disposition of all or substantially all of the assets of BellRing Inc. and its Subsidiaries taken as a whole; and a “Change of Control” of BellRing LLC shall have occurred in the event any transaction or series of transactions (however structured or evidenced) is/are consummated which (x) results in BellRing LLC no longer being a direct or indirect Subsidiary of BellRing Inc. or (y) involves the sale, assignment, conveyance, transfer, lease or other disposition of all or substantially all of the assets of BellRing LLC.</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and Reconciliation Act of 1985,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BellRing Employees</w:t>
      </w:r>
      <w:r>
        <w:rPr>
          <w:rFonts w:ascii="Arial" w:cs="Arial" w:eastAsia="Arial" w:hAnsi="Arial"/>
          <w:sz w:val="18"/>
          <w:szCs w:val="18"/>
          <w:color w:val="auto"/>
        </w:rPr>
        <w:t>” means former employees of and service providers to BellRing Inc. or any member of the BellRing Group, or any predecessor company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Benefit Plans</w:t>
      </w:r>
      <w:r>
        <w:rPr>
          <w:rFonts w:ascii="Arial" w:cs="Arial" w:eastAsia="Arial" w:hAnsi="Arial"/>
          <w:sz w:val="18"/>
          <w:szCs w:val="18"/>
          <w:color w:val="auto"/>
        </w:rPr>
        <w:t>” means any Benefit Plan sponsored or maintained by Post or any member of the Post Group, specifically excluding any BellRing Benefit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401(K) AND HEALTH AND WELFARE PLANS</w:t>
      </w:r>
    </w:p>
    <w:p>
      <w:pPr>
        <w:spacing w:after="0" w:line="21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401(k) Plan</w:t>
      </w:r>
      <w:r>
        <w:rPr>
          <w:rFonts w:ascii="Arial" w:cs="Arial" w:eastAsia="Arial" w:hAnsi="Arial"/>
          <w:sz w:val="16"/>
          <w:szCs w:val="16"/>
          <w:color w:val="auto"/>
        </w:rPr>
        <w:t>. Members of the BellRing Group which employ employees eligible for the Post Holdings, Inc. Savings Investment Plan (“</w:t>
      </w:r>
      <w:r>
        <w:rPr>
          <w:rFonts w:ascii="Arial" w:cs="Arial" w:eastAsia="Arial" w:hAnsi="Arial"/>
          <w:sz w:val="16"/>
          <w:szCs w:val="16"/>
          <w:u w:val="single" w:color="auto"/>
          <w:color w:val="auto"/>
        </w:rPr>
        <w:t>Post</w:t>
      </w:r>
      <w:r>
        <w:rPr>
          <w:rFonts w:ascii="Arial" w:cs="Arial" w:eastAsia="Arial" w:hAnsi="Arial"/>
          <w:sz w:val="16"/>
          <w:szCs w:val="16"/>
          <w:color w:val="auto"/>
        </w:rPr>
        <w:t xml:space="preserve"> </w:t>
      </w:r>
      <w:r>
        <w:rPr>
          <w:rFonts w:ascii="Arial" w:cs="Arial" w:eastAsia="Arial" w:hAnsi="Arial"/>
          <w:sz w:val="16"/>
          <w:szCs w:val="16"/>
          <w:u w:val="single" w:color="auto"/>
          <w:color w:val="auto"/>
        </w:rPr>
        <w:t>SIP</w:t>
      </w:r>
      <w:r>
        <w:rPr>
          <w:rFonts w:ascii="Arial" w:cs="Arial" w:eastAsia="Arial" w:hAnsi="Arial"/>
          <w:sz w:val="16"/>
          <w:szCs w:val="16"/>
          <w:color w:val="auto"/>
        </w:rPr>
        <w:t>”) shall remain “participating employers” (as such term is defined in the Post SIP) in the Post SIP through December 31, 2019. BellRing Inc. shall establish and adopt, effective January 1, 2020, a safe harbor 401(k) plan meeting the requirements of Code Section 401(k)(12)(B) and 401(m)(11) (the “</w:t>
      </w:r>
      <w:r>
        <w:rPr>
          <w:rFonts w:ascii="Arial" w:cs="Arial" w:eastAsia="Arial" w:hAnsi="Arial"/>
          <w:sz w:val="16"/>
          <w:szCs w:val="16"/>
          <w:u w:val="single" w:color="auto"/>
          <w:color w:val="auto"/>
        </w:rPr>
        <w:t>BellRing Brands, Inc. 401(k) Plan</w:t>
      </w:r>
      <w:r>
        <w:rPr>
          <w:rFonts w:ascii="Arial" w:cs="Arial" w:eastAsia="Arial" w:hAnsi="Arial"/>
          <w:sz w:val="16"/>
          <w:szCs w:val="16"/>
          <w:color w:val="auto"/>
        </w:rPr>
        <w:t>”) and require that the trust that funds the BellRing Brands, Inc. 401(k) Plan shall accept a direct trust-to-trust transfer of the account balances of such eligible employees of BellRing Inc. and the BellRing Group from the trust that funds the Post SIP, which transfer shall include without limitation such employees’ loans taken out under the Post SIP. Without limiting the foregoing, BellRing Inc. shall ensure that the terms of the BellRing Brands, Inc. 401(k) Plan proposed to be adopted in accordance with the immediately preceding sentence and maintained thereafter may not differ significantly from those of the Post SIP to the extent that: (a) the difference in such terms would result in the service provider(s) selected for the BellRing Brands, Inc. 401(k) Plan not being able to establish the plan and accept contributions into the accounts for the BellRing Brands, Inc. 401(k) Plan effective January 1, 2020, as determined by such service provider(s); or (b) in the reasonable assessment of Post, the difference in such proposed terms (i) would pose a material risk that the Post SIP may fail any applicable nondiscrimination testing under the Code or (ii)</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327" w:name="page328"/>
    <w:bookmarkEnd w:id="327"/>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otherwise be legally inadvisable with respect to Post or the Post SIP. As soon as feasibly possible and without unreasonable delay BellRing Inc. shall submit an application to the IRS seeking a favorable determination or opinion letter from the IRS that the BellRing Brands, Inc. 401(k) Plan is tax-qualified under Section 401(a) of the Code. Upon the adoption of the BellRing Brands, Inc. 401(k) Plan, BellRing Inc. and BellRing LLC shall permit and facilitate the participation of eligible employees of BellRing Inc. or any member of the BellRing Group who, as of December 31, 2019, were eligible to participate in the Post SIP.</w:t>
      </w:r>
    </w:p>
    <w:p>
      <w:pPr>
        <w:spacing w:after="0" w:line="33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U.S. Health and Welfare Benefit Plan.</w:t>
      </w:r>
    </w:p>
    <w:p>
      <w:pPr>
        <w:spacing w:after="0" w:line="117" w:lineRule="exact"/>
        <w:rPr>
          <w:sz w:val="20"/>
          <w:szCs w:val="20"/>
          <w:color w:val="auto"/>
        </w:rPr>
      </w:pPr>
    </w:p>
    <w:p>
      <w:pPr>
        <w:ind w:firstLine="981"/>
        <w:spacing w:after="0" w:line="284" w:lineRule="auto"/>
        <w:tabs>
          <w:tab w:leader="none" w:pos="137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Unless otherwise determined by Post, BellRing Inc. and its Subsidiaries’ participation in the Post Holdings, Inc. Health and Welfare Benefit Plan, including the Post severance plans which form part of the Post Holdings, Inc. Health and Welfare Benefit Plan (“</w:t>
      </w:r>
      <w:r>
        <w:rPr>
          <w:rFonts w:ascii="Arial" w:cs="Arial" w:eastAsia="Arial" w:hAnsi="Arial"/>
          <w:sz w:val="16"/>
          <w:szCs w:val="16"/>
          <w:u w:val="single" w:color="auto"/>
          <w:color w:val="auto"/>
        </w:rPr>
        <w:t>Post H&amp;W Plan</w:t>
      </w:r>
      <w:r>
        <w:rPr>
          <w:rFonts w:ascii="Arial" w:cs="Arial" w:eastAsia="Arial" w:hAnsi="Arial"/>
          <w:sz w:val="16"/>
          <w:szCs w:val="16"/>
          <w:color w:val="auto"/>
        </w:rPr>
        <w:t>”), shall cease December 31, 2019. Provided such participation in the Post H&amp;W Plan ceases December 31, 2019, (i) BellRing Inc. or BellRing LLC shall adopt, or BellRing LLC shall cause one of its Subsidiaries to adopt, with Post’s good faith and reasonable efforts to assist, a health and welfare benefit plan subject to ERISA (“</w:t>
      </w:r>
      <w:r>
        <w:rPr>
          <w:rFonts w:ascii="Arial" w:cs="Arial" w:eastAsia="Arial" w:hAnsi="Arial"/>
          <w:sz w:val="16"/>
          <w:szCs w:val="16"/>
          <w:u w:val="single" w:color="auto"/>
          <w:color w:val="auto"/>
        </w:rPr>
        <w:t>BellRing Health and Welfare Benefit Plan</w:t>
      </w:r>
      <w:r>
        <w:rPr>
          <w:rFonts w:ascii="Arial" w:cs="Arial" w:eastAsia="Arial" w:hAnsi="Arial"/>
          <w:sz w:val="16"/>
          <w:szCs w:val="16"/>
          <w:color w:val="auto"/>
        </w:rPr>
        <w:t>”), and (ii) effective January 1, 2020, BellRing Inc. or BellRing LLC (or its Subsidiary) shall, subject to any actively-at-work requirements, permit and facilitate participation of eligible employees of BellRing Inc. and each member of the BellRing Group (and their dependents and beneficiaries), who, as of December 31, 2019, were eligible to participate in the Post H&amp;W Plan, with such component benefits and under such terms and conditions as are substantially comparable in the aggregate to those that comprise the Post H&amp;W Plan applicable to such employees as of December 31, 2019. BellRing Inc. or BellRing LLC shall, or BellRing LLC shall cause its applicable Subsidiary to, enter into HIPAA business associate agreements with applicable vendors of and service providers to the BellRing Health and Welfare Benefit Plan in accordance with applicable Law. For so long as BellRing Inc. or its Subsidiary(ies) that employ(s) or employed participants in the BellRing Health and Welfare Benefit Plan or participants in any other employee benefit program (x) are, when combined with Post or any of its Subsidiaries (other than BellRing Inc. or any of its Subsidiaries) treated as a “single employer” under Code Section 414(b) or 414(c) or successor provisions and the regulations thereunder, or (y) would otherwise be aggregated with Post or any of its Subsidiaries (other than BellRing Inc. or any of its Subsidiaries) for purposes of performing applicable nondiscrimination tests (all as determined by Post in its reasonable discretion), BellRing Inc. or BellRing LLC shall ensure or BellRing LLC shall cause its applicable Subsidiary to ensure that the BellRing Health and Welfare Benefit Plan shall not contain terms or conditions that vary from those of the Post H&amp;W Plan in a manner that creates, in the reasonable assessment of Post, a risk that the Post H&amp;W Plan would fail nondiscrimination requirements under any applicable provision of the Code or other applicable Law (including, without limitation, Code Section 105(h) with respect to any medical reimbursement plan and/or Code Section 79 with respect to any life insurance plan (or any successor Law(s) thereto)).</w:t>
      </w:r>
    </w:p>
    <w:p>
      <w:pPr>
        <w:spacing w:after="0" w:line="180" w:lineRule="exact"/>
        <w:rPr>
          <w:rFonts w:ascii="Arial" w:cs="Arial" w:eastAsia="Arial" w:hAnsi="Arial"/>
          <w:sz w:val="16"/>
          <w:szCs w:val="16"/>
          <w:color w:val="auto"/>
        </w:rPr>
      </w:pPr>
    </w:p>
    <w:p>
      <w:pPr>
        <w:ind w:firstLine="981"/>
        <w:spacing w:after="0" w:line="256" w:lineRule="auto"/>
        <w:tabs>
          <w:tab w:leader="none" w:pos="13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BellRing LLC shall be responsible for any Liabilities associated with the participation in the Post H&amp;W Plan of BellRing Employees and former BellRing Employees (and their dependents or beneficiaries) incurred prior to terminating participation in the Post H&amp;W Plan, no matter when such claims or Liabilities are filed, reported or payable; provided however, that any premiums, claims and other administrative costs shall be allocated or passed through in accordance with Section 5.1(a) of this Agreement and with the Master Services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COMPENSATION</w:t>
      </w:r>
    </w:p>
    <w:p>
      <w:pPr>
        <w:spacing w:after="0" w:line="210"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Nonqualified Deferred Compensation</w:t>
      </w:r>
      <w:r>
        <w:rPr>
          <w:rFonts w:ascii="Arial" w:cs="Arial" w:eastAsia="Arial" w:hAnsi="Arial"/>
          <w:sz w:val="16"/>
          <w:szCs w:val="16"/>
          <w:color w:val="auto"/>
        </w:rPr>
        <w:t>.</w:t>
      </w:r>
    </w:p>
    <w:p>
      <w:pPr>
        <w:spacing w:after="0" w:line="117" w:lineRule="exact"/>
        <w:rPr>
          <w:sz w:val="20"/>
          <w:szCs w:val="20"/>
          <w:color w:val="auto"/>
        </w:rPr>
      </w:pPr>
    </w:p>
    <w:p>
      <w:pPr>
        <w:ind w:left="-20" w:firstLine="981"/>
        <w:spacing w:after="0" w:line="259" w:lineRule="auto"/>
        <w:tabs>
          <w:tab w:leader="none" w:pos="13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participation of employees of BellRing Inc. or any member of the BellRing Group in the Post Holdings, Inc. Deferred Compensation Plan for Key Employees and the Post Holdings, Inc. Executive Savings Investment Plan (either or both, a “</w:t>
      </w:r>
      <w:r>
        <w:rPr>
          <w:rFonts w:ascii="Arial" w:cs="Arial" w:eastAsia="Arial" w:hAnsi="Arial"/>
          <w:sz w:val="18"/>
          <w:szCs w:val="18"/>
          <w:u w:val="single" w:color="auto"/>
          <w:color w:val="auto"/>
        </w:rPr>
        <w:t>Post Nonqualified Plan</w:t>
      </w:r>
      <w:r>
        <w:rPr>
          <w:rFonts w:ascii="Arial" w:cs="Arial" w:eastAsia="Arial" w:hAnsi="Arial"/>
          <w:sz w:val="18"/>
          <w:szCs w:val="18"/>
          <w:color w:val="auto"/>
        </w:rPr>
        <w:t>”) shall cease December 31, 2019. All deferral elections under the Post Nonqualified Plans shall remain in effect for the year(s) to which they relate subject to all of the terms and conditions of the Post Nonqualified Plans.</w:t>
      </w:r>
    </w:p>
    <w:p>
      <w:pPr>
        <w:spacing w:after="0" w:line="185" w:lineRule="exact"/>
        <w:rPr>
          <w:rFonts w:ascii="Arial" w:cs="Arial" w:eastAsia="Arial" w:hAnsi="Arial"/>
          <w:sz w:val="18"/>
          <w:szCs w:val="18"/>
          <w:color w:val="auto"/>
        </w:rPr>
      </w:pPr>
    </w:p>
    <w:p>
      <w:pPr>
        <w:ind w:left="-20" w:right="280" w:firstLine="981"/>
        <w:spacing w:after="0" w:line="259" w:lineRule="auto"/>
        <w:tabs>
          <w:tab w:leader="none" w:pos="13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Should BellRing Inc. or any member of the BellRing Group adopt a nonqualified deferred compensation plan for employees, BellRing Inc. (or the applicable member of the BellRing Group that adopted such plan) agrees to assume all Liabilities associated with payment of account balances attributable to BellRing Employees or Former BellRing Employees under the Post Nonqualified Plans, all in accordance with Code Section 409A.</w:t>
      </w:r>
    </w:p>
    <w:p>
      <w:pPr>
        <w:spacing w:after="0" w:line="185" w:lineRule="exact"/>
        <w:rPr>
          <w:rFonts w:ascii="Arial" w:cs="Arial" w:eastAsia="Arial" w:hAnsi="Arial"/>
          <w:sz w:val="18"/>
          <w:szCs w:val="18"/>
          <w:color w:val="auto"/>
        </w:rPr>
      </w:pPr>
    </w:p>
    <w:p>
      <w:pPr>
        <w:ind w:left="-20" w:right="80" w:firstLine="981"/>
        <w:spacing w:after="0" w:line="255" w:lineRule="auto"/>
        <w:tabs>
          <w:tab w:leader="none" w:pos="13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BellRing Inc. shall establish and adopt, effective January 1, 2020, a non-qualified deferred compensation plan for eligible members of its Board of Directors (the “</w:t>
      </w:r>
      <w:r>
        <w:rPr>
          <w:rFonts w:ascii="Arial" w:cs="Arial" w:eastAsia="Arial" w:hAnsi="Arial"/>
          <w:sz w:val="18"/>
          <w:szCs w:val="18"/>
          <w:u w:val="single" w:color="auto"/>
          <w:color w:val="auto"/>
        </w:rPr>
        <w:t>BellRing Directors’ Deferred Compensation Plan</w:t>
      </w:r>
      <w:r>
        <w:rPr>
          <w:rFonts w:ascii="Arial" w:cs="Arial" w:eastAsia="Arial" w:hAnsi="Arial"/>
          <w:sz w:val="18"/>
          <w:szCs w:val="18"/>
          <w:color w:val="auto"/>
        </w:rPr>
        <w:t>”), and shall ensure that the terms of the BellRing Brands, Inc. Directors’ Deferred Compensation Plan proposed to be adopted are largely based on those of the Post Holdings, Inc. Deferred Compensation Plan for Non-Management Directors. Upon the adoption of the BellRing Brands, Inc. Directors’ Deferred Compensation Plan, BellRing Inc. shall permit and facilitate the participation in such plan of eligible directors of BellRing Inc. BellRing Inc. shall be responsible for any payments due under or Liabilities associated with the BellRing Directors’ Deferred Compensation Plan.</w:t>
      </w:r>
    </w:p>
    <w:p>
      <w:pPr>
        <w:spacing w:after="0" w:line="299"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Equity Compensation/SEC Registration</w:t>
      </w:r>
      <w:r>
        <w:rPr>
          <w:rFonts w:ascii="Arial" w:cs="Arial" w:eastAsia="Arial" w:hAnsi="Arial"/>
          <w:sz w:val="16"/>
          <w:szCs w:val="16"/>
          <w:color w:val="auto"/>
        </w:rPr>
        <w:t>.</w:t>
      </w:r>
    </w:p>
    <w:p>
      <w:pPr>
        <w:spacing w:after="0" w:line="117" w:lineRule="exact"/>
        <w:rPr>
          <w:sz w:val="20"/>
          <w:szCs w:val="20"/>
          <w:color w:val="auto"/>
        </w:rPr>
      </w:pPr>
    </w:p>
    <w:p>
      <w:pPr>
        <w:ind w:left="-20" w:right="40" w:firstLine="981"/>
        <w:spacing w:after="0" w:line="290" w:lineRule="auto"/>
        <w:tabs>
          <w:tab w:leader="none" w:pos="135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BellRing Inc. agrees to use commercially reasonable efforts to maintain effective registration statements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with respect to the BellRing Brands, Inc. 2019 Long-Term Incentive Plan (the “</w:t>
      </w:r>
      <w:r>
        <w:rPr>
          <w:rFonts w:ascii="Arial" w:cs="Arial" w:eastAsia="Arial" w:hAnsi="Arial"/>
          <w:sz w:val="16"/>
          <w:szCs w:val="16"/>
          <w:u w:val="single" w:color="auto"/>
          <w:color w:val="auto"/>
        </w:rPr>
        <w:t>BellRing LTIP</w:t>
      </w:r>
      <w:r>
        <w:rPr>
          <w:rFonts w:ascii="Arial" w:cs="Arial" w:eastAsia="Arial" w:hAnsi="Arial"/>
          <w:sz w:val="16"/>
          <w:szCs w:val="16"/>
          <w:color w:val="auto"/>
        </w:rPr>
        <w:t>”) and any successor plan and any equity awards issued under the BellRing LTIP and any successor plan, to the extent any such registration statement is required by applicable Law. BellRing Inc. shall be responsible for taking all appropriate action (i) to operate the BellRing LTIP and any successor plan so that they comply with applicable Law, including compliance with, and qualification under, Section 16 of the Securities Exchange Act of 1934, as amended; (ii) to the extent shares for issuance under the BellRing LTIP are not already registered as of the IPO Closing Date, to timely register shares for issuance under the BellRing LTIP, including the filing of a registration statement on an appropriate form with the SEC; and (iii) to timely register shares for issuance under any successor plan to the BellRing LTIP, including the filing of a registration statement on an appropriate form with the SEC.</w:t>
      </w:r>
    </w:p>
    <w:p>
      <w:pPr>
        <w:spacing w:after="0" w:line="163" w:lineRule="exact"/>
        <w:rPr>
          <w:rFonts w:ascii="Arial" w:cs="Arial" w:eastAsia="Arial" w:hAnsi="Arial"/>
          <w:sz w:val="16"/>
          <w:szCs w:val="16"/>
          <w:color w:val="auto"/>
        </w:rPr>
      </w:pPr>
    </w:p>
    <w:p>
      <w:pPr>
        <w:ind w:left="-20" w:right="20" w:firstLine="981"/>
        <w:spacing w:after="0" w:line="254" w:lineRule="auto"/>
        <w:tabs>
          <w:tab w:leader="none" w:pos="135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With respect to restricted stock unit awards and nonqualified stock option awards issued to employees of BellRing LLC or any member of the BellRing Group (or such entities’ predecessors) under the Post 2012 Long-Term Incentive Plan, the Post 2016 Long-Term Incentive Plan and/or the Post 2019 Long-Term Incentive Plan (each or all, the “</w:t>
      </w:r>
      <w:r>
        <w:rPr>
          <w:rFonts w:ascii="Arial" w:cs="Arial" w:eastAsia="Arial" w:hAnsi="Arial"/>
          <w:sz w:val="18"/>
          <w:szCs w:val="18"/>
          <w:u w:val="single" w:color="auto"/>
          <w:color w:val="auto"/>
        </w:rPr>
        <w:t>Post LTIP</w:t>
      </w:r>
      <w:r>
        <w:rPr>
          <w:rFonts w:ascii="Arial" w:cs="Arial" w:eastAsia="Arial" w:hAnsi="Arial"/>
          <w:sz w:val="18"/>
          <w:szCs w:val="18"/>
          <w:color w:val="auto"/>
        </w:rPr>
        <w:t>”) which awards remain unsettled or outstanding as of the IPO Closing Date and any awards made to employees of BellRing Inc., BellRing LLC or a member of the BellRing Group under the Post LTIP or its successor LTIP made after the IPO Closing Date (“</w:t>
      </w:r>
      <w:r>
        <w:rPr>
          <w:rFonts w:ascii="Arial" w:cs="Arial" w:eastAsia="Arial" w:hAnsi="Arial"/>
          <w:sz w:val="18"/>
          <w:szCs w:val="18"/>
          <w:u w:val="single" w:color="auto"/>
          <w:color w:val="auto"/>
        </w:rPr>
        <w:t>Outstanding Post Awards</w:t>
      </w:r>
      <w:r>
        <w:rPr>
          <w:rFonts w:ascii="Arial" w:cs="Arial" w:eastAsia="Arial" w:hAnsi="Arial"/>
          <w:sz w:val="18"/>
          <w:szCs w:val="18"/>
          <w:color w:val="auto"/>
        </w:rPr>
        <w:t>”): (i) such Outstanding Post Awards shall vest or continue to vest and be settled or forfeited according to their terms, or (ii) later, following the Effective Time, if legally permissible as determined by Post, and in the determination of the Post Board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80" w:top="274" w:right="459" w:bottom="1440" w:gutter="0" w:footer="0" w:header="0"/>
        </w:sectPr>
      </w:pPr>
    </w:p>
    <w:bookmarkStart w:id="329" w:name="page330"/>
    <w:bookmarkEnd w:id="32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or its Corporate Governance and Compensation Committee, and agreed to by the BellRing Inc. Board of Directors, be converted (in whole or in part, as applicable) into awards issued under the BellRing LTIP or any successor thereto, all according to the terms of the applicable Post LTIP and award agreement and the applicable BellRing LTIP and award agreement, it being understood that all or any portion of such Outstanding Post Award that is elected to be converted into awards issued under the BellRing LTIP or any successor thereto shall be forfeited under the applicable Post LTIP in exchange for such awards issued under the BellRing LTIP. Notwithstanding anything to the contrary in the foregoing, Post’s Board of Directors or its Corporate Governance and Compensation Committee shall have the exclusive authority to determine the treatment of any Outstanding Post Awards in the event of a subsequent spin-off or sale of Post’s retained interest in BellRing Inc. and its Subsidiaries consistent with the terms of the Post LTIP or its successor LTIP and award agreements applicable thereunder.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CANADIAN EMPLOYMENT MATTERS</w:t>
      </w:r>
    </w:p>
    <w:p>
      <w:pPr>
        <w:spacing w:after="0" w:line="210"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Canadian Benefit Plans</w:t>
      </w:r>
      <w:r>
        <w:rPr>
          <w:rFonts w:ascii="Arial" w:cs="Arial" w:eastAsia="Arial" w:hAnsi="Arial"/>
          <w:sz w:val="16"/>
          <w:szCs w:val="16"/>
          <w:color w:val="auto"/>
        </w:rPr>
        <w:t>.</w:t>
      </w:r>
    </w:p>
    <w:p>
      <w:pPr>
        <w:spacing w:after="0" w:line="117" w:lineRule="exact"/>
        <w:rPr>
          <w:sz w:val="20"/>
          <w:szCs w:val="20"/>
          <w:color w:val="auto"/>
        </w:rPr>
      </w:pPr>
    </w:p>
    <w:p>
      <w:pPr>
        <w:ind w:right="20" w:firstLine="981"/>
        <w:spacing w:after="0" w:line="270" w:lineRule="auto"/>
        <w:tabs>
          <w:tab w:leader="none" w:pos="13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As of the IPO Closing Date, certain employees located in Canada employed by a Canadian Subsidiary of Post are performing work in Canada exclusively for the BellRing Group (the “</w:t>
      </w:r>
      <w:r>
        <w:rPr>
          <w:rFonts w:ascii="Arial" w:cs="Arial" w:eastAsia="Arial" w:hAnsi="Arial"/>
          <w:sz w:val="17"/>
          <w:szCs w:val="17"/>
          <w:u w:val="single" w:color="auto"/>
          <w:color w:val="auto"/>
        </w:rPr>
        <w:t>Canadian Employees</w:t>
      </w:r>
      <w:r>
        <w:rPr>
          <w:rFonts w:ascii="Arial" w:cs="Arial" w:eastAsia="Arial" w:hAnsi="Arial"/>
          <w:sz w:val="17"/>
          <w:szCs w:val="17"/>
          <w:color w:val="auto"/>
        </w:rPr>
        <w:t>”). Post may determine, in its sole discretion, to cease the participation of the Canadian Employees in (i) the Post Foods Canada Inc. Retirement Plan for Canadian Employees maintained by Post or the Post Group (the “</w:t>
      </w:r>
      <w:r>
        <w:rPr>
          <w:rFonts w:ascii="Arial" w:cs="Arial" w:eastAsia="Arial" w:hAnsi="Arial"/>
          <w:sz w:val="17"/>
          <w:szCs w:val="17"/>
          <w:u w:val="single" w:color="auto"/>
          <w:color w:val="auto"/>
        </w:rPr>
        <w:t>Post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Canadian Defined Contribution Plan</w:t>
      </w:r>
      <w:r>
        <w:rPr>
          <w:rFonts w:ascii="Arial" w:cs="Arial" w:eastAsia="Arial" w:hAnsi="Arial"/>
          <w:sz w:val="17"/>
          <w:szCs w:val="17"/>
          <w:color w:val="auto"/>
        </w:rPr>
        <w:t>”) and/or (ii) the Canadian health and welfare plans maintained by Post or the Post Group (the “</w:t>
      </w:r>
      <w:r>
        <w:rPr>
          <w:rFonts w:ascii="Arial" w:cs="Arial" w:eastAsia="Arial" w:hAnsi="Arial"/>
          <w:sz w:val="17"/>
          <w:szCs w:val="17"/>
          <w:u w:val="single" w:color="auto"/>
          <w:color w:val="auto"/>
        </w:rPr>
        <w:t>Post Canadian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Health and Welfare Benefit Plan</w:t>
      </w:r>
      <w:r>
        <w:rPr>
          <w:rFonts w:ascii="Arial" w:cs="Arial" w:eastAsia="Arial" w:hAnsi="Arial"/>
          <w:sz w:val="17"/>
          <w:szCs w:val="17"/>
          <w:color w:val="auto"/>
        </w:rPr>
        <w:t>”) if (A) Post otherwise determines that it would be legally inadvisable with respect to Post, the Post Group or the Post Canadian Defined Contribution Plan or the Post Canadian Health and Welfare Benefit Plan to continue to permit such plan participation or (B) such Canadian Subsidiary of Post is no longer at least 50% owned or controlled by Post. Notwithstanding the foregoing, any continued participation of Canadian Employees in the Post Canadian Defined Contribution Plan or the Post Canadian Health and Welfare Plan is subject to the complete terms of the applicable plan.</w:t>
      </w:r>
    </w:p>
    <w:p>
      <w:pPr>
        <w:spacing w:after="0" w:line="179" w:lineRule="exact"/>
        <w:rPr>
          <w:rFonts w:ascii="Arial" w:cs="Arial" w:eastAsia="Arial" w:hAnsi="Arial"/>
          <w:sz w:val="17"/>
          <w:szCs w:val="17"/>
          <w:color w:val="auto"/>
        </w:rPr>
      </w:pPr>
    </w:p>
    <w:p>
      <w:pPr>
        <w:ind w:right="360" w:firstLine="981"/>
        <w:spacing w:after="0" w:line="259" w:lineRule="auto"/>
        <w:tabs>
          <w:tab w:leader="none" w:pos="13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BellRing LLC shall be responsible for: (i) any and all claims and Liabilities attributable to the Canadian Employees’ (and their dependents’ and beneficiaries’) participation in the Post Canadian Health and Welfare Benefit Plan incurred prior to their ceasing participation, no matter when such claims are filed, reported or payable, and (ii) any and all claims or Liabilities attributable to the employment of the Canadian Employees.</w:t>
      </w:r>
    </w:p>
    <w:p>
      <w:pPr>
        <w:spacing w:after="0" w:line="186"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Services of Canadian Employees</w:t>
      </w:r>
      <w:r>
        <w:rPr>
          <w:rFonts w:ascii="Arial" w:cs="Arial" w:eastAsia="Arial" w:hAnsi="Arial"/>
          <w:sz w:val="16"/>
          <w:szCs w:val="16"/>
          <w:color w:val="auto"/>
        </w:rPr>
        <w:t>. In the event that Post’s Canadian Subsidiary terminates the employment of the Canadian Employees (other than in connection with Section 4.1(a)(B) above), Post shall work with its Canadian Subsidiary to hire employee(s) in Canada in order to fulfill Post’s obligations as a Service Provider (as such term is defined under the Master Services Agreement) under the Master Services Agreement.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3" w:right="45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COSTS AND LIABILITIES</w:t>
      </w:r>
    </w:p>
    <w:p>
      <w:pPr>
        <w:spacing w:after="0" w:line="21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Self-funded Workers Compensation and Benefits/Compensation Costs</w:t>
      </w:r>
      <w:r>
        <w:rPr>
          <w:rFonts w:ascii="Arial" w:cs="Arial" w:eastAsia="Arial" w:hAnsi="Arial"/>
          <w:sz w:val="16"/>
          <w:szCs w:val="16"/>
          <w:color w:val="auto"/>
        </w:rPr>
        <w:t>.</w:t>
      </w:r>
    </w:p>
    <w:p>
      <w:pPr>
        <w:spacing w:after="0" w:line="117" w:lineRule="exact"/>
        <w:rPr>
          <w:sz w:val="20"/>
          <w:szCs w:val="20"/>
          <w:color w:val="auto"/>
        </w:rPr>
      </w:pPr>
    </w:p>
    <w:p>
      <w:pPr>
        <w:ind w:left="1360" w:hanging="379"/>
        <w:spacing w:after="0"/>
        <w:tabs>
          <w:tab w:leader="none" w:pos="13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For so long as BellRing Inc. or any member of the BellRing Group continues to participate in, or the Canadian Employees participate</w:t>
      </w:r>
    </w:p>
    <w:p>
      <w:pPr>
        <w:spacing w:after="0" w:line="46"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in: (i) any workers compensation programs of Post or any member of the Post Group that are not insured, (ii) any health and welfare plans of Post or any member of the Post Group (whether self-funded or insured, and including but not necessarily limited to the Post H&amp;W Plan and the Post Canadian Health and Welfare Benefit Plan, and for the sake of clarity, including any COBRA participation), (iii) severance plans or programs of Post or any member of the Post Group, (iv) the Post SIP, (v) the Post Nonqualified Plans or (vi) the Post Canadian Defined Contribution Plan, Post shall allocate or pass through, as applicable, the premiums, claims and other costs under any such program or plan, as applicable, to BellRing Inc. and members of the BellRing Group in the same manner that Post administers and allocates or passes through such premiums, claims and costs thereunder to members of the BellRing Group as of the date of this Agreement.</w:t>
      </w:r>
    </w:p>
    <w:p>
      <w:pPr>
        <w:spacing w:after="0" w:line="178" w:lineRule="exact"/>
        <w:rPr>
          <w:rFonts w:ascii="Arial" w:cs="Arial" w:eastAsia="Arial" w:hAnsi="Arial"/>
          <w:sz w:val="16"/>
          <w:szCs w:val="16"/>
          <w:color w:val="auto"/>
        </w:rPr>
      </w:pPr>
    </w:p>
    <w:p>
      <w:pPr>
        <w:ind w:right="60" w:firstLine="981"/>
        <w:spacing w:after="0" w:line="275" w:lineRule="auto"/>
        <w:tabs>
          <w:tab w:leader="none" w:pos="13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BellRing Inc. and BellRing LLC may elect to discontinue their and any member of the BellRing Group’s participation in Post’s workers compensation programs that are not insured, provided that BellRing Inc. or BellRing LLC gives Post written notice of such election at least ninety (90) days prior to such discontinuance. BellRing Inc. and BellRing LLC will provide Post with all information reasonably requested by Post as it relates to BellRing Inc. and its Subsidiaries’ participation in Post’s workers compensation insurance programs, its withdrawal therefrom or its participation in its own workers compensation insurance programs, subject to the terms of the Master Services Agreement.</w:t>
      </w:r>
    </w:p>
    <w:p>
      <w:pPr>
        <w:spacing w:after="0" w:line="175" w:lineRule="exact"/>
        <w:rPr>
          <w:rFonts w:ascii="Arial" w:cs="Arial" w:eastAsia="Arial" w:hAnsi="Arial"/>
          <w:sz w:val="17"/>
          <w:szCs w:val="17"/>
          <w:color w:val="auto"/>
        </w:rPr>
      </w:pPr>
    </w:p>
    <w:p>
      <w:pPr>
        <w:ind w:firstLine="981"/>
        <w:spacing w:after="0" w:line="275" w:lineRule="auto"/>
        <w:tabs>
          <w:tab w:leader="none" w:pos="13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As the Outstanding Post Awards are equity compensation for services rendered to BellRing LLC or member(s) of the BellRing Group (or their predecessors), the monthly actual expense and the employer-related payroll expense of the Outstanding Post Awards while outstanding and due to their settlement and/or exercise shall be borne by BellRing LLC or a member of the BellRing Group. The actual expense of the Outstanding Post Awards while outstanding will be allocated to BellRing LLC or one or more member(s) of the BellRing Group through a monthly cash settlement process via cash-settlement inter-company accounts or through any other applicable related-party accounts.</w:t>
      </w:r>
    </w:p>
    <w:p>
      <w:pPr>
        <w:spacing w:after="0" w:line="175" w:lineRule="exact"/>
        <w:rPr>
          <w:rFonts w:ascii="Arial" w:cs="Arial" w:eastAsia="Arial" w:hAnsi="Arial"/>
          <w:sz w:val="17"/>
          <w:szCs w:val="17"/>
          <w:color w:val="auto"/>
        </w:rPr>
      </w:pPr>
    </w:p>
    <w:p>
      <w:pPr>
        <w:ind w:right="260" w:firstLine="981"/>
        <w:spacing w:after="0" w:line="263" w:lineRule="auto"/>
        <w:tabs>
          <w:tab w:leader="none" w:pos="13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BellRing LLC or the applicable employer member of the BellRing Group shall remain responsible for payment of any short-term incentive/annual bonuses or any other bonuses, incentives, performance-based compensation, or other perquisites payable to employees employed by BellRing LLC or a member of the BellRing Group.</w:t>
      </w:r>
    </w:p>
    <w:p>
      <w:pPr>
        <w:spacing w:after="0" w:line="29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Liabilities</w:t>
      </w:r>
      <w:r>
        <w:rPr>
          <w:rFonts w:ascii="Arial" w:cs="Arial" w:eastAsia="Arial" w:hAnsi="Arial"/>
          <w:sz w:val="17"/>
          <w:szCs w:val="17"/>
          <w:color w:val="auto"/>
        </w:rPr>
        <w:t>.</w:t>
      </w:r>
    </w:p>
    <w:p>
      <w:pPr>
        <w:spacing w:after="0" w:line="117" w:lineRule="exact"/>
        <w:rPr>
          <w:sz w:val="20"/>
          <w:szCs w:val="20"/>
          <w:color w:val="auto"/>
        </w:rPr>
      </w:pPr>
    </w:p>
    <w:p>
      <w:pPr>
        <w:ind w:right="40" w:firstLine="981"/>
        <w:spacing w:after="0" w:line="254" w:lineRule="auto"/>
        <w:tabs>
          <w:tab w:leader="none" w:pos="13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of the Effective Time, except as otherwise expressly provided for in this Agreement, BellRing LLC shall, or shall cause one or more members of the BellRing Group to, assume or retain, as applicable, and BellRing LLC shall, or shall cause one or more members of the BellRing Group, to pay, perform, fulfill and discharge, in due course in full (i) all Liabilities, whenever incurred, under all BellRing Benefit Plans and (ii) all Liabilities, whenever incurred, with respect to the employment, service, termination of employment or termination of service of all BellRing Employees and of all Former BellRing Employees, and the respective dependents and beneficiaries of such BellRing Employees and Former BellRing Employees;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if the BellRing Employee or Former BellRing Employee to which any such Liability relates is or was an employee or service provider exclusively of BellRing Inc. at the time such Liability arose, BellRing Inc. shall pay, perform, fulfill and discharge, in due course in full, such Liability.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3" w:right="459" w:bottom="1440" w:gutter="0" w:footer="0" w:header="0"/>
        </w:sectPr>
      </w:pPr>
    </w:p>
    <w:bookmarkStart w:id="331" w:name="page332"/>
    <w:bookmarkEnd w:id="331"/>
    <w:p>
      <w:pPr>
        <w:ind w:firstLine="981"/>
        <w:spacing w:after="0" w:line="255" w:lineRule="auto"/>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after the Effective Time, BellRing LLC (acting directly or through a member of the BellRing Group) shall promptly reimburse Post, upon Post’s reasonable request and the presentation by Post of such substantiating documentation as the payor may reasonably request, for the cost of any Liabilities satisfied by Post or any member of the Post Group that are, pursuant to this Agreement, the responsibility of BellRing Inc. or BellRing LLC or any member of the BellRing Group;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if the BellRing Employee or Former BellRing Employee to which any such Liability relates is or was an employee or service provider exclusively of BellRing, Inc. at the time such Liability arose, BellRing Inc. shall reimburse Post for the cost of such Liabilities.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Sharing of Information</w:t>
      </w:r>
      <w:r>
        <w:rPr>
          <w:rFonts w:ascii="Arial" w:cs="Arial" w:eastAsia="Arial" w:hAnsi="Arial"/>
          <w:sz w:val="17"/>
          <w:szCs w:val="17"/>
          <w:color w:val="auto"/>
        </w:rPr>
        <w:t>. Subject to any limitations imposed by applicable Law, Post, BellRing Inc. and BellRing LLC (acting directly or through members of the Post Group or the BellRing Group, respectively) shall provide to the other and their respective representatives, agents and vendors all information relevant to the performance of the parties to this Agreement. Post, BellRing Inc. and BellRing LLC also hereby agree to enter into, or cause the applicable member of the BellRing Group to enter into, any business associate agreements that may be required for the sharing of any information pursuant to this Agreement to comply with the requirements of HIPAA.</w:t>
      </w:r>
    </w:p>
    <w:p>
      <w:pPr>
        <w:spacing w:after="0" w:line="17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Post Benefit Plans/Right to Amend</w:t>
      </w:r>
      <w:r>
        <w:rPr>
          <w:rFonts w:ascii="Arial" w:cs="Arial" w:eastAsia="Arial" w:hAnsi="Arial"/>
          <w:sz w:val="18"/>
          <w:szCs w:val="18"/>
          <w:color w:val="auto"/>
        </w:rPr>
        <w:t>. Nothing in this Agreement shall prohibit Post or any other member of the Post Group from amending, modifying or terminating any Post Benefit Plan at any time within its sole discretion, provided that any such amendment, modification or termination shall not relieve Post from any obligation herein.</w:t>
      </w:r>
    </w:p>
    <w:p>
      <w:pPr>
        <w:spacing w:after="0" w:line="183"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Consent of Third Parties</w:t>
      </w:r>
      <w:r>
        <w:rPr>
          <w:rFonts w:ascii="Arial" w:cs="Arial" w:eastAsia="Arial" w:hAnsi="Arial"/>
          <w:sz w:val="17"/>
          <w:szCs w:val="17"/>
          <w:color w:val="auto"/>
        </w:rPr>
        <w:t>. If any provision of this Agreement is dependent on the consent of a third party and such consent is withheld, the parties to this Agreement shall use their commercially reasonable efforts to implement the applicable provisions of this Agreement to the fullest extent practicable. If any provision of this Agreement cannot be implemented due to the failure to obtain any such third party consent, the parties to this Agreement shall negotiate in good faith to implement the provision in a mutually satisfactory manner.</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 The parties to this Agreement shall, in connection with the actions taken pursuant to this Agreement, reasonably cooperate in making any and all appropriate filings required under the Code, ERISA and any applicable securities Laws.</w:t>
      </w:r>
    </w:p>
    <w:p>
      <w:pPr>
        <w:spacing w:after="0" w:line="170"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Fiduciary Matters</w:t>
      </w:r>
      <w:r>
        <w:rPr>
          <w:rFonts w:ascii="Arial" w:cs="Arial" w:eastAsia="Arial" w:hAnsi="Arial"/>
          <w:sz w:val="16"/>
          <w:szCs w:val="16"/>
          <w:color w:val="auto"/>
        </w:rPr>
        <w:t>. It is acknowledged that actions required to be taken pursuant to this Agreement may be subject to fiduciary duties or standards of conduct under ERISA, and no party to this Agreement shall be deemed to be in violation of this Agreement if it fails to comply with any provisions hereof based upon its good faith determination that to do so would violate such a fiduciary duty or standard. Each party to this Agreement shall be responsible for taking such actions as are deemed necessary and appropriate to comply with its own fiduciary responsibilities and shall fully release and indemnify the other party hereto for any Liabilities caused by the failure to satisfy any such responsibility.</w:t>
      </w:r>
    </w:p>
    <w:p>
      <w:pPr>
        <w:spacing w:after="0" w:line="160"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The provisions of this Agreement are solely for the benefit of the parties hereto (and the other members of the Post Group and the BellRing Group) and nothing in this Agreement, express or implied, is intended to or shall confer upon any other Person or Persons any rights, benefits or remedies of any nature whatsoever under or by reason of this Agreement, including any employee, former employee or service provider (and each of the foregoing Person’s dependents and beneficiaries) of the Post Group, BellRing Inc. or the BellRing Group. Furthermore, nothing in this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332" w:name="page333"/>
    <w:bookmarkEnd w:id="33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is (a) intended to confer upon any employee or former employee of Post, BellRing Inc. or any member of the Post Group or the BellRing Group any right to continued employment, or any recall or similar rights to an individual on layoff or any type of leave, or (b) to be construed to relieve any insurance company of any responsibility for any employee benefit under any Benefit Plan or any other Liability. Nothing in this Agreement is intended as an amendment to any Benefit Plan or employment practice.</w:t>
      </w:r>
    </w:p>
    <w:p>
      <w:pPr>
        <w:spacing w:after="0" w:line="18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Relation to Other Transaction Documents</w:t>
      </w:r>
      <w:r>
        <w:rPr>
          <w:rFonts w:ascii="Arial" w:cs="Arial" w:eastAsia="Arial" w:hAnsi="Arial"/>
          <w:sz w:val="17"/>
          <w:szCs w:val="17"/>
          <w:color w:val="auto"/>
        </w:rPr>
        <w:t>. In the event of a conflict between this Agreement and the Transaction Agreement, this Agreement shall control. This Agreement, together with the applicable portions of the Transaction Agreement and the Master Services Agreement, constitute the entire agreement between the parties to this Agreement with respect to the subject matter of this Agreement.</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This Agreement constitutes an “Ancillary Agreement” as defined by the Transaction Agreement, and any provision of the Transaction Agreement which applies to an Ancillary Agreement shall be deemed to be incorporated herein by reference as though set forth herein, </w:t>
      </w:r>
      <w:r>
        <w:rPr>
          <w:rFonts w:ascii="Arial" w:cs="Arial" w:eastAsia="Arial" w:hAnsi="Arial"/>
          <w:sz w:val="18"/>
          <w:szCs w:val="18"/>
          <w:i w:val="1"/>
          <w:iCs w:val="1"/>
          <w:color w:val="auto"/>
        </w:rPr>
        <w:t>mutatis mutandis</w:t>
      </w:r>
      <w:r>
        <w:rPr>
          <w:rFonts w:ascii="Arial" w:cs="Arial" w:eastAsia="Arial" w:hAnsi="Arial"/>
          <w:sz w:val="18"/>
          <w:szCs w:val="18"/>
          <w:color w:val="auto"/>
        </w:rPr>
        <w:t>, and made a part of this Agreement.</w:t>
      </w:r>
    </w:p>
    <w:p>
      <w:pPr>
        <w:spacing w:after="0" w:line="183"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Effective Date of this Agreement</w:t>
      </w:r>
      <w:r>
        <w:rPr>
          <w:rFonts w:ascii="Arial" w:cs="Arial" w:eastAsia="Arial" w:hAnsi="Arial"/>
          <w:sz w:val="18"/>
          <w:szCs w:val="18"/>
          <w:color w:val="auto"/>
        </w:rPr>
        <w:t>. Once executed by Post, BellRing Inc. and BellRing LLC, this Agreement shall be effective upon the Effective Time.</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modified or supplemented except by a written instrument signed by an authorized representative of each of Post, BellRing Inc. and BellRing LLC. Notwithstanding the foregoing, in the event that BellRing Inc. directly or indirectly acquires or creates a subsidiary which is not otherwise a direct or indirect subsidiary of BellRing LLC and which employs employees, the parties to this Agreement agree to re-negotiate this Agreement in good faith in order to, among other items, reflect that BellRing Inc. or such new subsidiary shall be responsible for Liabilities associated with such employees, including but not limited to their (and their dependents’) participation in BellRing Benefit Plans and/or Post Benefit Plans.</w:t>
      </w:r>
    </w:p>
    <w:p>
      <w:pPr>
        <w:spacing w:after="0" w:line="299"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17" w:lineRule="exact"/>
        <w:rPr>
          <w:sz w:val="20"/>
          <w:szCs w:val="20"/>
          <w:color w:val="auto"/>
        </w:rPr>
      </w:pPr>
    </w:p>
    <w:p>
      <w:pPr>
        <w:ind w:left="1360" w:hanging="379"/>
        <w:spacing w:after="0"/>
        <w:tabs>
          <w:tab w:leader="none" w:pos="13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Except as provided in subsection (b) below, this Agreement may be terminated only by the mutual consent of each of the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300" w:firstLine="981"/>
        <w:spacing w:after="0" w:line="286" w:lineRule="auto"/>
        <w:tabs>
          <w:tab w:leader="none" w:pos="13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Upon the occurrence of a Change of Control (as defined in this Agreement) of BellRing Inc. or BellRing LLC, or upon the occurrence of a change in control (as defined in the Post Holdings, Inc. 2019 Long-Term Incentive Plan) of Post, Post or its successor, as applicable, shall have the right, upon delivery of written notice to BellRing Inc. and BellRing LLC, to terminate this Agreement.</w:t>
      </w:r>
    </w:p>
    <w:p>
      <w:pPr>
        <w:spacing w:after="0" w:line="165"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expressly set forth in this Agreement, the provisions contained in:</w:t>
      </w:r>
    </w:p>
    <w:p>
      <w:pPr>
        <w:spacing w:after="0" w:line="225" w:lineRule="exact"/>
        <w:rPr>
          <w:sz w:val="20"/>
          <w:szCs w:val="20"/>
          <w:color w:val="auto"/>
        </w:rPr>
      </w:pPr>
    </w:p>
    <w:p>
      <w:pPr>
        <w:ind w:firstLine="981"/>
        <w:spacing w:after="0" w:line="311" w:lineRule="auto"/>
        <w:tabs>
          <w:tab w:leader="none" w:pos="137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Sections 2.2(b) (Health and Welfare Liabilities), 3.1(b) (Nonqualified Deferred Compensation Liabilities), 3.2(b)(ii) (Outstanding Post Awards – Potential Later Conversion), 4.1(b) (Canadian Liabilities), 5.1(a), 5.1(c) and 5.1(d) (Certain Benefit and Program Costs), 5.2 (Liabilities), 6.5 (Fiduciary Matters) and 6.6 (No Third-Party Rights) of this Agreement any Liabilities for the breach of any obligations contained herein;</w:t>
      </w:r>
    </w:p>
    <w:p>
      <w:pPr>
        <w:spacing w:after="0" w:line="148" w:lineRule="exact"/>
        <w:rPr>
          <w:rFonts w:ascii="Arial" w:cs="Arial" w:eastAsia="Arial" w:hAnsi="Arial"/>
          <w:sz w:val="16"/>
          <w:szCs w:val="16"/>
          <w:color w:val="auto"/>
        </w:rPr>
      </w:pPr>
    </w:p>
    <w:p>
      <w:pPr>
        <w:ind w:right="240" w:firstLine="981"/>
        <w:spacing w:after="0" w:line="341" w:lineRule="auto"/>
        <w:tabs>
          <w:tab w:leader="none" w:pos="137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Article V (Mutual Releases; Indemnification), Article VIII (Dispute Resolution) and Sections 9.4 (Governing Law), 9.7 (Notices), and 9.17(b) (No Recourse) of the Transaction Agreement incorporated herein by reference (as set forth in Section 6.8 of this Agreement); and</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333" w:name="page334"/>
    <w:bookmarkEnd w:id="333"/>
    <w:p>
      <w:pPr>
        <w:ind w:firstLine="981"/>
        <w:spacing w:after="0" w:line="277" w:lineRule="auto"/>
        <w:tabs>
          <w:tab w:leader="none" w:pos="1370"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provision of the Transaction Agreement incorporated herein by reference which survives the Formation Transactions and the IPO, or the termination or expiration of the Transaction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survive the termination or expiration of this Agreement and shall remain in full force and effect.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0"/>
          </w:cols>
          <w:pgMar w:left="460" w:top="274" w:right="659" w:bottom="1440" w:gutter="0" w:footer="0" w:header="0"/>
        </w:sectPr>
      </w:pPr>
    </w:p>
    <w:bookmarkStart w:id="334" w:name="page335"/>
    <w:bookmarkEnd w:id="334"/>
    <w:p>
      <w:pPr>
        <w:ind w:firstLine="4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to this Agreement have caused this Agreement to be signed by their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14605</wp:posOffset>
            </wp:positionV>
            <wp:extent cx="23983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Employee Matters Agreement]</w:t>
      </w:r>
    </w:p>
    <w:p>
      <w:pPr>
        <w:sectPr>
          <w:pgSz w:w="11900" w:h="16838" w:orient="portrait"/>
          <w:cols w:equalWidth="0" w:num="1">
            <w:col w:w="10780"/>
          </w:cols>
          <w:pgMar w:left="460" w:top="270" w:right="65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INVESTOR RIGHTS AGREEMENT</w:t>
      </w:r>
    </w:p>
    <w:p>
      <w:pPr>
        <w:spacing w:after="0" w:line="2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4820" w:hanging="81"/>
        <w:spacing w:after="0"/>
        <w:tabs>
          <w:tab w:leader="none" w:pos="48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2019</w:t>
      </w:r>
    </w:p>
    <w:p>
      <w:pPr>
        <w:spacing w:after="0" w:line="224" w:lineRule="exact"/>
        <w:rPr>
          <w:rFonts w:ascii="Arial" w:cs="Arial" w:eastAsia="Arial" w:hAnsi="Arial"/>
          <w:sz w:val="18"/>
          <w:szCs w:val="18"/>
          <w:color w:val="auto"/>
        </w:rPr>
      </w:pPr>
    </w:p>
    <w:p>
      <w:pPr>
        <w:ind w:left="4260"/>
        <w:spacing w:after="0"/>
        <w:rPr>
          <w:rFonts w:ascii="Arial" w:cs="Arial" w:eastAsia="Arial" w:hAnsi="Arial"/>
          <w:sz w:val="18"/>
          <w:szCs w:val="18"/>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POST HOLDINGS, INC.</w:t>
      </w:r>
    </w:p>
    <w:p>
      <w:pPr>
        <w:sectPr>
          <w:pgSz w:w="11900" w:h="16838" w:orient="portrait"/>
          <w:cols w:equalWidth="0" w:num="1">
            <w:col w:w="10020"/>
          </w:cols>
          <w:pgMar w:left="1440" w:top="121" w:right="439" w:bottom="1440" w:gutter="0" w:footer="0" w:header="0"/>
        </w:sectPr>
      </w:pPr>
    </w:p>
    <w:bookmarkStart w:id="336" w:name="page337"/>
    <w:bookmarkEnd w:id="336"/>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8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5"/>
        </w:trPr>
        <w:tc>
          <w:tcPr>
            <w:tcW w:w="10580" w:type="dxa"/>
            <w:vAlign w:val="bottom"/>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1.01. Definitions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580" w:type="dxa"/>
            <w:vAlign w:val="bottom"/>
          </w:tcPr>
          <w:p>
            <w:pPr>
              <w:ind w:left="360"/>
              <w:spacing w:after="0"/>
              <w:rPr>
                <w:sz w:val="20"/>
                <w:szCs w:val="20"/>
                <w:color w:val="auto"/>
              </w:rPr>
            </w:pPr>
            <w:r>
              <w:rPr>
                <w:rFonts w:ascii="Arial" w:cs="Arial" w:eastAsia="Arial" w:hAnsi="Arial"/>
                <w:sz w:val="18"/>
                <w:szCs w:val="18"/>
                <w:color w:val="auto"/>
              </w:rPr>
              <w:t>Section 1.02. Other Definitional and Interpretative Provisions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9"/>
        </w:trPr>
        <w:tc>
          <w:tcPr>
            <w:tcW w:w="10580" w:type="dxa"/>
            <w:vAlign w:val="bottom"/>
          </w:tcPr>
          <w:p>
            <w:pPr>
              <w:spacing w:after="0"/>
              <w:rPr>
                <w:sz w:val="20"/>
                <w:szCs w:val="20"/>
                <w:color w:val="auto"/>
              </w:rPr>
            </w:pPr>
            <w:r>
              <w:rPr>
                <w:rFonts w:ascii="Arial" w:cs="Arial" w:eastAsia="Arial" w:hAnsi="Arial"/>
                <w:sz w:val="18"/>
                <w:szCs w:val="18"/>
                <w:color w:val="auto"/>
              </w:rPr>
              <w:t>ARTICLE II. REGISTRATION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2.01. Demand Registration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2.02. Shelf and Piggyback Registration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2.03. Lock-Up Agreements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2.04. Registration Procedures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2.05. Indemnification by the Company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2.06. Indemnification by Registering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2.07. Conduct of Indemnification Proceedings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2.08. Contribution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2.09. Participation in Public Offering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2.10. Other Indemnification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2.11. Cooperation by the Company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2.12. Transfer of Registration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2.13. Limitations on Subsequent Registration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2.14. Free Writing Prospectuses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580" w:type="dxa"/>
            <w:vAlign w:val="bottom"/>
          </w:tcPr>
          <w:p>
            <w:pPr>
              <w:ind w:left="360"/>
              <w:spacing w:after="0"/>
              <w:rPr>
                <w:sz w:val="20"/>
                <w:szCs w:val="20"/>
                <w:color w:val="auto"/>
              </w:rPr>
            </w:pPr>
            <w:r>
              <w:rPr>
                <w:rFonts w:ascii="Arial" w:cs="Arial" w:eastAsia="Arial" w:hAnsi="Arial"/>
                <w:sz w:val="18"/>
                <w:szCs w:val="18"/>
                <w:color w:val="auto"/>
              </w:rPr>
              <w:t>Section 2.15. Information from Registering Stockholders; Obligations of Registering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9"/>
        </w:trPr>
        <w:tc>
          <w:tcPr>
            <w:tcW w:w="10580" w:type="dxa"/>
            <w:vAlign w:val="bottom"/>
          </w:tcPr>
          <w:p>
            <w:pPr>
              <w:spacing w:after="0"/>
              <w:rPr>
                <w:sz w:val="20"/>
                <w:szCs w:val="20"/>
                <w:color w:val="auto"/>
              </w:rPr>
            </w:pPr>
            <w:r>
              <w:rPr>
                <w:rFonts w:ascii="Arial" w:cs="Arial" w:eastAsia="Arial" w:hAnsi="Arial"/>
                <w:sz w:val="18"/>
                <w:szCs w:val="18"/>
                <w:color w:val="auto"/>
              </w:rPr>
              <w:t>ARTICLE III. BOARD OF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3.01. Board of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580" w:type="dxa"/>
            <w:vAlign w:val="bottom"/>
          </w:tcPr>
          <w:p>
            <w:pPr>
              <w:ind w:left="360"/>
              <w:spacing w:after="0"/>
              <w:rPr>
                <w:sz w:val="20"/>
                <w:szCs w:val="20"/>
                <w:color w:val="auto"/>
              </w:rPr>
            </w:pPr>
            <w:r>
              <w:rPr>
                <w:rFonts w:ascii="Arial" w:cs="Arial" w:eastAsia="Arial" w:hAnsi="Arial"/>
                <w:sz w:val="18"/>
                <w:szCs w:val="18"/>
                <w:color w:val="auto"/>
              </w:rPr>
              <w:t>Section 3.02. Reduction of Post’s Board and Committee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9"/>
        </w:trPr>
        <w:tc>
          <w:tcPr>
            <w:tcW w:w="10580" w:type="dxa"/>
            <w:vAlign w:val="bottom"/>
          </w:tcPr>
          <w:p>
            <w:pPr>
              <w:spacing w:after="0"/>
              <w:rPr>
                <w:sz w:val="20"/>
                <w:szCs w:val="20"/>
                <w:color w:val="auto"/>
              </w:rPr>
            </w:pPr>
            <w:r>
              <w:rPr>
                <w:rFonts w:ascii="Arial" w:cs="Arial" w:eastAsia="Arial" w:hAnsi="Arial"/>
                <w:sz w:val="18"/>
                <w:szCs w:val="18"/>
                <w:color w:val="auto"/>
              </w:rPr>
              <w:t>ARTICLE IV.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580" w:type="dxa"/>
            <w:vAlign w:val="bottom"/>
          </w:tcPr>
          <w:p>
            <w:pPr>
              <w:ind w:left="360"/>
              <w:spacing w:after="0"/>
              <w:rPr>
                <w:sz w:val="20"/>
                <w:szCs w:val="20"/>
                <w:color w:val="auto"/>
              </w:rPr>
            </w:pPr>
            <w:r>
              <w:rPr>
                <w:rFonts w:ascii="Arial" w:cs="Arial" w:eastAsia="Arial" w:hAnsi="Arial"/>
                <w:sz w:val="18"/>
                <w:szCs w:val="18"/>
                <w:color w:val="auto"/>
              </w:rPr>
              <w:t>Section 4.01.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9"/>
        </w:trPr>
        <w:tc>
          <w:tcPr>
            <w:tcW w:w="10580" w:type="dxa"/>
            <w:vAlign w:val="bottom"/>
          </w:tcPr>
          <w:p>
            <w:pPr>
              <w:spacing w:after="0"/>
              <w:rPr>
                <w:sz w:val="20"/>
                <w:szCs w:val="20"/>
                <w:color w:val="auto"/>
              </w:rPr>
            </w:pPr>
            <w:r>
              <w:rPr>
                <w:rFonts w:ascii="Arial" w:cs="Arial" w:eastAsia="Arial" w:hAnsi="Arial"/>
                <w:sz w:val="18"/>
                <w:szCs w:val="18"/>
                <w:color w:val="auto"/>
              </w:rPr>
              <w:t>ARTICLE V. MISCELLANEOUS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5.01. Successors and Assigns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5.02. Notices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5.03. Amendments and Waivers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5.04. Governing Law</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5.05. Jurisdiction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5.06. WAIVER OF JURY TRIAL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5.07. Specific Enforcement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5.08. Counterparts; Effectiveness; Third Party Beneficiaries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580" w:type="dxa"/>
            <w:vAlign w:val="bottom"/>
          </w:tcPr>
          <w:p>
            <w:pPr>
              <w:ind w:left="360"/>
              <w:spacing w:after="0"/>
              <w:rPr>
                <w:sz w:val="20"/>
                <w:szCs w:val="20"/>
                <w:color w:val="auto"/>
              </w:rPr>
            </w:pPr>
            <w:r>
              <w:rPr>
                <w:rFonts w:ascii="Arial" w:cs="Arial" w:eastAsia="Arial" w:hAnsi="Arial"/>
                <w:sz w:val="18"/>
                <w:szCs w:val="18"/>
                <w:color w:val="auto"/>
              </w:rPr>
              <w:t>Section 5.09. Entire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0580" w:type="dxa"/>
            <w:vAlign w:val="bottom"/>
          </w:tcPr>
          <w:p>
            <w:pPr>
              <w:ind w:left="360"/>
              <w:spacing w:after="0"/>
              <w:rPr>
                <w:sz w:val="20"/>
                <w:szCs w:val="20"/>
                <w:color w:val="auto"/>
              </w:rPr>
            </w:pPr>
            <w:r>
              <w:rPr>
                <w:rFonts w:ascii="Arial" w:cs="Arial" w:eastAsia="Arial" w:hAnsi="Arial"/>
                <w:sz w:val="18"/>
                <w:szCs w:val="18"/>
                <w:color w:val="auto"/>
              </w:rPr>
              <w:t>Section 5.10. Severability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Joinder Agreement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40"/>
          </w:cols>
          <w:pgMar w:left="460" w:top="274" w:right="499" w:bottom="1440" w:gutter="0" w:footer="0" w:header="0"/>
        </w:sectPr>
      </w:pPr>
    </w:p>
    <w:bookmarkStart w:id="337" w:name="page338"/>
    <w:bookmarkEnd w:id="33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 RIGHTS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INVESTOR RIGHTS AGREEMENT dated as of ,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(i) BellRing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(ii)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(iii) other Persons (as defined below) party hereto from time to time.</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WHEREAS, the parties hereto are entering into this Agreement to provide (i) certain registration rights under the Securities Act (as defined below) and applicable state securities laws to each Stockholder (as defined below) with respect to Registrable Securities (as defined below) each may hold and (ii) certain governance rights to Post.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As used herein, the following terms have the following meanings:</w:t>
      </w:r>
    </w:p>
    <w:p>
      <w:pPr>
        <w:spacing w:after="0" w:line="117"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For the purpose of this definition,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6"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Governance Rules</w:t>
      </w:r>
      <w:r>
        <w:rPr>
          <w:rFonts w:ascii="Arial" w:cs="Arial" w:eastAsia="Arial" w:hAnsi="Arial"/>
          <w:sz w:val="18"/>
          <w:szCs w:val="18"/>
          <w:color w:val="auto"/>
        </w:rPr>
        <w:t>” means applicable federal and Delaware laws and the rules of the NYSE relating to the Board and the corporate governance of the Company, including, without limitation, Rule 10A-3 of the Exchange Act and NYSE Rule 303A, in each case, subject to applicable phase-in periods.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Shelf Registration Statement</w:t>
      </w:r>
      <w:r>
        <w:rPr>
          <w:rFonts w:ascii="Arial" w:cs="Arial" w:eastAsia="Arial" w:hAnsi="Arial"/>
          <w:sz w:val="17"/>
          <w:szCs w:val="17"/>
          <w:color w:val="auto"/>
        </w:rPr>
        <w:t>” means an “automatic shelf registration statement” as defined in Rule 405 under the Securities Act.</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means BellRing Brands, LLC, a Delaware limited liability company.</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Agreement</w:t>
      </w:r>
      <w:r>
        <w:rPr>
          <w:rFonts w:ascii="Arial" w:cs="Arial" w:eastAsia="Arial" w:hAnsi="Arial"/>
          <w:sz w:val="18"/>
          <w:szCs w:val="18"/>
          <w:color w:val="auto"/>
        </w:rPr>
        <w:t>” means the Amended and Restated Limited Liability Company Agreement of BellRing LLC, dated as of the date hereof,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Units</w:t>
      </w:r>
      <w:r>
        <w:rPr>
          <w:rFonts w:ascii="Arial" w:cs="Arial" w:eastAsia="Arial" w:hAnsi="Arial"/>
          <w:sz w:val="18"/>
          <w:szCs w:val="18"/>
          <w:color w:val="auto"/>
        </w:rPr>
        <w:t>” means the Nonvoting Common Units of BellRing LLC as defined in the BellRing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similar terms have the meaning set forth in Rule 13d-3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New York City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ectPr>
          <w:pgSz w:w="11900" w:h="16838" w:orient="portrait"/>
          <w:cols w:equalWidth="0" w:num="1">
            <w:col w:w="10940"/>
          </w:cols>
          <w:pgMar w:left="460" w:top="273" w:right="499" w:bottom="1440" w:gutter="0" w:footer="0" w:header="0"/>
        </w:sectPr>
      </w:pPr>
    </w:p>
    <w:bookmarkStart w:id="338" w:name="page339"/>
    <w:bookmarkEnd w:id="33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modified, supplemented and/or restated from time to time.</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Company, as the same may be amended, modified, supplemented and/or restated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Company.</w:t>
      </w:r>
    </w:p>
    <w:p>
      <w:pPr>
        <w:spacing w:after="0" w:line="225" w:lineRule="exact"/>
        <w:rPr>
          <w:sz w:val="20"/>
          <w:szCs w:val="20"/>
          <w:color w:val="auto"/>
        </w:rPr>
      </w:pPr>
    </w:p>
    <w:p>
      <w:pPr>
        <w:jc w:val="both"/>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Securities</w:t>
      </w:r>
      <w:r>
        <w:rPr>
          <w:rFonts w:ascii="Arial" w:cs="Arial" w:eastAsia="Arial" w:hAnsi="Arial"/>
          <w:sz w:val="16"/>
          <w:szCs w:val="16"/>
          <w:color w:val="auto"/>
        </w:rPr>
        <w:t>” means (i) the Class A Common Stock, (ii) any securities of the Company or any successor or assign of the Company into which such Class A Common Stock is reclassified or reconstituted or into which such Class A Common Stock is converted or otherwise exchanged in connection with a split or combination of shares, recapitalization, merger, sale of assets, consolidation or other reorganization or otherwise or (iii) any securities received as a dividend or a distribution in respect of the securities described in clauses (i) or (ii) above.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under the Securities Act relating to the Registrable Securities included in the applicable Registration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a director who qualifies as an “independent director” of the Company under the NYSE Listed Company Manual.</w:t>
      </w:r>
    </w:p>
    <w:p>
      <w:pPr>
        <w:spacing w:after="0" w:line="23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8980" w:type="dxa"/>
            <w:vAlign w:val="bottom"/>
            <w:gridSpan w:val="3"/>
          </w:tcPr>
          <w:p>
            <w:pPr>
              <w:spacing w:after="0"/>
              <w:rPr>
                <w:sz w:val="20"/>
                <w:szCs w:val="20"/>
                <w:color w:val="auto"/>
              </w:rPr>
            </w:pPr>
            <w:r>
              <w:rPr>
                <w:rFonts w:ascii="Arial" w:cs="Arial" w:eastAsia="Arial" w:hAnsi="Arial"/>
                <w:sz w:val="18"/>
                <w:szCs w:val="18"/>
                <w:color w:val="auto"/>
                <w:w w:val="95"/>
              </w:rPr>
              <w:t>“Initial Public Offering” means the initial underwritten public offering of the Class A Common Stock of the Company on</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2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 and shall include any successor (by merger or otherwise) thereto.</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Party</w:t>
      </w:r>
      <w:r>
        <w:rPr>
          <w:rFonts w:ascii="Arial" w:cs="Arial" w:eastAsia="Arial" w:hAnsi="Arial"/>
          <w:sz w:val="18"/>
          <w:szCs w:val="18"/>
          <w:color w:val="auto"/>
        </w:rPr>
        <w:t>” means Post and its Affiliates (other than the Company and its Subsidiaries).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Nominee</w:t>
      </w:r>
      <w:r>
        <w:rPr>
          <w:rFonts w:ascii="Arial" w:cs="Arial" w:eastAsia="Arial" w:hAnsi="Arial"/>
          <w:sz w:val="18"/>
          <w:szCs w:val="18"/>
          <w:color w:val="auto"/>
        </w:rPr>
        <w:t>” means any individual nominated or designated by Post for election or appointment to the Board in accordance with, and subject to the terms and conditions of, Article III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Stockholder</w:t>
      </w:r>
      <w:r>
        <w:rPr>
          <w:rFonts w:ascii="Arial" w:cs="Arial" w:eastAsia="Arial" w:hAnsi="Arial"/>
          <w:sz w:val="18"/>
          <w:szCs w:val="18"/>
          <w:color w:val="auto"/>
        </w:rPr>
        <w:t>” means each Post Party that is a Stockholder.</w:t>
      </w:r>
    </w:p>
    <w:p>
      <w:pPr>
        <w:spacing w:after="0" w:line="225" w:lineRule="exact"/>
        <w:rPr>
          <w:sz w:val="20"/>
          <w:szCs w:val="20"/>
          <w:color w:val="auto"/>
        </w:rPr>
      </w:pPr>
    </w:p>
    <w:p>
      <w:pPr>
        <w:ind w:right="44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 underwritten public offering of Company Securities pursuant to an effective registration statement under the Securities Act, other than pursuant to a registration statement on Form S-4 or Form S-8 or any similar or successor form under the Securities Act.</w:t>
      </w:r>
    </w:p>
    <w:p>
      <w:pPr>
        <w:spacing w:after="0" w:line="1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Registering Stockholder</w:t>
      </w:r>
      <w:r>
        <w:rPr>
          <w:rFonts w:ascii="Arial" w:cs="Arial" w:eastAsia="Arial" w:hAnsi="Arial"/>
          <w:sz w:val="18"/>
          <w:szCs w:val="18"/>
          <w:color w:val="auto"/>
        </w:rPr>
        <w:t>” means, with respect to any Registration Statement, each Stockholder whose Registrable Securities are or are to be registered pursuant to such Registration Statement.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60" w:top="274" w:right="539" w:bottom="1440" w:gutter="0" w:footer="0" w:header="0"/>
        </w:sectPr>
      </w:pPr>
    </w:p>
    <w:bookmarkStart w:id="339" w:name="page340"/>
    <w:bookmarkEnd w:id="339"/>
    <w:p>
      <w:pPr>
        <w:ind w:left="10"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Registrable Class Securities</w:t>
      </w:r>
      <w:r>
        <w:rPr>
          <w:rFonts w:ascii="Arial" w:cs="Arial" w:eastAsia="Arial" w:hAnsi="Arial"/>
          <w:sz w:val="18"/>
          <w:szCs w:val="18"/>
          <w:color w:val="auto"/>
        </w:rPr>
        <w:t>” means the Registrable Securities and any other securities of the Company that are of the same class as the relevant Registrable Securities.</w:t>
      </w:r>
    </w:p>
    <w:p>
      <w:pPr>
        <w:spacing w:after="0" w:line="170" w:lineRule="exact"/>
        <w:rPr>
          <w:sz w:val="20"/>
          <w:szCs w:val="20"/>
          <w:color w:val="auto"/>
        </w:rPr>
      </w:pPr>
    </w:p>
    <w:p>
      <w:pPr>
        <w:ind w:left="10" w:right="16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at any time, any Company Securities beneficially owned (whether beneficially owned as of the date hereof or hereinafter beneficially owned) by a Stockholder until (i) a registration statement covering such securities has been declared effective by the SEC and such securities have been disposed of pursuant to such effective registration statement, (ii) such securities are sold pursuant to Rule 144 (or any similar provisions then in force) under the Securities Act, (iii) such securities are otherwise transferred, assigned, sold, conveyed or otherwise disposed of and thereafter such securities may be resold without subsequent registration under the Securities Act or (iv) with respect to any such securities held by any single Stockholder (or group of Stockholders that are aggregated for purposes of Rule 144), all of such securities held by any Stockholder or group of Stockholders that are able to be sold in a single transaction pursuant to Rule 144 (or any similar provisions then in force) and such securities of such Stockholder (or group of Stockholders) represent no more than 2.5% of the relevant class of Company Securities.</w:t>
      </w:r>
    </w:p>
    <w:p>
      <w:pPr>
        <w:spacing w:after="0" w:line="164" w:lineRule="exact"/>
        <w:rPr>
          <w:sz w:val="20"/>
          <w:szCs w:val="20"/>
          <w:color w:val="auto"/>
        </w:rPr>
      </w:pPr>
    </w:p>
    <w:p>
      <w:pPr>
        <w:ind w:left="10"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incident to the performance of or compliance with any registration or marketing of Registrable Securities, regardless of whether such Registration Statement is declared effective, including all (i) registration and filing fees, and all other fees and expenses payable in connection with the listing of securities on any securities exchange or automated interdealer quotation system, (ii) fees and expenses incurred in complying with any securities or “blue sky” laws (including reasonable fees and disbursements of counsel in connection with “blue sky” qualifications of the Registrable Securities as may be set forth in any underwriting agreement),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2.04(h) or any special audits incidental to or required by any registration or qualification), (vii) reasonable fees and expenses of any special experts retained by the Company in connection with such registration, (viii) reasonable fees, out-of-pocket costs and expenses of one firm of counsel selected by the holder(s) of a majority of the Registrable Securities covered by each Registration Statement (the “</w:t>
      </w:r>
      <w:r>
        <w:rPr>
          <w:rFonts w:ascii="Arial" w:cs="Arial" w:eastAsia="Arial" w:hAnsi="Arial"/>
          <w:sz w:val="16"/>
          <w:szCs w:val="16"/>
          <w:u w:val="single" w:color="auto"/>
          <w:color w:val="auto"/>
        </w:rPr>
        <w:t>Holders’ Counsel</w:t>
      </w:r>
      <w:r>
        <w:rPr>
          <w:rFonts w:ascii="Arial" w:cs="Arial" w:eastAsia="Arial" w:hAnsi="Arial"/>
          <w:sz w:val="16"/>
          <w:szCs w:val="16"/>
          <w:color w:val="auto"/>
        </w:rPr>
        <w:t>”), (ix) fees and expenses in connection with any review by FINRA of the underwriting arrangements or other terms of the offering, and all fees and expenses of any qualified independent underwriter, including the reasonable fees and expenses of any counsel thereto, (x) fees and disbursements of underwriters customarily paid by issuers or sellers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(xiv) fees and expenses payable in connection with any ratings of the Registrable Securities, including expenses relating to any presentations to rating agencies,</w:t>
      </w:r>
    </w:p>
    <w:p>
      <w:pPr>
        <w:spacing w:after="0" w:line="7" w:lineRule="exact"/>
        <w:rPr>
          <w:sz w:val="20"/>
          <w:szCs w:val="20"/>
          <w:color w:val="auto"/>
        </w:rPr>
      </w:pPr>
    </w:p>
    <w:p>
      <w:pPr>
        <w:ind w:left="10" w:right="40" w:hanging="10"/>
        <w:spacing w:after="0" w:line="255" w:lineRule="auto"/>
        <w:tabs>
          <w:tab w:leader="none" w:pos="35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out-of pocket costs and expenses incurred by the Company or its appropriate officers in connection with their compliance with Section 2.04(m) and (xvi) any liability insurance or other premiums for insurance obtained in connection with any Demand Registration, Piggyback Registration or Shelf Registration pursuant to the terms of this Agreement.</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0"/>
          </w:cols>
          <w:pgMar w:left="450" w:top="274" w:right="439" w:bottom="1440" w:gutter="0" w:footer="0" w:header="0"/>
        </w:sectPr>
      </w:pPr>
    </w:p>
    <w:bookmarkStart w:id="340" w:name="page341"/>
    <w:bookmarkEnd w:id="340"/>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any of the Registrable Securities pursuant to the provisions of this Agreement.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Stockholder</w:t>
      </w:r>
      <w:r>
        <w:rPr>
          <w:rFonts w:ascii="Arial" w:cs="Arial" w:eastAsia="Arial" w:hAnsi="Arial"/>
          <w:sz w:val="18"/>
          <w:szCs w:val="18"/>
          <w:color w:val="auto"/>
        </w:rPr>
        <w:t>” means, with respect to any Demand Registration or Shelf Registration, any Stockholder holding any Registrable Securities initially making the request for such Demand Registration or Shelf Registration.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or any successor governmental agency.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collectively, the shares of Class A Common Stock and the share of Class B Common Stock.</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Registered Securities</w:t>
      </w:r>
      <w:r>
        <w:rPr>
          <w:rFonts w:ascii="Arial" w:cs="Arial" w:eastAsia="Arial" w:hAnsi="Arial"/>
          <w:sz w:val="18"/>
          <w:szCs w:val="18"/>
          <w:color w:val="auto"/>
        </w:rPr>
        <w:t>” means any Registrable Securities whose offer and sale is registered pursuant to a Registration Statement filed in connection with a Shelf Registration (including an Automatic Shelf Registration Statement).</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Period</w:t>
      </w:r>
      <w:r>
        <w:rPr>
          <w:rFonts w:ascii="Arial" w:cs="Arial" w:eastAsia="Arial" w:hAnsi="Arial"/>
          <w:sz w:val="18"/>
          <w:szCs w:val="18"/>
          <w:color w:val="auto"/>
        </w:rPr>
        <w:t>” means 90 days; provided that such period may be extended as may be reasonably requested by the managing or co-managing underwriter of a registered offering required hereunder to accommodate regulatory restrictions on (i) the publication or other distribution of research reports and (ii) analyst recommendations and opinions, including, but not limited to, the restrictions contained in FINRA rules or any successor provisions or amendments thereto.</w:t>
      </w:r>
    </w:p>
    <w:p>
      <w:pPr>
        <w:spacing w:after="0" w:line="186" w:lineRule="exact"/>
        <w:rPr>
          <w:sz w:val="20"/>
          <w:szCs w:val="20"/>
          <w:color w:val="auto"/>
        </w:rPr>
      </w:pPr>
    </w:p>
    <w:p>
      <w:pPr>
        <w:jc w:val="both"/>
        <w:ind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at any time, each Post Party or any transferee or assignee of a Post Party pursuant to Section 2.12 of this Agreement, beneficially owning Company Securities or BellRing LLC Units that shall be a party to or bound by this Agreement, so long as such Person shall beneficially own any Company Securities or BellRing LLC Units.</w:t>
      </w:r>
    </w:p>
    <w:p>
      <w:pPr>
        <w:spacing w:after="0" w:line="183" w:lineRule="exact"/>
        <w:rPr>
          <w:sz w:val="20"/>
          <w:szCs w:val="20"/>
          <w:color w:val="auto"/>
        </w:rPr>
      </w:pPr>
    </w:p>
    <w:p>
      <w:pPr>
        <w:ind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at the time are directly or indirectly owned by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7"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3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color w:val="auto"/>
              </w:rPr>
              <w:t>Section</w:t>
            </w:r>
          </w:p>
        </w:tc>
      </w:tr>
      <w:tr>
        <w:trPr>
          <w:trHeight w:val="199"/>
        </w:trPr>
        <w:tc>
          <w:tcPr>
            <w:tcW w:w="3300" w:type="dxa"/>
            <w:vAlign w:val="bottom"/>
            <w:gridSpan w:val="2"/>
          </w:tcPr>
          <w:p>
            <w:pPr>
              <w:spacing w:after="0" w:line="200" w:lineRule="exact"/>
              <w:rPr>
                <w:sz w:val="20"/>
                <w:szCs w:val="20"/>
                <w:color w:val="auto"/>
              </w:rPr>
            </w:pPr>
            <w:r>
              <w:rPr>
                <w:rFonts w:ascii="Arial" w:cs="Arial" w:eastAsia="Arial" w:hAnsi="Arial"/>
                <w:sz w:val="18"/>
                <w:szCs w:val="18"/>
                <w:color w:val="auto"/>
              </w:rPr>
              <w:t>Alternative Transaction</w:t>
            </w:r>
          </w:p>
        </w:tc>
        <w:tc>
          <w:tcPr>
            <w:tcW w:w="2540" w:type="dxa"/>
            <w:vAlign w:val="bottom"/>
          </w:tcPr>
          <w:p>
            <w:pPr>
              <w:spacing w:after="0"/>
              <w:rPr>
                <w:sz w:val="17"/>
                <w:szCs w:val="17"/>
                <w:color w:val="auto"/>
              </w:rPr>
            </w:pPr>
          </w:p>
        </w:tc>
        <w:tc>
          <w:tcPr>
            <w:tcW w:w="16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Section 2.02(d)</w:t>
            </w:r>
          </w:p>
        </w:tc>
        <w:tc>
          <w:tcPr>
            <w:tcW w:w="20" w:type="dxa"/>
            <w:vAlign w:val="bottom"/>
          </w:tcPr>
          <w:p>
            <w:pPr>
              <w:spacing w:after="0"/>
              <w:rPr>
                <w:sz w:val="17"/>
                <w:szCs w:val="17"/>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Audit Committee Independent Directors</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w w:val="99"/>
              </w:rPr>
              <w:t>Section 3.01(a)(iv)</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Committees</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Section 3.01(c)</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Preamble</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2.05</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2.01(a)</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2.02(f)</w:t>
            </w: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Holders’ Counsel</w:t>
            </w: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Section 1.01(a)</w:t>
            </w:r>
          </w:p>
        </w:tc>
      </w:tr>
      <w:tr>
        <w:trPr>
          <w:trHeight w:val="229"/>
        </w:trPr>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(Definition of</w:t>
            </w:r>
          </w:p>
        </w:tc>
      </w:tr>
      <w:tr>
        <w:trPr>
          <w:trHeight w:val="229"/>
        </w:trPr>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“Registration</w:t>
            </w:r>
          </w:p>
        </w:tc>
      </w:tr>
      <w:tr>
        <w:trPr>
          <w:trHeight w:val="250"/>
        </w:trPr>
        <w:tc>
          <w:tcPr>
            <w:tcW w:w="3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Expenses”)</w:t>
            </w:r>
          </w:p>
        </w:tc>
      </w:tr>
      <w:tr>
        <w:trPr>
          <w:trHeight w:val="360"/>
        </w:trPr>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40" w:type="dxa"/>
            <w:vAlign w:val="bottom"/>
          </w:tcPr>
          <w:p>
            <w:pPr>
              <w:jc w:val="right"/>
              <w:ind w:right="197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80"/>
          </w:cols>
          <w:pgMar w:left="460" w:top="273" w:right="459" w:bottom="1440" w:gutter="0" w:footer="0" w:header="0"/>
        </w:sectPr>
      </w:pPr>
    </w:p>
    <w:bookmarkStart w:id="341" w:name="page342"/>
    <w:bookmarkEnd w:id="3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560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Arial" w:cs="Arial" w:eastAsia="Arial" w:hAnsi="Arial"/>
                <w:sz w:val="14"/>
                <w:szCs w:val="14"/>
                <w:color w:val="auto"/>
              </w:rPr>
              <w:t>Section</w:t>
            </w:r>
          </w:p>
        </w:tc>
      </w:tr>
      <w:tr>
        <w:trPr>
          <w:trHeight w:val="199"/>
        </w:trPr>
        <w:tc>
          <w:tcPr>
            <w:tcW w:w="5900" w:type="dxa"/>
            <w:vAlign w:val="bottom"/>
            <w:gridSpan w:val="2"/>
          </w:tcPr>
          <w:p>
            <w:pPr>
              <w:spacing w:after="0" w:line="200" w:lineRule="exact"/>
              <w:rPr>
                <w:sz w:val="20"/>
                <w:szCs w:val="20"/>
                <w:color w:val="auto"/>
              </w:rPr>
            </w:pPr>
            <w:r>
              <w:rPr>
                <w:rFonts w:ascii="Arial" w:cs="Arial" w:eastAsia="Arial" w:hAnsi="Arial"/>
                <w:sz w:val="18"/>
                <w:szCs w:val="18"/>
                <w:color w:val="auto"/>
              </w:rPr>
              <w:t>Indemnified Party</w:t>
            </w:r>
          </w:p>
        </w:tc>
        <w:tc>
          <w:tcPr>
            <w:tcW w:w="15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Section 2.07</w:t>
            </w:r>
          </w:p>
        </w:tc>
        <w:tc>
          <w:tcPr>
            <w:tcW w:w="20" w:type="dxa"/>
            <w:vAlign w:val="bottom"/>
          </w:tcPr>
          <w:p>
            <w:pPr>
              <w:spacing w:after="0"/>
              <w:rPr>
                <w:sz w:val="17"/>
                <w:szCs w:val="17"/>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2.07</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Inspectors</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2.04(g)</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Issuer Free Writing Prospectus</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2.14</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2.01(d)</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2.02(h)(i)</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Post</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Preamble</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Records</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2.04(g)</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Registration Actions</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2.01(e)</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Requested Shelf Registered Securities</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2.02(b)</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Shelf Public Offering</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2.02(b)</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Shelf Public Offering Notice</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2.02(b)</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Shelf Public Offering Request</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2.02(b)</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Shelf Public Offering Requesting Stockholder</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2.02(b)</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2.02(a)</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Stockholder Parties</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2.05</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Suspension Notice</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2.01(e)</w:t>
            </w: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2.01(e)</w:t>
            </w:r>
          </w:p>
        </w:tc>
      </w:tr>
      <w:tr>
        <w:trPr>
          <w:trHeight w:val="250"/>
        </w:trPr>
        <w:tc>
          <w:tcPr>
            <w:tcW w:w="5900" w:type="dxa"/>
            <w:vAlign w:val="bottom"/>
            <w:gridSpan w:val="2"/>
          </w:tcPr>
          <w:p>
            <w:pPr>
              <w:spacing w:after="0"/>
              <w:rPr>
                <w:sz w:val="20"/>
                <w:szCs w:val="20"/>
                <w:color w:val="auto"/>
              </w:rPr>
            </w:pPr>
            <w:r>
              <w:rPr>
                <w:rFonts w:ascii="Arial" w:cs="Arial" w:eastAsia="Arial" w:hAnsi="Arial"/>
                <w:sz w:val="18"/>
                <w:szCs w:val="18"/>
                <w:color w:val="auto"/>
              </w:rPr>
              <w:t>Well-Known Seasoned Issuer</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Section 2.02(f)</w:t>
            </w:r>
          </w:p>
        </w:tc>
      </w:tr>
    </w:tbl>
    <w:p>
      <w:pPr>
        <w:spacing w:after="0" w:line="19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laws, rules, regulations and forms shall be deemed to be references to such laws, rules, regulations and forms as amended, succeeded or replaced.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Demand Registration</w:t>
      </w:r>
      <w:r>
        <w:rPr>
          <w:rFonts w:ascii="Arial" w:cs="Arial" w:eastAsia="Arial" w:hAnsi="Arial"/>
          <w:sz w:val="18"/>
          <w:szCs w:val="18"/>
          <w:i w:val="1"/>
          <w:iCs w:val="1"/>
          <w:color w:val="auto"/>
        </w:rPr>
        <w:t>.</w:t>
      </w:r>
    </w:p>
    <w:p>
      <w:pPr>
        <w:spacing w:after="0" w:line="117" w:lineRule="exact"/>
        <w:rPr>
          <w:sz w:val="20"/>
          <w:szCs w:val="20"/>
          <w:color w:val="auto"/>
        </w:rPr>
      </w:pPr>
    </w:p>
    <w:p>
      <w:pPr>
        <w:ind w:right="20" w:firstLine="430"/>
        <w:spacing w:after="0" w:line="256" w:lineRule="auto"/>
        <w:tabs>
          <w:tab w:leader="none" w:pos="68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At any time following the Initial Public Offering, any Stockholder may give a written request to the Company to effect the registration under the Securities Act (other than pursuant to a registration statement on Form S-4 or Form S-8 or any similar or successor form under the Securities Act) of all or any portion of such Requesting Stockholder’s Registrable Securities, which written request shall specify the number of Registrable Securities to be registered and the intended method of disposition thereof. Such registration may be for the offering of the Stockholder’s Registrable Securities on a delayed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69" w:right="439" w:bottom="1440" w:gutter="0" w:footer="0" w:header="0"/>
        </w:sectPr>
      </w:pPr>
    </w:p>
    <w:bookmarkStart w:id="342" w:name="page343"/>
    <w:bookmarkEnd w:id="342"/>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continuous basis under Rule 415 under the Securities Act. At any time the Company is eligible to use Form S-3ASR, such registration shall occur on such form. Upon the receipt of such written request, the Company shall promptly give notice (via electronic transmission) of such requested registration (each such registration shall be referred to herein as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at least 10 Business Days prior to the anticipated filing date of the Registration Statement relating to such Demand Registration to any other Stockholders. Thereafter, the Company shall use its commercially reasonable efforts to effect, as soon as possible, the registration under the Securities Act of:</w:t>
      </w:r>
    </w:p>
    <w:p>
      <w:pPr>
        <w:spacing w:after="0" w:line="67" w:lineRule="exact"/>
        <w:rPr>
          <w:sz w:val="20"/>
          <w:szCs w:val="20"/>
          <w:color w:val="auto"/>
        </w:rPr>
      </w:pPr>
    </w:p>
    <w:p>
      <w:pPr>
        <w:ind w:left="1060" w:hanging="207"/>
        <w:spacing w:after="0"/>
        <w:tabs>
          <w:tab w:leader="none" w:pos="10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Registrable Securities for which the Requesting Stockholder has requested registration under this Section 2.01;</w:t>
      </w:r>
    </w:p>
    <w:p>
      <w:pPr>
        <w:spacing w:after="0" w:line="116" w:lineRule="exact"/>
        <w:rPr>
          <w:rFonts w:ascii="Arial" w:cs="Arial" w:eastAsia="Arial" w:hAnsi="Arial"/>
          <w:sz w:val="18"/>
          <w:szCs w:val="18"/>
          <w:color w:val="auto"/>
        </w:rPr>
      </w:pPr>
    </w:p>
    <w:p>
      <w:pPr>
        <w:ind w:left="440" w:right="340" w:firstLine="413"/>
        <w:spacing w:after="0" w:line="263" w:lineRule="auto"/>
        <w:tabs>
          <w:tab w:leader="none" w:pos="112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or series as those requested to be registered by the Requesting Stockholder that any other Stockholder has requested the Company register by request received by the Company and Post within 10 Business Days after such Stockholders receive the Company’s notice of the Demand Registration; and</w:t>
      </w:r>
    </w:p>
    <w:p>
      <w:pPr>
        <w:spacing w:after="0" w:line="74" w:lineRule="exact"/>
        <w:rPr>
          <w:rFonts w:ascii="Arial" w:cs="Arial" w:eastAsia="Arial" w:hAnsi="Arial"/>
          <w:sz w:val="18"/>
          <w:szCs w:val="18"/>
          <w:color w:val="auto"/>
        </w:rPr>
      </w:pPr>
    </w:p>
    <w:p>
      <w:pPr>
        <w:ind w:left="1160" w:hanging="307"/>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Company Securities to be offered or sold by the Company;</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all to the extent necessary to permit the disposition (in accordance with the intended methods thereof as described in the Requesting Stockholder’s written request) of the Registrable Securities so to be registered; provided that the Company shall not be obligated to effect (1) any such Demand Registration (i) within the Specified Period after the effective date of any other registration statement of the Company in connection with which Stockholders were given Piggyback Registration rights (other than a registration statement filed in connection with an employee benefit plan or business combination transaction or a registration statement on Form S-8 or Form S-4) or (ii) in accordance with Section 2.01(e), or (2) any Demand Registration if the aggregate proceeds expected to be received from the sale of the Registrable Securities requested to be included in such Demand Registration is less than $25,000,000. A Requesting Stockholder may require any Demand Registration that involves a Public Offering of at least $25,000,000 to be conducted as an underwritten offering. Notwithstanding the foregoing, a Requesting Stockholder may request that a Demand Registration take the form of a primary offering by the Company of a number of shares of Class A Common Stock, the net proceeds of which shall be used by the Company and BellRing LLC, pursuant to and subject to the terms and conditions of the BellRing LLC Agreement, to acquire for cash the same number of BellRing LLC Units, in which case, (i) the Demand Registration shall cover the primary sale of the number of shares of Class A Common Stock requested by the Requesting Stockholder, (ii) the Requesting Stockholder shall exercise its right, pursuant to Article IX of the BellRing LLC Agreement, to submit for redemption, as provided under and subject to the terms and conditions of the BellRing LLC Agreement, the number of BellRing LLC Units that is equal to the number of shares of Class A Common Stock sold in such Public Offering, contingent on (among other things) the closing of such Public Offering and receipt by the Company of net proceeds therefrom, (iii) upon the Company’s receipt of the net proceeds from such Public Offering, BellRing LLC shall elect, pursuant to Article IX of the BellRing LLC Agreement, to acquire from the Requesting Stockholder the number of BellRing LLC Units equal to the number of shares of Class A Common Stock sold pursuant to such Public Offering in exchange for such net proceeds and (iv) except where the context otherwise requires, references to “Registrable Securities” with respect to such Demand Registration shall be to such shares of Class A Common Stock requested to be offered in such Public Offering.</w:t>
      </w:r>
    </w:p>
    <w:p>
      <w:pPr>
        <w:spacing w:after="0" w:line="72" w:lineRule="exact"/>
        <w:rPr>
          <w:sz w:val="20"/>
          <w:szCs w:val="20"/>
          <w:color w:val="auto"/>
        </w:rPr>
      </w:pPr>
    </w:p>
    <w:p>
      <w:pPr>
        <w:ind w:right="220" w:firstLine="430"/>
        <w:spacing w:after="0" w:line="286" w:lineRule="auto"/>
        <w:tabs>
          <w:tab w:leader="none" w:pos="69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Demand Registration, the Requesting Stockholder may, upon notice to the Company, revoke such request in whole or in part with respect to the number of shares of Registrable Securities requested to be included in such Registration Statement, without liability to any of the other Registering Stockholders.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343" w:name="page344"/>
    <w:bookmarkEnd w:id="343"/>
    <w:p>
      <w:pPr>
        <w:ind w:right="240" w:firstLine="430"/>
        <w:spacing w:after="0" w:line="277" w:lineRule="auto"/>
        <w:tabs>
          <w:tab w:leader="none" w:pos="6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be liable for and pay all Registration Expenses in connection with any Demand Registration, regardless of whether such Demand Registration becomes effective.</w:t>
      </w:r>
    </w:p>
    <w:p>
      <w:pPr>
        <w:spacing w:after="0" w:line="61" w:lineRule="exact"/>
        <w:rPr>
          <w:rFonts w:ascii="Arial" w:cs="Arial" w:eastAsia="Arial" w:hAnsi="Arial"/>
          <w:sz w:val="18"/>
          <w:szCs w:val="18"/>
          <w:color w:val="auto"/>
        </w:rPr>
      </w:pPr>
    </w:p>
    <w:p>
      <w:pPr>
        <w:ind w:right="80" w:firstLine="430"/>
        <w:spacing w:after="0" w:line="275" w:lineRule="auto"/>
        <w:tabs>
          <w:tab w:leader="none" w:pos="69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a Demand Registration involves a Public Offering and the lead managing underwriter advises the Company and the Requesting Stockholder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 material and adverse effect on such offering, including the price at which such shares can be sold (the “</w:t>
      </w:r>
      <w:r>
        <w:rPr>
          <w:rFonts w:ascii="Arial" w:cs="Arial" w:eastAsia="Arial" w:hAnsi="Arial"/>
          <w:sz w:val="17"/>
          <w:szCs w:val="17"/>
          <w:u w:val="single" w:color="auto"/>
          <w:color w:val="auto"/>
        </w:rPr>
        <w:t>Maximum Offering Size</w:t>
      </w:r>
      <w:r>
        <w:rPr>
          <w:rFonts w:ascii="Arial" w:cs="Arial" w:eastAsia="Arial" w:hAnsi="Arial"/>
          <w:sz w:val="17"/>
          <w:szCs w:val="17"/>
          <w:color w:val="auto"/>
        </w:rPr>
        <w:t>”), the Company shall include in such registration, in the priority listed below, up to the Maximum Offering Size:</w:t>
      </w:r>
    </w:p>
    <w:p>
      <w:pPr>
        <w:spacing w:after="0" w:line="67" w:lineRule="exact"/>
        <w:rPr>
          <w:rFonts w:ascii="Arial" w:cs="Arial" w:eastAsia="Arial" w:hAnsi="Arial"/>
          <w:sz w:val="17"/>
          <w:szCs w:val="17"/>
          <w:color w:val="auto"/>
        </w:rPr>
      </w:pPr>
    </w:p>
    <w:p>
      <w:pPr>
        <w:ind w:left="440" w:right="220" w:firstLine="413"/>
        <w:spacing w:after="0" w:line="263" w:lineRule="auto"/>
        <w:tabs>
          <w:tab w:leader="none" w:pos="107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first, all Registrable Securities requested to be registered by the Requesting Stockholder and all other Registering Stockholders pro rata on the basis of the relative number of shares of Registrable Securities so requested to be included in such registration by each such Registering Stockholder;</w:t>
      </w:r>
    </w:p>
    <w:p>
      <w:pPr>
        <w:spacing w:after="0" w:line="74" w:lineRule="exact"/>
        <w:rPr>
          <w:rFonts w:ascii="Arial" w:cs="Arial" w:eastAsia="Arial" w:hAnsi="Arial"/>
          <w:sz w:val="18"/>
          <w:szCs w:val="18"/>
          <w:color w:val="auto"/>
        </w:rPr>
      </w:pPr>
    </w:p>
    <w:p>
      <w:pPr>
        <w:ind w:left="1120" w:hanging="267"/>
        <w:spacing w:after="0"/>
        <w:tabs>
          <w:tab w:leader="none" w:pos="11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second, any securities proposed to be registered by the Company; and</w:t>
      </w:r>
    </w:p>
    <w:p>
      <w:pPr>
        <w:spacing w:after="0" w:line="116" w:lineRule="exact"/>
        <w:rPr>
          <w:rFonts w:ascii="Arial" w:cs="Arial" w:eastAsia="Arial" w:hAnsi="Arial"/>
          <w:sz w:val="18"/>
          <w:szCs w:val="18"/>
          <w:color w:val="auto"/>
        </w:rPr>
      </w:pPr>
    </w:p>
    <w:p>
      <w:pPr>
        <w:ind w:left="440" w:right="300" w:firstLine="413"/>
        <w:spacing w:after="0" w:line="277" w:lineRule="auto"/>
        <w:tabs>
          <w:tab w:leader="none" w:pos="117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61" w:lineRule="exact"/>
        <w:rPr>
          <w:rFonts w:ascii="Arial" w:cs="Arial" w:eastAsia="Arial" w:hAnsi="Arial"/>
          <w:sz w:val="18"/>
          <w:szCs w:val="18"/>
          <w:color w:val="auto"/>
        </w:rPr>
      </w:pPr>
    </w:p>
    <w:p>
      <w:pPr>
        <w:ind w:right="20" w:firstLine="430"/>
        <w:spacing w:after="0" w:line="286" w:lineRule="auto"/>
        <w:tabs>
          <w:tab w:leader="none" w:pos="68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but subject to the limitation set forth in the next succeeding paragraph, the Company shall be entitled to suspend its obligation to file (but not the preparation of) any Registration Statement in connection with a Demand Registration and any Shelf Registration, file any amendment to such a Registration Statement, furnish any supplement or amendment to a prospectus included in such a Registration Statement, make any other filing with the SEC, cause such a Registration Statement or other filing with the SEC to become or remain effective or take any similar action (collectively, “</w:t>
      </w:r>
      <w:r>
        <w:rPr>
          <w:rFonts w:ascii="Arial" w:cs="Arial" w:eastAsia="Arial" w:hAnsi="Arial"/>
          <w:sz w:val="16"/>
          <w:szCs w:val="16"/>
          <w:u w:val="single" w:color="auto"/>
          <w:color w:val="auto"/>
        </w:rPr>
        <w:t>Registration Actions</w:t>
      </w:r>
      <w:r>
        <w:rPr>
          <w:rFonts w:ascii="Arial" w:cs="Arial" w:eastAsia="Arial" w:hAnsi="Arial"/>
          <w:sz w:val="16"/>
          <w:szCs w:val="16"/>
          <w:color w:val="auto"/>
        </w:rPr>
        <w:t>”) upon (i) the issuance by the SEC of a stop order suspending the effectiveness of any such Registration Statement or the initiation of proceedings with respect to such a Registration Statement under Section 8(d) or Section 8(e) of the Securities Act, (ii) the Board’s determination, in its good faith judgment, that any such Registration Action should not be taken because it would reasonably be expected to materially interfere with or require the public disclosure of any material corporate development or plan, including any material financing, securities offering, acquisition, disposition, corporate reorganization or merger or other transaction involving the Company or any of its Subsidiaries or (iii) the Company possessing material non-public information the disclosure of which the Board determines, in its good faith judgment, would reasonably be expected to not be in the best interests of the Company. Upon the occurrence of any of the conditions described in (i), (ii) or (iii) above, the Company shall give prompt notice of such suspension (and whether such action is being taken pursuant to (i), (ii) or (iii) above)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to the Stockholders. Upon the termination of such condition, the Company shall give prompt notice thereof to the Stockholders and shall promptly proceed with all Registration Actions that were suspended pursuant to this paragraph.</w:t>
      </w:r>
    </w:p>
    <w:p>
      <w:pPr>
        <w:spacing w:after="0" w:line="16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may only suspend Registration Actions pursuant to the preceding paragraph on two occasions during any one-year period for a reasonable time specified in the Suspension Notice but not exceeding an aggregate of 90 days (which period may not be extended or renewed) (each such occasion, a “</w:t>
      </w:r>
      <w:r>
        <w:rPr>
          <w:rFonts w:ascii="Arial" w:cs="Arial" w:eastAsia="Arial" w:hAnsi="Arial"/>
          <w:sz w:val="18"/>
          <w:szCs w:val="18"/>
          <w:u w:val="single" w:color="auto"/>
          <w:color w:val="auto"/>
        </w:rPr>
        <w:t>Suspension Period</w:t>
      </w:r>
      <w:r>
        <w:rPr>
          <w:rFonts w:ascii="Arial" w:cs="Arial" w:eastAsia="Arial" w:hAnsi="Arial"/>
          <w:sz w:val="18"/>
          <w:szCs w:val="18"/>
          <w:color w:val="auto"/>
        </w:rPr>
        <w:t>”). Each Suspension Period shall be deemed to begin on the date the relevant Suspension Notice is given to the Stockholders and shall be deemed to end on the earlier to occur of (i) the date on which the Company gives the Stockholders a notice that the Suspension Period has terminated and (ii) the date on which the number of days during which a Suspension Period has been in effect exceeds the 90-day period. If the filing of any Demand Registration or Shelf Registration is suspended pursuant to this Section 2.01(e), once the Suspension Period ends, the Requesting Stockholder may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344" w:name="page345"/>
    <w:bookmarkEnd w:id="344"/>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a new Demand Registration and a Stockholder that requested a Shelf Registration may request a new Shelf Registration. Notwithstanding anything to the contrary in this Agreement, the Company shall not be in breach of, or have failed to comply with, any obligation under this Agreement (including without limitation obligations under this Section 2.01(e)) where the Company acts or omits to take any action in order to comply with applicable law, any interpretation of the staff of the SEC or any order or decree of any court or governmental agency.</w:t>
      </w:r>
    </w:p>
    <w:p>
      <w:pPr>
        <w:spacing w:after="0" w:line="62" w:lineRule="exact"/>
        <w:rPr>
          <w:sz w:val="20"/>
          <w:szCs w:val="20"/>
          <w:color w:val="auto"/>
        </w:rPr>
      </w:pPr>
    </w:p>
    <w:p>
      <w:pPr>
        <w:ind w:right="80" w:firstLine="430"/>
        <w:spacing w:after="0" w:line="286" w:lineRule="auto"/>
        <w:tabs>
          <w:tab w:leader="none" w:pos="66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Company shall have no obligation to file a Registration Statement under this Section 2.01 or Section 2.02 or proceed with Registration Actions related thereto during any time such filing or Registration Actions are prohibited by any applicable underwriting or lock-up agreement to which the Company is a party relating to the Initial Public Offering or an offering pursuant to a Registration Statement.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Shelf and Piggyback Registration</w:t>
      </w:r>
      <w:r>
        <w:rPr>
          <w:rFonts w:ascii="Arial" w:cs="Arial" w:eastAsia="Arial" w:hAnsi="Arial"/>
          <w:sz w:val="18"/>
          <w:szCs w:val="18"/>
          <w:i w:val="1"/>
          <w:iCs w:val="1"/>
          <w:color w:val="auto"/>
        </w:rPr>
        <w:t>.</w:t>
      </w:r>
    </w:p>
    <w:p>
      <w:pPr>
        <w:spacing w:after="0" w:line="117" w:lineRule="exact"/>
        <w:rPr>
          <w:sz w:val="20"/>
          <w:szCs w:val="20"/>
          <w:color w:val="auto"/>
        </w:rPr>
      </w:pPr>
    </w:p>
    <w:p>
      <w:pPr>
        <w:ind w:firstLine="430"/>
        <w:spacing w:after="0" w:line="282"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At any time when (i) the Company is eligible to use Form S-3 in connection with a secondary public offering of its equity securities and (ii) a Shelf Registration on a Form S-3 registering Registrable Securities for resale is not then effective (subject to any applicable Suspension Period), upon the written request of any Stockholder, the Company shall use its commercially reasonable efforts to register, under the Securities Act on Form S-3 for an offering on a delayed or continuous basis pursuant to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 offer and sale of all or a portion of the Registrable Securities owned by such Requesting Stockholder. Upon the receipt of such written request, the Company shall promptly give notice (via electronic transmission) of such requested Shelf Registration at least 10 Business Days prior to the anticipated filing date of such Shelf Registration to any Stockholders, and such notice shall describe the proposed Shelf Registration, the intended method of disposition of such Registrable Securities and any other information that at the time would be appropriate to include in such notice, and offer such Stockholders the opportunity to register such number of Registrable Securities as each such Stockholder may request in writing to the Company, given within 10 Business Days after such Stockholders receive the Company’s notice of the Shelf Registration. The “Plan of Distribution” section of such Shelf Registration shall permit all lawful means of disposition of Registrable Securities, including firm-commitment underwritten public offerings, block trades, agented transactions, sales directly into the market, purchases or sales by brokers and sales not involving a public offering. With respect to each Shelf Registration, the Company shall, subject to any Suspension Period, (i) as promptly as practicable after the written request of the Requesting Stockholder, file a Registration Statement and (ii) use its commercially reasonable efforts to cause such Registration Statement to be declared effective as promptly as practicable, and remain effective until the date set forth in Section 2.04(a)(ii). No Stockholder shall be entitled to include any of its Registrable Securities in a Shelf Registration unless such Stockholder has complied with Section 2.15. The Company shall not be required to amend a Shelf Registration (or the related prospectus) to add or change the disclosure regarding selling security holders during any Suspension Period. The obligations set forth in this</w:t>
      </w:r>
    </w:p>
    <w:p>
      <w:pPr>
        <w:spacing w:after="0" w:line="8"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color w:val="auto"/>
        </w:rPr>
        <w:t>Section 2.02(a) shall not apply if the Company has a currently effective Automatic Shelf Registration Statement covering all Registrable Securities in accordance with Section 2.02(f) and has otherwise complied with its obligations pursuant to this Agreement.</w:t>
      </w:r>
    </w:p>
    <w:p>
      <w:pPr>
        <w:spacing w:after="0" w:line="76" w:lineRule="exact"/>
        <w:rPr>
          <w:rFonts w:ascii="Arial" w:cs="Arial" w:eastAsia="Arial" w:hAnsi="Arial"/>
          <w:sz w:val="16"/>
          <w:szCs w:val="16"/>
          <w:color w:val="auto"/>
        </w:rPr>
      </w:pPr>
    </w:p>
    <w:p>
      <w:pPr>
        <w:ind w:right="200" w:firstLine="430"/>
        <w:spacing w:after="0" w:line="296" w:lineRule="auto"/>
        <w:tabs>
          <w:tab w:leader="none" w:pos="69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Upon written request by a Requesting Stockholder holding Shelf Registered Securities (such Stockholder, the “</w:t>
      </w:r>
      <w:r>
        <w:rPr>
          <w:rFonts w:ascii="Arial" w:cs="Arial" w:eastAsia="Arial" w:hAnsi="Arial"/>
          <w:sz w:val="16"/>
          <w:szCs w:val="16"/>
          <w:u w:val="single" w:color="auto"/>
          <w:color w:val="auto"/>
        </w:rPr>
        <w:t>Shelf Public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Requesting Stockholder</w:t>
      </w:r>
      <w:r>
        <w:rPr>
          <w:rFonts w:ascii="Arial" w:cs="Arial" w:eastAsia="Arial" w:hAnsi="Arial"/>
          <w:sz w:val="16"/>
          <w:szCs w:val="16"/>
          <w:color w:val="auto"/>
        </w:rPr>
        <w:t>”), which request (the “</w:t>
      </w:r>
      <w:r>
        <w:rPr>
          <w:rFonts w:ascii="Arial" w:cs="Arial" w:eastAsia="Arial" w:hAnsi="Arial"/>
          <w:sz w:val="16"/>
          <w:szCs w:val="16"/>
          <w:u w:val="single" w:color="auto"/>
          <w:color w:val="auto"/>
        </w:rPr>
        <w:t>Shelf Public Offering Request</w:t>
      </w:r>
      <w:r>
        <w:rPr>
          <w:rFonts w:ascii="Arial" w:cs="Arial" w:eastAsia="Arial" w:hAnsi="Arial"/>
          <w:sz w:val="16"/>
          <w:szCs w:val="16"/>
          <w:color w:val="auto"/>
        </w:rPr>
        <w:t>”) shall specify the class or series and amount of such Shelf Public Offering Requesting Stockholder’s Shelf Registered Securities to be sold (the “</w:t>
      </w:r>
      <w:r>
        <w:rPr>
          <w:rFonts w:ascii="Arial" w:cs="Arial" w:eastAsia="Arial" w:hAnsi="Arial"/>
          <w:sz w:val="16"/>
          <w:szCs w:val="16"/>
          <w:u w:val="single" w:color="auto"/>
          <w:color w:val="auto"/>
        </w:rPr>
        <w:t>Requested Shelf Registered Securities</w:t>
      </w:r>
      <w:r>
        <w:rPr>
          <w:rFonts w:ascii="Arial" w:cs="Arial" w:eastAsia="Arial" w:hAnsi="Arial"/>
          <w:sz w:val="16"/>
          <w:szCs w:val="16"/>
          <w:color w:val="auto"/>
        </w:rPr>
        <w:t>”), the Company shall (subject to any Suspension Period) perform its obligations hereunder with respect to the sale of such Requested Shelf Registered Securities in the form of a firm commitment underwritten public offering (unless otherwise consented to by the Shelf Public Offering Requesting Stockholder) (a “</w:t>
      </w:r>
      <w:r>
        <w:rPr>
          <w:rFonts w:ascii="Arial" w:cs="Arial" w:eastAsia="Arial" w:hAnsi="Arial"/>
          <w:sz w:val="16"/>
          <w:szCs w:val="16"/>
          <w:u w:val="single" w:color="auto"/>
          <w:color w:val="auto"/>
        </w:rPr>
        <w:t>Shelf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345" w:name="page346"/>
    <w:bookmarkEnd w:id="345"/>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Offering</w:t>
      </w:r>
      <w:r>
        <w:rPr>
          <w:rFonts w:ascii="Arial" w:cs="Arial" w:eastAsia="Arial" w:hAnsi="Arial"/>
          <w:sz w:val="17"/>
          <w:szCs w:val="17"/>
          <w:color w:val="auto"/>
        </w:rPr>
        <w:t>”) if the aggregate proceeds expected to be received from the sale of the Requested Shelf Registered Securities equals or exceeds</w:t>
      </w:r>
    </w:p>
    <w:p>
      <w:pPr>
        <w:spacing w:after="0" w:line="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$25,000,000. Promptly upon receipt of a Shelf Public Offering Request, the Company shall provide notice (the “</w:t>
      </w:r>
      <w:r>
        <w:rPr>
          <w:rFonts w:ascii="Arial" w:cs="Arial" w:eastAsia="Arial" w:hAnsi="Arial"/>
          <w:sz w:val="16"/>
          <w:szCs w:val="16"/>
          <w:u w:val="single" w:color="auto"/>
          <w:color w:val="auto"/>
        </w:rPr>
        <w:t>Shelf Public Offering Notice</w:t>
      </w:r>
      <w:r>
        <w:rPr>
          <w:rFonts w:ascii="Arial" w:cs="Arial" w:eastAsia="Arial" w:hAnsi="Arial"/>
          <w:sz w:val="16"/>
          <w:szCs w:val="16"/>
          <w:color w:val="auto"/>
        </w:rPr>
        <w:t>”) of such proposed Shelf Public Offering (which notice shall state the material terms of such proposed Shelf Public Offering, to the extent known, as well as the identity of the Shelf Public Offering Requesting Stockholder) to any other Stockholders holding Shelf Registered Securities. Such other Stockholders may, by written request to the Company and the Shelf Public Offering Requesting Stockholder, within two Business Days after receipt of such Shelf Public Offering Notice, include up to all of their Shelf Registered Securities of the same class or series as the Requested Shelf Registered Securities in such proposed Shelf Public Offering; provided, that any such Shelf Registered Securities shall be sold subject to the same terms as are applicable to the Shelf Registered Securities of the Shelf Public Offering Requesting Stockholder. No Stockholder shall be entitled to include any of its Registrable Securities in a Shelf Public Offering unless such Stockholder has complied with Section 2.15. The lead managing underwriter or underwriters selected for such Shelf Public Offering shall be selected in accordance with Section 2.04(f)(i).</w:t>
      </w:r>
    </w:p>
    <w:p>
      <w:pPr>
        <w:spacing w:after="0" w:line="63" w:lineRule="exact"/>
        <w:rPr>
          <w:sz w:val="20"/>
          <w:szCs w:val="20"/>
          <w:color w:val="auto"/>
        </w:rPr>
      </w:pPr>
    </w:p>
    <w:p>
      <w:pPr>
        <w:ind w:right="120" w:firstLine="430"/>
        <w:spacing w:after="0" w:line="259" w:lineRule="auto"/>
        <w:tabs>
          <w:tab w:leader="none" w:pos="68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a Shelf Public Offering, if the lead managing underwriter advises the Company and the Shelf Public Offering Requesting Stockholder that, in its view, the number of shares of Registrable Securities requested to be included in such Shelf Public Offering (including any securities that the Company proposes to be included that are not Registrable Securities) exceeds the Maximum Offering Size, the Company shall include in such Shelf Public Offering, in the priority listed below, up to the Maximum Offering Size:</w:t>
      </w:r>
    </w:p>
    <w:p>
      <w:pPr>
        <w:spacing w:after="0" w:line="77" w:lineRule="exact"/>
        <w:rPr>
          <w:rFonts w:ascii="Arial" w:cs="Arial" w:eastAsia="Arial" w:hAnsi="Arial"/>
          <w:sz w:val="18"/>
          <w:szCs w:val="18"/>
          <w:color w:val="auto"/>
        </w:rPr>
      </w:pPr>
    </w:p>
    <w:p>
      <w:pPr>
        <w:ind w:left="440" w:right="360" w:firstLine="413"/>
        <w:spacing w:after="0" w:line="263" w:lineRule="auto"/>
        <w:tabs>
          <w:tab w:leader="none" w:pos="107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first, all Shelf Registered Securities requested to be included in the Shelf Public Offering by the Shelf Public Offering Requesting Stockholder and all other Stockholders, pro rata on the basis of the relative number of shares of Shelf Registered Securities so requested to be included in the Shelf Public Offering by each such Stockholder;</w:t>
      </w:r>
    </w:p>
    <w:p>
      <w:pPr>
        <w:spacing w:after="0" w:line="74" w:lineRule="exact"/>
        <w:rPr>
          <w:rFonts w:ascii="Arial" w:cs="Arial" w:eastAsia="Arial" w:hAnsi="Arial"/>
          <w:sz w:val="18"/>
          <w:szCs w:val="18"/>
          <w:color w:val="auto"/>
        </w:rPr>
      </w:pPr>
    </w:p>
    <w:p>
      <w:pPr>
        <w:ind w:left="1120" w:hanging="267"/>
        <w:spacing w:after="0"/>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second, any securities proposed to be included in the Shelf Public Offering by the Company; and</w:t>
      </w:r>
    </w:p>
    <w:p>
      <w:pPr>
        <w:spacing w:after="0" w:line="116" w:lineRule="exact"/>
        <w:rPr>
          <w:rFonts w:ascii="Arial" w:cs="Arial" w:eastAsia="Arial" w:hAnsi="Arial"/>
          <w:sz w:val="18"/>
          <w:szCs w:val="18"/>
          <w:color w:val="auto"/>
        </w:rPr>
      </w:pPr>
    </w:p>
    <w:p>
      <w:pPr>
        <w:ind w:left="440" w:right="480" w:firstLine="413"/>
        <w:spacing w:after="0" w:line="277" w:lineRule="auto"/>
        <w:tabs>
          <w:tab w:leader="none" w:pos="117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third, any securities proposed to be included in the Shelf Public Offering for the account of any other Persons, with such priorities among them as the Company shall determine.</w:t>
      </w:r>
    </w:p>
    <w:p>
      <w:pPr>
        <w:spacing w:after="0" w:line="61" w:lineRule="exact"/>
        <w:rPr>
          <w:rFonts w:ascii="Arial" w:cs="Arial" w:eastAsia="Arial" w:hAnsi="Arial"/>
          <w:sz w:val="18"/>
          <w:szCs w:val="18"/>
          <w:color w:val="auto"/>
        </w:rPr>
      </w:pPr>
    </w:p>
    <w:p>
      <w:pPr>
        <w:ind w:firstLine="430"/>
        <w:spacing w:after="0" w:line="288" w:lineRule="auto"/>
        <w:tabs>
          <w:tab w:leader="none" w:pos="69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cooperate in a timely manner with any request of the Stockholders in respect of any block trade, hedging transaction or other transaction that is registered pursuant to a Shelf Registration that is not a firm commitment underwritten offering (each, an “</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including, without limitation, entering into customary agreements with respect to such Alternative Transactions (and providing customary representations, warranties, covenants and indemnities in such agreements) as well as providing other reasonable assistance in respect of such Alternative Transactions of the type applicable to a Public Offering subject to Section 2.04, to the extent customary for such transactions. The Company shall bear all Registration Expenses in connection with any Shelf Registration, any Shelf Public Offering or any other transaction (including any Alternative Transaction) registered under a Shelf Registration pursuant to this Section 2.02, whether or not such Shelf Registration becomes effective or such Shelf Public Offering or other transaction is completed; provided, however, that if the Shelf Public Offering Requesting Stockholder revokes its request in whole with respect to a Shelf Public Offering, then the Shelf Public Offering Requesting Stockholder shall reimburse the Company for and/or pay directly all Registration Expenses incurred relating to such Shelf Public Offering.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46" w:name="page347"/>
    <w:bookmarkEnd w:id="346"/>
    <w:p>
      <w:pPr>
        <w:ind w:left="-20" w:right="120" w:firstLine="430"/>
        <w:spacing w:after="0" w:line="291" w:lineRule="auto"/>
        <w:tabs>
          <w:tab w:leader="none" w:pos="665"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Registration Statement with respect to a Shelf Registration is declared effective but subject to the Suspension Period, upon written request by one or more Stockholders (which written request shall specify the amount of such Stockholders’ Registrable Securities to be registered), the Company shall, as promptly as practicable after receiving such request, (i) if it is eligible for use of Form S-3 in connection with a secondary public offering of its equity securities, or if such Registration Statement is an Automatic Shelf Registration Statement, file a prospectus supplement to include such Stockholders as selling stockholders in such Registration Statement or (ii) if it is not eligible for use of Form S-3 in connection with a secondary public offering of its equity securities, file a post-effective amendment to the Registration Statement to include such Stockholders in such Shelf Registration and use commercially reasonable efforts to have such post-effective amendment declared effective.</w:t>
      </w:r>
    </w:p>
    <w:p>
      <w:pPr>
        <w:spacing w:after="0" w:line="57" w:lineRule="exact"/>
        <w:rPr>
          <w:rFonts w:ascii="Arial" w:cs="Arial" w:eastAsia="Arial" w:hAnsi="Arial"/>
          <w:sz w:val="16"/>
          <w:szCs w:val="16"/>
          <w:color w:val="auto"/>
        </w:rPr>
      </w:pPr>
    </w:p>
    <w:p>
      <w:pPr>
        <w:ind w:left="-20" w:right="20" w:firstLine="430"/>
        <w:spacing w:after="0" w:line="285" w:lineRule="auto"/>
        <w:tabs>
          <w:tab w:leader="none" w:pos="64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Upon the Company becoming aware that it is a “</w:t>
      </w: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(as defined in Rule 405 under the Securities Act), (i) the Company shall give written notice to all of the Stockholders as promptly as practicable but in no event later than 10 Business Days thereafter, and such notice shall describe, in reasonable detail, the basis on which the Company has become a Well-Known Seasoned Issuer, and (ii) the Company shall, as promptly as practicable and subject to any Suspension Period, register, under an Automatic Shelf Registration Statement, the sale of all of the Registrable Securities in accordance with the terms of this Agreement. The Company shall use its commercially reasonable efforts to file such Automatic Shelf Registration Statement as promptly as practicable, but in no event later than 20 Business Days after it becomes a Well-Known Seasoned Issuer, and to cause such Automatic Shelf Registration Statement to remain effective thereafter until the date set forth in Section 2.04(a)(ii). The Company shall give written notice of filing such Registration Statement to all of the Stockholders as promptly as practicable thereafter. The Company shall not be required to include any Stockholder as a selling stockholder in any Registration Statement or prospectus unless such Stockholder has complied with Section 2.15. At any time after the filing of an Automatic Shelf Registration Statement by the Company, if it is reasonably likely that it will no longer be a Well-Known Seasoned Issuer as of a future determination date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at least 20 Business Days prior to such Determination Date, the Company shall (A) give written notice thereof to all of the Stockholders as promptly as practicable but in no event later than 10 Business Days prior to such Determination Date and (B) if the Company is eligible to file a Registration Statement on Form S-3 with respect to a secondary public offering of its equity securities, file a Registration Statement on Form S-3 with respect to a Shelf Registration in accordance with Section 2.02(a), treating all selling Stockholders identified as such in the Automatic Shelf Registration Statement (and amendments or supplements thereto) as Requesting Stockholders and use all commercially reasonable efforts to have such Registration Statement declared effective prior to the Determination Date. Any registration pursuant to this Section 2.02(f) shall be deemed a Shelf Registration for purposes of this Agreement.</w:t>
      </w:r>
    </w:p>
    <w:p>
      <w:pPr>
        <w:spacing w:after="0" w:line="62" w:lineRule="exact"/>
        <w:rPr>
          <w:rFonts w:ascii="Arial" w:cs="Arial" w:eastAsia="Arial" w:hAnsi="Arial"/>
          <w:sz w:val="16"/>
          <w:szCs w:val="16"/>
          <w:color w:val="auto"/>
        </w:rPr>
      </w:pPr>
    </w:p>
    <w:p>
      <w:pPr>
        <w:ind w:left="-20" w:right="440" w:firstLine="430"/>
        <w:spacing w:after="0" w:line="277" w:lineRule="auto"/>
        <w:tabs>
          <w:tab w:leader="none" w:pos="67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Notwithstanding anything to the contrary, no Shelf Registration pursuant to this Section 2.02 shall be deemed a Demand Registration for purposes of Section 2.01.</w:t>
      </w:r>
    </w:p>
    <w:p>
      <w:pPr>
        <w:spacing w:after="0" w:line="61" w:lineRule="exact"/>
        <w:rPr>
          <w:rFonts w:ascii="Arial" w:cs="Arial" w:eastAsia="Arial" w:hAnsi="Arial"/>
          <w:sz w:val="18"/>
          <w:szCs w:val="18"/>
          <w:color w:val="auto"/>
        </w:rPr>
      </w:pPr>
    </w:p>
    <w:p>
      <w:pPr>
        <w:ind w:left="660" w:hanging="250"/>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420" w:firstLine="413"/>
        <w:spacing w:after="0" w:line="290" w:lineRule="auto"/>
        <w:tabs>
          <w:tab w:leader="none" w:pos="105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If the Company proposes to register any Company Securities under the Securities Act (other than a registration on Form S-8 or Form S-4 relating to Shares or any other class of Company Securities issuable upon exercise of employee stock options or in connection with any employee benefit or similar plan of the Company or in connection with a direct or indirect acquisition by the Company of another Person) other than in connection with a rights offering, whether or not for sale for its own account, the Company shall each such time give prompt notice (via electronic transmission) at least 10 Business Days prior to the anticipated filing date of the registration statement relating to such registration to each Stockholder, which notice shall offer such Stockholder the opportunity to include in such registration statement the number of Registrable Securities of the same class or series as those proposed to be registered as each such Stockholder may request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subject to the provisions of Section 2.02(h)(ii). Upon the request of any such Stockholder made within 10 Business Days after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347" w:name="page348"/>
    <w:bookmarkEnd w:id="347"/>
    <w:p>
      <w:pPr>
        <w:ind w:left="45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of notice from the Company regarding a Piggyback Registration (which request shall specify the number of Registrable Securities intended to be registered by such Stockholder), the Company shall use its commercially reasonable efforts to effect the registration under the Securities Act of all Registrable Securities that the Company has been so requested to register by all such Requesting Stockholders, to the extent requisite to permit the disposition of the Registrable Securities so to be registered in accordance with the plan of distribution intended by the Company for such registration statement; provided that (i) if such registration involves a Public Offering, all such Registering Stockholders requesting to be included in the Company’s registration must sell their Registrable Securities to the underwriters selected as provided in Section 2.04(f)(i) on the same terms and conditions as apply to the Company and (ii) if, at any time after giving notice of its intention to register any Company Securities pursuant to this Section 2.02(h) and prior to the effective date of the registration statement filed in connection with such registration, the Company shall determine for any reason not to register such securities, the Company shall give notice to all Registering Stockholders and, thereupon, shall be relieved of its obligation to register any Registrable Securities in connection with such registration. No registration effected under this Section 2.02(h) shall relieve the Company of its obligations to effect a Demand Registration to the extent required by Section 2.01 or a Shelf Registration to the extent required by Section 2.02. The Company shall pay all Registration Expenses in connection with each Piggyback Registration.</w:t>
      </w:r>
    </w:p>
    <w:p>
      <w:pPr>
        <w:spacing w:after="0" w:line="76" w:lineRule="exact"/>
        <w:rPr>
          <w:sz w:val="20"/>
          <w:szCs w:val="20"/>
          <w:color w:val="auto"/>
        </w:rPr>
      </w:pPr>
    </w:p>
    <w:p>
      <w:pPr>
        <w:ind w:left="450" w:firstLine="413"/>
        <w:spacing w:after="0" w:line="301" w:lineRule="auto"/>
        <w:tabs>
          <w:tab w:leader="none" w:pos="113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If a Piggyback Registration involves a Public Offering (other than any Demand Registration, in which case the provisions with respect to priority of inclusion in such offering set forth in Section 2.01(d) shall apply) and the lead managing underwriter advises the Company that, in its view, the number of Registrable Securities that the Company and such Registering Stockholders intend to include in such registration exceeds the Maximum Offering Size, the Company shall include in such registration, in the following priority, up to the Maximum Offering Size:</w:t>
      </w:r>
    </w:p>
    <w:p>
      <w:pPr>
        <w:spacing w:after="0" w:line="48" w:lineRule="exact"/>
        <w:rPr>
          <w:rFonts w:ascii="Arial" w:cs="Arial" w:eastAsia="Arial" w:hAnsi="Arial"/>
          <w:sz w:val="16"/>
          <w:szCs w:val="16"/>
          <w:color w:val="auto"/>
        </w:rPr>
      </w:pPr>
    </w:p>
    <w:p>
      <w:pPr>
        <w:ind w:left="990" w:right="500" w:firstLine="401"/>
        <w:spacing w:after="0" w:line="277" w:lineRule="auto"/>
        <w:tabs>
          <w:tab w:leader="none" w:pos="168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 as would not cause the offering to exceed the Maximum Offering Size;</w:t>
      </w:r>
    </w:p>
    <w:p>
      <w:pPr>
        <w:spacing w:after="0" w:line="61" w:lineRule="exact"/>
        <w:rPr>
          <w:rFonts w:ascii="Arial" w:cs="Arial" w:eastAsia="Arial" w:hAnsi="Arial"/>
          <w:sz w:val="18"/>
          <w:szCs w:val="18"/>
          <w:color w:val="auto"/>
        </w:rPr>
      </w:pPr>
    </w:p>
    <w:p>
      <w:pPr>
        <w:jc w:val="both"/>
        <w:ind w:left="990" w:right="160" w:firstLine="401"/>
        <w:spacing w:after="0" w:line="259" w:lineRule="auto"/>
        <w:tabs>
          <w:tab w:leader="none" w:pos="167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any Registering Stockholders pursuant to this Section 2.02(h) (allocated, if necessary for the offering not to exceed the Maximum Offering Size, pro rata among such Stockholders on the basis of the relative number of shares of Registrable Securities so requested to be included in such registration by each such Stockholder); and</w:t>
      </w:r>
    </w:p>
    <w:p>
      <w:pPr>
        <w:spacing w:after="0" w:line="77" w:lineRule="exact"/>
        <w:rPr>
          <w:rFonts w:ascii="Arial" w:cs="Arial" w:eastAsia="Arial" w:hAnsi="Arial"/>
          <w:sz w:val="18"/>
          <w:szCs w:val="18"/>
          <w:color w:val="auto"/>
        </w:rPr>
      </w:pPr>
    </w:p>
    <w:p>
      <w:pPr>
        <w:ind w:left="990" w:right="580" w:firstLine="401"/>
        <w:spacing w:after="0" w:line="277" w:lineRule="auto"/>
        <w:tabs>
          <w:tab w:leader="none" w:pos="167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7" w:lineRule="exact"/>
        <w:rPr>
          <w:sz w:val="20"/>
          <w:szCs w:val="20"/>
          <w:color w:val="auto"/>
        </w:rPr>
      </w:pPr>
    </w:p>
    <w:p>
      <w:pPr>
        <w:ind w:left="10" w:right="20" w:firstLine="430"/>
        <w:spacing w:after="0" w:line="286" w:lineRule="auto"/>
        <w:tabs>
          <w:tab w:leader="none" w:pos="69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Each Stockholder hereby agrees that it will not effect any public sale or distribution (including sales pursuant to Rule 144) of Registrable Securities (i) during (A) the 10 days prior to and the 90-day period beginning on the effective date of the registration of such Registrable Securities in connection with a Public Offering (which period following the effective date may, in each case, be extended as reasonably requested by the underwriters participating in such Public Offering to accommodate regulatory restrictions on (I) the publication or other distribution of research reports and</w:t>
      </w:r>
    </w:p>
    <w:p>
      <w:pPr>
        <w:ind w:left="10" w:right="420" w:hanging="10"/>
        <w:spacing w:after="0" w:line="255" w:lineRule="auto"/>
        <w:tabs>
          <w:tab w:leader="none" w:pos="29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analyst recommendations and opinions, including, but not limited to, the restrictions contained in FINRA rules or any successor provisions or amendments thereto) or (B) such shorter period as the underwriters participating in such Public Offering may require, and (ii) upon notice from the Company of the</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0"/>
          </w:cols>
          <w:pgMar w:left="450" w:top="274" w:right="459" w:bottom="1440" w:gutter="0" w:footer="0" w:header="0"/>
        </w:sectPr>
      </w:pPr>
    </w:p>
    <w:bookmarkStart w:id="348" w:name="page349"/>
    <w:bookmarkEnd w:id="34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of a Public Offering in connection with any Shelf Registration, during (A) 10 days prior to and the 90-day period beginning on the date of commencement of such Public Offering or (B) such shorter period as the underwriters participating in such Public Offering may require, in each case except as part of such Public Offering. Each Stockholder agrees to execute a lock-up agreement in favor of the underwriters in form and substance reasonably acceptable to the Company and the underwriters to such effect and, in any event, that the underwriters in any relevant offering shall be third party beneficiaries of this Section 2.03(a). The lock-up agreement to be executed by each Stockholder pursuant to this Section 2.03(a) shall be no less favorable to such Stockholder than the lock-up agreements (or provisions in any underwriting agreement) executed by the Company or any of the executive officers or directors of the Company pursuant to Section 2.03(b).</w:t>
      </w:r>
    </w:p>
    <w:p>
      <w:pPr>
        <w:spacing w:after="0" w:line="68" w:lineRule="exact"/>
        <w:rPr>
          <w:sz w:val="20"/>
          <w:szCs w:val="20"/>
          <w:color w:val="auto"/>
        </w:rPr>
      </w:pPr>
    </w:p>
    <w:p>
      <w:pPr>
        <w:ind w:firstLine="430"/>
        <w:spacing w:after="0" w:line="268"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Company shall not effect any public sale or distribution of securities of the same type and class as Registrable Securities (except pursuant to registrations on Form S-8 or Form S-4) (i) with respect to any Public Offering pursuant to a Demand Registration or any Piggyback Registration in which the holders of Registrable Securities are participating, during (A) the 10 days prior to and the 90-day period beginning on the effective date of such registration (which period following the effective date may, in each case, be extended as reasonably requested by the underwriters participating in such Public Offering to accommodate regulatory restrictions on (I) the publication or other distribution of research reports and (II) analyst recommendations and opinions, including, but not limited to, the restrictions contained in FINRA rules or any successor provisions or amendments thereto) or (B) such shorter period as the underwriters participating in such Public Offering may require, and (ii) upon notice from any holder(s) of Registrable Securities subject to a Shelf Registration that such holder(s) intend to effect a Public Offering of Registrable Securities pursuant to such Shelf Registration (upon receipt of which, the Company will promptly notify all other Stockholders of the date of commencement of such Public Offering), during (A) the 10 days prior to and the 90-day period beginning on the date of commencement of such Public Offering and (B) such shorter period as the underwriters participating in such Public Offering may require), in each case except as part of such Public Offering. To the extent required by any underwriter participating in such Public Offering, the Company shall use commercially reasonable efforts to cause its executive officers and directors to execute customary lock-up agreements in connection with such Public Offering, which lock-up agreements shall not have a duration shorter than that of the lock-up agreement or provisions applicable to the Company.</w:t>
      </w:r>
    </w:p>
    <w:p>
      <w:pPr>
        <w:spacing w:after="0" w:line="18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Registration Procedures</w:t>
      </w:r>
      <w:r>
        <w:rPr>
          <w:rFonts w:ascii="Arial" w:cs="Arial" w:eastAsia="Arial" w:hAnsi="Arial"/>
          <w:sz w:val="18"/>
          <w:szCs w:val="18"/>
          <w:i w:val="1"/>
          <w:iCs w:val="1"/>
          <w:color w:val="auto"/>
        </w:rPr>
        <w:t>.</w:t>
      </w:r>
      <w:r>
        <w:rPr>
          <w:rFonts w:ascii="Arial" w:cs="Arial" w:eastAsia="Arial" w:hAnsi="Arial"/>
          <w:sz w:val="18"/>
          <w:szCs w:val="18"/>
          <w:color w:val="auto"/>
        </w:rPr>
        <w:t xml:space="preserve"> Whenever a Stockholder requests that any Registrable Securities be registered pursuant to Section 2.01 or Section 2.02, subject to the provisions of such Sections, the Company shall use its commercially reasonable efforts to effect the registration and the sale of such Registrable Securities in accordance with the intended method of disposition thereof as soon as reasonably practicable and, in connection with any such request:</w:t>
      </w:r>
    </w:p>
    <w:p>
      <w:pPr>
        <w:spacing w:after="0" w:line="78" w:lineRule="exact"/>
        <w:rPr>
          <w:sz w:val="20"/>
          <w:szCs w:val="20"/>
          <w:color w:val="auto"/>
        </w:rPr>
      </w:pPr>
    </w:p>
    <w:p>
      <w:pPr>
        <w:ind w:right="40" w:firstLine="430"/>
        <w:spacing w:after="0" w:line="291" w:lineRule="auto"/>
        <w:tabs>
          <w:tab w:leader="none" w:pos="68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Company shall as soon as reasonably practicable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for a period of (i) not less than 180 days (or, if sooner, until all Registrable Securities have been sold under such Registration Statement), or (ii) in the case of a Shelf Registration, until the earlier of the date (x) on which all of the securities covered by such Shelf Registration are no longer Registrable Securities and (y) on which the Company cannot extend the effectiveness of such Shelf Registration because it is no longer eligible for use of Form S-3; subject in each case to any Suspension Period.</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60" w:top="273" w:right="519" w:bottom="1440" w:gutter="0" w:footer="0" w:header="0"/>
        </w:sectPr>
      </w:pPr>
    </w:p>
    <w:bookmarkStart w:id="349" w:name="page350"/>
    <w:bookmarkEnd w:id="349"/>
    <w:p>
      <w:pPr>
        <w:ind w:left="10" w:right="60" w:firstLine="430"/>
        <w:spacing w:after="0" w:line="285" w:lineRule="auto"/>
        <w:tabs>
          <w:tab w:leader="none" w:pos="705" w:val="left"/>
        </w:tabs>
        <w:numPr>
          <w:ilvl w:val="1"/>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filing a Registration Statement or related prospectus or any amendment or supplement thereto, or before using any Free Writing Prospectus, the Company shall provide each Registering Stockholder, the Holders’ Counsel and each underwriter, if any, with an adequate and appropriate opportunity to review and comment on such Registration Statement, each prospectus included therein (and each amendment or supplement thereto) and each Free Writing Prospectus proposed to be filed with the SEC, and thereafter the Company shall furnish to such Registering Stockholder, the Holders’ Counsel and underwriter, if any, such number of copies of such Registration Statement, each amendment and supplement thereto filed with the SEC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each Free Writing Prospectus and such other documents as such Registering Stockholder or underwriter may reasonably request in order to facilitate the disposition of the Registrable Securities owned by such Registering Stockholder. In addition, the Company shall, as expeditiously as practicable, keep Holders’ Counsel advised in writing as to the initiation and progress of any registration under Section 2.01 or Section 2.02 and provide Holders’ Counsel with copies of all correspondence (including any comment letter) with the SEC, any self-regulatory organization or other governmental agency in connection with any such Registration Statement. Each Registering Stockholder shall have the right to request that the Company modify any information pertaining to such Registering Stockholder contained in such Registration Statement, amendment and supplement thereto or any Free Writing Prospectus, and the Company shall use its commercially reasonable efforts to comply with such request; provided, however, that the Company shall not have any obligation to so modify any information if the Company reasonably expects that so doing would cause the prospectus to contain an untrue statement of a material fact or omit to state any material fact required to be stated therein or necessary to make the statements therein not misleading.</w:t>
      </w:r>
    </w:p>
    <w:p>
      <w:pPr>
        <w:spacing w:after="0" w:line="62" w:lineRule="exact"/>
        <w:rPr>
          <w:rFonts w:ascii="Arial" w:cs="Arial" w:eastAsia="Arial" w:hAnsi="Arial"/>
          <w:sz w:val="16"/>
          <w:szCs w:val="16"/>
          <w:color w:val="auto"/>
        </w:rPr>
      </w:pPr>
    </w:p>
    <w:p>
      <w:pPr>
        <w:ind w:left="10" w:right="40" w:firstLine="430"/>
        <w:spacing w:after="0" w:line="272" w:lineRule="auto"/>
        <w:tabs>
          <w:tab w:leader="none" w:pos="694"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applicable to the Company with respect to the disposition of all Registrable Securities covered by such Registration Statement during the applicable period in accordance with the intended methods of disposition by the Registering Stockholder thereof set forth in such Registration Statement or supplement to such prospectus and (iii) promptly notify each Registering Stockholder holding Registrable Securities covered by such Registration Statement and the Holders’ Counsel of any stop order issued or threatened by the SEC or any state securities commission and take all commercially reasonable actions required to prevent the entry of such stop order or to remove it if entered.</w:t>
      </w:r>
    </w:p>
    <w:p>
      <w:pPr>
        <w:spacing w:after="0" w:line="67" w:lineRule="exact"/>
        <w:rPr>
          <w:rFonts w:ascii="Arial" w:cs="Arial" w:eastAsia="Arial" w:hAnsi="Arial"/>
          <w:sz w:val="17"/>
          <w:szCs w:val="17"/>
          <w:color w:val="auto"/>
        </w:rPr>
      </w:pPr>
    </w:p>
    <w:p>
      <w:pPr>
        <w:ind w:left="10" w:firstLine="430"/>
        <w:spacing w:after="0" w:line="283" w:lineRule="auto"/>
        <w:tabs>
          <w:tab w:leader="none" w:pos="705"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or qualify the Registrable Securities covered by such Registration Statement under such securities or “blue sky” laws of such jurisdictions in the United States as any Registering Stockholder holding such Registrable Securities reasonably (in light of such Registering Stockholder’s intended plan of distribution) requests, and continue such registration or qualification in effect in such jurisdiction for the shortest of (A) as long as permissible pursuant to the laws of such jurisdiction, (B) as long as any such Registering Stockholder requests or (C) until all such Registrable Securities are sold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Registering Stockholder to consummate the disposition of the Registrable Securities owned by such Registering Stockholder; provided that the Company shall not be required to (A) qualify generally to do business in any jurisdiction where it would not otherwise be required to qualify but for this Section 2.04(d), (B) subject itself to taxation in any such jurisdiction or</w:t>
      </w:r>
    </w:p>
    <w:p>
      <w:pPr>
        <w:spacing w:after="0" w:line="4" w:lineRule="exact"/>
        <w:rPr>
          <w:rFonts w:ascii="Arial" w:cs="Arial" w:eastAsia="Arial" w:hAnsi="Arial"/>
          <w:sz w:val="16"/>
          <w:szCs w:val="16"/>
          <w:color w:val="auto"/>
        </w:rPr>
      </w:pPr>
    </w:p>
    <w:p>
      <w:pPr>
        <w:ind w:left="290" w:hanging="290"/>
        <w:spacing w:after="0"/>
        <w:tabs>
          <w:tab w:leader="none" w:pos="29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3" w:right="439" w:bottom="1440" w:gutter="0" w:footer="0" w:header="0"/>
        </w:sectPr>
      </w:pPr>
    </w:p>
    <w:bookmarkStart w:id="350" w:name="page351"/>
    <w:bookmarkEnd w:id="350"/>
    <w:p>
      <w:pPr>
        <w:ind w:left="690" w:hanging="250"/>
        <w:spacing w:after="0"/>
        <w:tabs>
          <w:tab w:leader="none" w:pos="690" w:val="left"/>
        </w:tabs>
        <w:numPr>
          <w:ilvl w:val="1"/>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promptly notify each Registering Stockholder holding such Registrable Securities covered by such Registration Statement</w:t>
      </w:r>
    </w:p>
    <w:p>
      <w:pPr>
        <w:spacing w:after="0" w:line="46" w:lineRule="exact"/>
        <w:rPr>
          <w:rFonts w:ascii="Arial" w:cs="Arial" w:eastAsia="Arial" w:hAnsi="Arial"/>
          <w:sz w:val="16"/>
          <w:szCs w:val="16"/>
          <w:color w:val="auto"/>
        </w:rPr>
      </w:pPr>
    </w:p>
    <w:p>
      <w:pPr>
        <w:ind w:left="10" w:hanging="10"/>
        <w:spacing w:after="0" w:line="267" w:lineRule="auto"/>
        <w:tabs>
          <w:tab w:leader="none" w:pos="22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at any time when a prospectus relating thereto is required to be delivered under the Securities Act, upon the discovery that, or upon the occurrence of an event as a result of which, the preparation of a supplement or amendment to such prospectus is required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the Company shall promptly (subject to any applicable Suspension Period) prepare and make available to each Registering Stockholder and file with the SEC any such supplement or amendment, (ii) as soon as the Company becomes aware of any request by the SEC or any federal or state governmental authority for amendments or supplements to a Registration Statement or related prospectus covering Registrable Securities or for additional information relating thereto, (iii) as soon as the Company becomes aware of the issuance or threatened issuance by the SEC of any stop order suspending or threatening to suspend the effectiveness of a Registration Statement covering the Registrable Securities or (iv) of the receipt by the Company of any notification with respect to the suspension of the qualification or exemption from qualification of any Registrable Securities for sale in any jurisdiction, or the initiation or threatening of any proceeding for such purpose.</w:t>
      </w:r>
    </w:p>
    <w:p>
      <w:pPr>
        <w:spacing w:after="0" w:line="75" w:lineRule="exact"/>
        <w:rPr>
          <w:rFonts w:ascii="Arial" w:cs="Arial" w:eastAsia="Arial" w:hAnsi="Arial"/>
          <w:sz w:val="17"/>
          <w:szCs w:val="17"/>
          <w:color w:val="auto"/>
        </w:rPr>
      </w:pPr>
    </w:p>
    <w:p>
      <w:pPr>
        <w:ind w:left="10" w:right="40" w:firstLine="430"/>
        <w:spacing w:after="0" w:line="289" w:lineRule="auto"/>
        <w:tabs>
          <w:tab w:leader="none" w:pos="675"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The Registering Stockholders holding a majority of the Registrable Securities to be included in a Demand Registration or intended to be sold pursuant to a Public Offering pursuant to a “take down” under a Shelf Registration shall have the right to select an underwriter or underwriters in connection with such Public Offering or “take down” (as the case may be) (which underwriter or underwriters may include any Affiliate of any Registering Stockholder so long as including such Affiliate would not require the separate engagement of a qualified independent underwriter with respect to such offering), subject to the Company’s approval (which shall not be unreasonably withheld, conditioned or delayed) and (ii) the Company shall select an underwriter or underwriters in connection with any other Public Offering. In connection with any Public Offering, the Company shall enter into customary agreements (including an underwriting agreement in customary form) and take all other actions as are reasonably required in order to expedite or facilitate the disposition of such Registrable Securities in any such Public Offering, including, if required, the engagement of a “qualified independent underwriter” in connection with the qualification of the underwriting arrangements with FINRA.</w:t>
      </w:r>
    </w:p>
    <w:p>
      <w:pPr>
        <w:spacing w:after="0" w:line="56" w:lineRule="exact"/>
        <w:rPr>
          <w:rFonts w:ascii="Arial" w:cs="Arial" w:eastAsia="Arial" w:hAnsi="Arial"/>
          <w:sz w:val="16"/>
          <w:szCs w:val="16"/>
          <w:color w:val="auto"/>
        </w:rPr>
      </w:pPr>
    </w:p>
    <w:p>
      <w:pPr>
        <w:ind w:left="10" w:right="60" w:firstLine="430"/>
        <w:spacing w:after="0" w:line="272" w:lineRule="auto"/>
        <w:tabs>
          <w:tab w:leader="none" w:pos="705" w:val="left"/>
        </w:tabs>
        <w:numPr>
          <w:ilvl w:val="1"/>
          <w:numId w:val="265"/>
        </w:numPr>
        <w:rPr>
          <w:rFonts w:ascii="Arial" w:cs="Arial" w:eastAsia="Arial" w:hAnsi="Arial"/>
          <w:sz w:val="17"/>
          <w:szCs w:val="17"/>
          <w:color w:val="auto"/>
        </w:rPr>
      </w:pPr>
      <w:r>
        <w:rPr>
          <w:rFonts w:ascii="Arial" w:cs="Arial" w:eastAsia="Arial" w:hAnsi="Arial"/>
          <w:sz w:val="17"/>
          <w:szCs w:val="17"/>
          <w:color w:val="auto"/>
        </w:rPr>
        <w:t>Subject to confidentiality arrangements customarily applicable to underwriters and the Registering Stockholders, the Company shall make available for inspection by any Registering Stockholder and any underwriter participating in any disposition pursuant to a Registration Statement being filed by the Company pursuant to this Section 2.04 and any attorney, accountant or other professional retained by any such Stockholder or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pertinent corporate documents and properties of the Company and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or desirable to enable them to exercise their due diligence responsibility, and cause the Company’s officers, directors, managers and employees (and those of the Company’s Subsidiaries) to supply all information reasonably requested by any Inspectors in connection with such Registration Statement.</w:t>
      </w:r>
    </w:p>
    <w:p>
      <w:pPr>
        <w:spacing w:after="0" w:line="67" w:lineRule="exact"/>
        <w:rPr>
          <w:rFonts w:ascii="Arial" w:cs="Arial" w:eastAsia="Arial" w:hAnsi="Arial"/>
          <w:sz w:val="17"/>
          <w:szCs w:val="17"/>
          <w:color w:val="auto"/>
        </w:rPr>
      </w:pPr>
    </w:p>
    <w:p>
      <w:pPr>
        <w:ind w:left="10" w:right="80" w:firstLine="430"/>
        <w:spacing w:after="0" w:line="279" w:lineRule="auto"/>
        <w:tabs>
          <w:tab w:leader="none" w:pos="705"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Company shall furnish to each Registering Stockholder and to each such underwriter, if any, a signed counterpart, addressed to such Registering Stockholder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any Registering Stockholder or the lead managing underwriter therefor reasonably requests.</w:t>
      </w:r>
    </w:p>
    <w:p>
      <w:pPr>
        <w:spacing w:after="0" w:line="103"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50"/>
          </w:cols>
          <w:pgMar w:left="450" w:top="274" w:right="499" w:bottom="1440" w:gutter="0" w:footer="0" w:header="0"/>
        </w:sectPr>
      </w:pPr>
    </w:p>
    <w:bookmarkStart w:id="351" w:name="page352"/>
    <w:bookmarkEnd w:id="351"/>
    <w:p>
      <w:pPr>
        <w:ind w:left="10" w:right="180" w:firstLine="430"/>
        <w:spacing w:after="0" w:line="263" w:lineRule="auto"/>
        <w:tabs>
          <w:tab w:leader="none" w:pos="665" w:val="left"/>
        </w:tabs>
        <w:numPr>
          <w:ilvl w:val="1"/>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otherwise comply with all applicable rules and regulations of the SEC, and make available to its security holders, as soon as reasonably available, an earnings statement or such other document that shall satisfy the provisions of Section 11(a) of the Securities Act and the requirements of Rule 158 thereunder.</w:t>
      </w:r>
    </w:p>
    <w:p>
      <w:pPr>
        <w:spacing w:after="0" w:line="74" w:lineRule="exact"/>
        <w:rPr>
          <w:rFonts w:ascii="Arial" w:cs="Arial" w:eastAsia="Arial" w:hAnsi="Arial"/>
          <w:sz w:val="18"/>
          <w:szCs w:val="18"/>
          <w:color w:val="auto"/>
        </w:rPr>
      </w:pPr>
    </w:p>
    <w:p>
      <w:pPr>
        <w:ind w:left="10" w:right="280" w:firstLine="430"/>
        <w:spacing w:after="0" w:line="263" w:lineRule="auto"/>
        <w:tabs>
          <w:tab w:leader="none" w:pos="665"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Company may require each Registering Stockholder promptly to furnish in writing to the Company such information regarding the distribution of the Registrable Securities as the Company may from time to time reasonably request and such other information as may be reasonably required in connection with such registration.</w:t>
      </w:r>
    </w:p>
    <w:p>
      <w:pPr>
        <w:spacing w:after="0" w:line="74" w:lineRule="exact"/>
        <w:rPr>
          <w:rFonts w:ascii="Arial" w:cs="Arial" w:eastAsia="Arial" w:hAnsi="Arial"/>
          <w:sz w:val="18"/>
          <w:szCs w:val="18"/>
          <w:color w:val="auto"/>
        </w:rPr>
      </w:pPr>
    </w:p>
    <w:p>
      <w:pPr>
        <w:ind w:left="10" w:firstLine="430"/>
        <w:spacing w:after="0" w:line="288" w:lineRule="auto"/>
        <w:tabs>
          <w:tab w:leader="none" w:pos="70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Each Registering Stockholder agrees that, upon receipt of any notice from the Company of the happening of any event of the kind described in Section 2.04(e), such Stockholder shall forthwith discontinue disposition of Registrable Securities pursuant to the Registration Statement (including any Shelf Registration) covering such Registrable Securities until such Stockholder’s receipt of (i) copies of the supplemented or amended prospectus from the Company or (ii) further notice from the Company that distribution can proceed without an amended or supplemented prospectus, and, in the circumstances described in clause (i), if so directed by the Company, such Stockholder shall deliver to the Company all copies, other than any permanent file copies then in such Stockholder’s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2.04(a)) by the number of days during the period from and including the date of the giving of notice pursuant to Section 2.04(e) to the date when the Company shall (x) make available to such Stockholder a prospectus supplemented or amended to conform with the requirements of Section 2.04(e) or (y) deliver to such Stockholder the notice described in clause (ii).</w:t>
      </w:r>
    </w:p>
    <w:p>
      <w:pPr>
        <w:spacing w:after="0" w:line="58" w:lineRule="exact"/>
        <w:rPr>
          <w:rFonts w:ascii="Arial" w:cs="Arial" w:eastAsia="Arial" w:hAnsi="Arial"/>
          <w:sz w:val="16"/>
          <w:szCs w:val="16"/>
          <w:color w:val="auto"/>
        </w:rPr>
      </w:pPr>
    </w:p>
    <w:p>
      <w:pPr>
        <w:ind w:left="10" w:right="120" w:firstLine="430"/>
        <w:spacing w:after="0" w:line="341" w:lineRule="auto"/>
        <w:tabs>
          <w:tab w:leader="none" w:pos="66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list all Registrable Securities of any class or series covered by such Registration Statement on any national securities exchange on which any of the Registrable Securities of such class or series are then listed or traded.</w:t>
      </w:r>
    </w:p>
    <w:p>
      <w:pPr>
        <w:spacing w:after="0" w:line="16" w:lineRule="exact"/>
        <w:rPr>
          <w:rFonts w:ascii="Arial" w:cs="Arial" w:eastAsia="Arial" w:hAnsi="Arial"/>
          <w:sz w:val="16"/>
          <w:szCs w:val="16"/>
          <w:color w:val="auto"/>
        </w:rPr>
      </w:pPr>
    </w:p>
    <w:p>
      <w:pPr>
        <w:ind w:left="10" w:right="240" w:firstLine="430"/>
        <w:spacing w:after="0" w:line="290" w:lineRule="auto"/>
        <w:tabs>
          <w:tab w:leader="none" w:pos="754" w:val="left"/>
        </w:tabs>
        <w:numPr>
          <w:ilvl w:val="1"/>
          <w:numId w:val="266"/>
        </w:numPr>
        <w:rPr>
          <w:rFonts w:ascii="Arial" w:cs="Arial" w:eastAsia="Arial" w:hAnsi="Arial"/>
          <w:sz w:val="16"/>
          <w:szCs w:val="16"/>
          <w:color w:val="auto"/>
        </w:rPr>
      </w:pPr>
      <w:r>
        <w:rPr>
          <w:rFonts w:ascii="Arial" w:cs="Arial" w:eastAsia="Arial" w:hAnsi="Arial"/>
          <w:sz w:val="16"/>
          <w:szCs w:val="16"/>
          <w:color w:val="auto"/>
        </w:rPr>
        <w:t>Upon written request (which request shall be given with reasonable advance notice) to the Company by Registering Stockholders holding a majority of the Registrable Securities being sold in such offering, the Company shall have appropriate officers of the Company or its Subsidiaries</w:t>
      </w:r>
    </w:p>
    <w:p>
      <w:pPr>
        <w:spacing w:after="0" w:line="1" w:lineRule="exact"/>
        <w:rPr>
          <w:rFonts w:ascii="Arial" w:cs="Arial" w:eastAsia="Arial" w:hAnsi="Arial"/>
          <w:sz w:val="16"/>
          <w:szCs w:val="16"/>
          <w:color w:val="auto"/>
        </w:rPr>
      </w:pPr>
    </w:p>
    <w:p>
      <w:pPr>
        <w:ind w:left="10" w:right="140" w:hanging="10"/>
        <w:spacing w:after="0" w:line="277" w:lineRule="auto"/>
        <w:tabs>
          <w:tab w:leader="none" w:pos="22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upon reasonable request and at reasonable times prepare and make presentations at any “road shows” and before analysts and rating agencies, as the case may be, (ii) take other actions to obtain ratings for any Registrable Securities and (iii) otherwise use its commercially reasonable efforts to cooperate as requested by the underwriters in the offering, marketing or selling of the Registrable Securities.</w:t>
      </w:r>
    </w:p>
    <w:p>
      <w:pPr>
        <w:spacing w:after="0" w:line="64" w:lineRule="exact"/>
        <w:rPr>
          <w:rFonts w:ascii="Arial" w:cs="Arial" w:eastAsia="Arial" w:hAnsi="Arial"/>
          <w:sz w:val="17"/>
          <w:szCs w:val="17"/>
          <w:color w:val="auto"/>
        </w:rPr>
      </w:pPr>
    </w:p>
    <w:p>
      <w:pPr>
        <w:ind w:left="10" w:right="160" w:firstLine="430"/>
        <w:spacing w:after="0" w:line="254" w:lineRule="auto"/>
        <w:tabs>
          <w:tab w:leader="none" w:pos="705"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Company shall, as soon as possible following its actual knowledge thereof, notify each Registering Stockholder: (A) when a prospectus, any prospectus supplement, a Registration Statement or a post-effective amendment to a Registration Statement has been filed with the SEC, and, with respect to a Registration Statement or any post-effective amendment, when the same has become effective; (B) of any request by the SEC or any other federal or state governmental authority for amendments or supplements to a Registration Statement, a related prospectus (including a Free Writing Prospectus) or any other additional information; or (C) of the receipt by the Company of any notification with respect to the suspension of the qualification or exemption from qualification of any of the Registrable Securities for sale in any jurisdiction or the initiation or threatening of any proceedings for such purpose.</w:t>
      </w:r>
    </w:p>
    <w:p>
      <w:pPr>
        <w:spacing w:after="0" w:line="85" w:lineRule="exact"/>
        <w:rPr>
          <w:rFonts w:ascii="Arial" w:cs="Arial" w:eastAsia="Arial" w:hAnsi="Arial"/>
          <w:sz w:val="18"/>
          <w:szCs w:val="18"/>
          <w:color w:val="auto"/>
        </w:rPr>
      </w:pPr>
    </w:p>
    <w:p>
      <w:pPr>
        <w:ind w:left="10" w:right="440" w:firstLine="430"/>
        <w:spacing w:after="0" w:line="277" w:lineRule="auto"/>
        <w:tabs>
          <w:tab w:leader="none" w:pos="705"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Company shall reasonably cooperate with each Registering Stockholder and each underwriter participating in the disposition of such Registrable Securities and their respective counsel in connection with any filings required to be made by FINRA.</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10"/>
          </w:cols>
          <w:pgMar w:left="450" w:top="274" w:right="439" w:bottom="1440" w:gutter="0" w:footer="0" w:header="0"/>
        </w:sectPr>
      </w:pPr>
    </w:p>
    <w:bookmarkStart w:id="352" w:name="page353"/>
    <w:bookmarkEnd w:id="352"/>
    <w:p>
      <w:pPr>
        <w:ind w:right="100" w:firstLine="430"/>
        <w:spacing w:after="0" w:line="277"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take all other steps reasonably necessary to effect the registration of such Registrable Securities and reasonably cooperate with the holders of such Registrable Securities to facilitate the disposition of such Registrable Securities.</w:t>
      </w:r>
    </w:p>
    <w:p>
      <w:pPr>
        <w:spacing w:after="0" w:line="61" w:lineRule="exact"/>
        <w:rPr>
          <w:rFonts w:ascii="Arial" w:cs="Arial" w:eastAsia="Arial" w:hAnsi="Arial"/>
          <w:sz w:val="18"/>
          <w:szCs w:val="18"/>
          <w:color w:val="auto"/>
        </w:rPr>
      </w:pPr>
    </w:p>
    <w:p>
      <w:pPr>
        <w:ind w:right="220" w:firstLine="430"/>
        <w:spacing w:after="0" w:line="263"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shall, within the deadlines specified by the Securities Act, make all required filings of all prospectuses (including any Free Writing Prospectus) with the SEC and make all required filing fee payments in respect of any Registration Statement or related prospectus used under this Agreement (and any offering covered hereby).</w:t>
      </w:r>
    </w:p>
    <w:p>
      <w:pPr>
        <w:spacing w:after="0" w:line="74" w:lineRule="exact"/>
        <w:rPr>
          <w:rFonts w:ascii="Arial" w:cs="Arial" w:eastAsia="Arial" w:hAnsi="Arial"/>
          <w:sz w:val="18"/>
          <w:szCs w:val="18"/>
          <w:color w:val="auto"/>
        </w:rPr>
      </w:pPr>
    </w:p>
    <w:p>
      <w:pPr>
        <w:ind w:right="180" w:firstLine="430"/>
        <w:spacing w:after="0" w:line="263" w:lineRule="auto"/>
        <w:tabs>
          <w:tab w:leader="none" w:pos="6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shall, if such registration is pursuant to a Registration Statement on Form S-3 or any similar short-form registration, include in such Registration Statement such additional information for marketing purposes as the managing underwriter with respect to an underwritten public offering reasonably requests.</w:t>
      </w:r>
    </w:p>
    <w:p>
      <w:pPr>
        <w:spacing w:after="0" w:line="18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Indemnification by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agrees to indemnify and hold harmless each Registering Stockholder holding Registrable Securities covered by a Registration Statement, its Affiliates, stockholders, members, directors, officers, managers, employees, partners and agents, and each Person, if any, who controls such Registering Stockholder within the meaning of Section 15 of the Securities Act or Section 20 of the Exchange Act (collectively, “</w:t>
      </w:r>
      <w:r>
        <w:rPr>
          <w:rFonts w:ascii="Arial" w:cs="Arial" w:eastAsia="Arial" w:hAnsi="Arial"/>
          <w:sz w:val="17"/>
          <w:szCs w:val="17"/>
          <w:u w:val="single" w:color="auto"/>
          <w:color w:val="auto"/>
        </w:rPr>
        <w:t>Stockholder Parties</w:t>
      </w:r>
      <w:r>
        <w:rPr>
          <w:rFonts w:ascii="Arial" w:cs="Arial" w:eastAsia="Arial" w:hAnsi="Arial"/>
          <w:sz w:val="17"/>
          <w:szCs w:val="17"/>
          <w:color w:val="auto"/>
        </w:rPr>
        <w:t>”) from and against any and all losses, claims, damages, liabilities and expenses (including reasonable expenses of investigation and reasonable attorneys’ fees and expenses) (“</w:t>
      </w:r>
      <w:r>
        <w:rPr>
          <w:rFonts w:ascii="Arial" w:cs="Arial" w:eastAsia="Arial" w:hAnsi="Arial"/>
          <w:sz w:val="17"/>
          <w:szCs w:val="17"/>
          <w:u w:val="single" w:color="auto"/>
          <w:color w:val="auto"/>
        </w:rPr>
        <w:t>Damages</w:t>
      </w:r>
      <w:r>
        <w:rPr>
          <w:rFonts w:ascii="Arial" w:cs="Arial" w:eastAsia="Arial" w:hAnsi="Arial"/>
          <w:sz w:val="17"/>
          <w:szCs w:val="17"/>
          <w:color w:val="auto"/>
        </w:rPr>
        <w:t>”)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provided, however, that the Company shall not be liable to any Stockholder Party for any Damages that are caused by or related to any such untrue statement or omission or alleged untrue statement or omission so made based upon information furnished in writing to the Company by or on behalf of such Registering Stockholder expressly for use therein. The Company also agrees to indemnify and hold harmless any underwriters of the Registrable Securities, their respective officers and directors and each Person who controls any underwriter within the meaning of Section 15 of the Securities Act or Section 20 of the Exchange Act on substantially the same basis as that of the indemnification of the Registering Stockholders provided in this Section 2.05.</w:t>
      </w:r>
    </w:p>
    <w:p>
      <w:pPr>
        <w:spacing w:after="0" w:line="17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Indemnification by Registering Stockholders</w:t>
      </w:r>
      <w:r>
        <w:rPr>
          <w:rFonts w:ascii="Arial" w:cs="Arial" w:eastAsia="Arial" w:hAnsi="Arial"/>
          <w:sz w:val="17"/>
          <w:szCs w:val="17"/>
          <w:i w:val="1"/>
          <w:iCs w:val="1"/>
          <w:color w:val="auto"/>
        </w:rPr>
        <w:t>.</w:t>
      </w:r>
      <w:r>
        <w:rPr>
          <w:rFonts w:ascii="Arial" w:cs="Arial" w:eastAsia="Arial" w:hAnsi="Arial"/>
          <w:sz w:val="17"/>
          <w:szCs w:val="17"/>
          <w:color w:val="auto"/>
        </w:rPr>
        <w:t xml:space="preserve"> Each Registering Stockholder holding Registrable Securities included in any Registration Statement agrees, severally but not jointly, to indemnify and hold harmless (i) the Company, (ii) each Person, if any, who controls the Company within the meaning of either Section 15 of the Securities Act or Section 20 of the Exchange Act, (iii) each other Registering Stockholder participating in any offering of Registrable Securities and (iv) the respective Affiliates, stockholders, members, directors, officers, managers, employees, partners and agents of each of the Persons specified in clauses (i) through (iii) from and against all Damages to the same extent as the foregoing indemnity from the Company to such Registering Stockholder, but only with respect to information furnished in writing by or on behalf of such Registering Stockholder expressly for use in any Registration Statement or prospectus relating to the Registrable Securities, or any amendment or supplement thereto, or any preliminary prospectus or Free Writing Prospectus relating to the Registrable Securities (including any information that has been deemed to be a part of any prospectus under Rule 159 under the Securities Act). Each Registering Stockholder also agrees to indemnify and hold harmless any underwriters of the Registrable Securities, their respective officers and directors and each Person who controls any underwriter within the meaning of either Section 15 of the Securities Act or Section 20 of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353" w:name="page354"/>
    <w:bookmarkEnd w:id="353"/>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on substantially the same basis as that of the indemnification of the Company and the other Registering Stockholders provided in this Section 2.06. As a condition to including Registrable Securities in any Registration Statement filed in accordance with Article II, the Company may require that it shall have received an undertaking reasonably satisfactory to it from any underwriter to indemnify and hold the Company harmless to the extent customarily provided by underwriters with respect to similar securities and offerings. No Registering Stockholder shall be liable under this Section 2.06 for any Damages in excess of the net proceeds (after deducting the underwriters’ discounts and commissions) realized by such Registering Stockholder in the sale of Registrable Securities of such Registering Stockholder to which such Damages relate.</w:t>
      </w:r>
    </w:p>
    <w:p>
      <w:pPr>
        <w:spacing w:after="0" w:line="17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Conduct of Indemnification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If any proceeding (including any investigation by any governmental authority) shall be instituted involving any Person in respect of which indemnity may be sought pursuant to Section 2.05 or Section 2.06,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assume the defense thereof, including the employment of counsel reasonably satisfactory to such Indemnified Party, and shall assume the payment of all reasonable fees and expenses in connection therewith; provided that the failure of any Indemnified Party to so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or (iii) the Indemnified Party shall have reasonably concluded (based on the advice of counsel) that there may be legal defenses available to it that are different from or in addition to those available to the Indemnifying Party. It is understood that, in connection with any proceeding or related proceedings in the same jurisdiction, the Indemnifying Party shall not be liable for the fees and expenses of more than one separate firm of attorneys (in addition to any local counsel) at any time for all such Indemnified Parties, and that all such fees and expenses shall be reimbursed promptly after receipt of an invoice setting forth such fees and expenses in reasonable detail. In the case of any such separate firm for any Indemnified Party, such firm shall be designated in writing by the Indemnified Party. The Indemnifying Party shall not be liable for any settlement of any proceeding effected without its written consent, but if settled with such consent, or if there is a final judgment for the plaintiff, the Indemnifying Party shall indemnify and hold harmless each Indemnified Party from and against any Damages (to the extent obligated herein) by reason of such settlement or judgment. Without the prior written consent of an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394"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Contribution</w:t>
      </w:r>
      <w:r>
        <w:rPr>
          <w:rFonts w:ascii="Arial" w:cs="Arial" w:eastAsia="Arial" w:hAnsi="Arial"/>
          <w:sz w:val="16"/>
          <w:szCs w:val="16"/>
          <w:i w:val="1"/>
          <w:iCs w:val="1"/>
          <w:color w:val="auto"/>
        </w:rPr>
        <w:t>.</w:t>
      </w:r>
      <w:r>
        <w:rPr>
          <w:rFonts w:ascii="Arial" w:cs="Arial" w:eastAsia="Arial" w:hAnsi="Arial"/>
          <w:sz w:val="16"/>
          <w:szCs w:val="16"/>
          <w:color w:val="auto"/>
        </w:rPr>
        <w:t xml:space="preserve"> If the indemnification provided for in Section 2.05 or Section 2.06 is unavailable to an Indemnified Party or insufficient in respect of any Damages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then each such Indemnifying Party, in lieu of indemnifying such Indemnified Party, shall contribute to the amount paid or payable by such Indemnified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354" w:name="page355"/>
    <w:bookmarkEnd w:id="35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as a result of such Damages in such proportion as is appropriate to reflect the relative fault of the Indemnifying Party and the Indemnified Party in connection with such actions which resulted in such Damages, as well as any other relevant equitable considerations. The relative fault of such Indemnifying Party and the Indemnified Party shall be determined by reference to, among other things, whether any action in question, including any untrue or alleged untrue statement of a material fact or the omission or alleged omission to state a material fact has been made by, or relates to information supplied by, such Indemnifying Party or Indemnified Party and the parties’ relative intent, knowledge, access to information and opportunity to correct or prevent such action.</w:t>
      </w:r>
    </w:p>
    <w:p>
      <w:pPr>
        <w:spacing w:after="0" w:line="19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parties agree that it would not be just and equitable if contribution pursuant to this Section 2.08 were determined by pro rata allocation or by any other method of allocation that does not take account of the equitable considerations referred to in the immediately preceding paragraph. The amount paid or payable by a party as a result of the Damages referred to in the preceding paragraph shall be deemed to include, subject to the limitations set forth in Section 2.05 and Section 2.06, any legal or other expenses reasonably incurred by a party in connection with investigating or defending any such action or claim. Notwithstanding the provisions of this Section 2.08, no Registering Stockholder shall be required to contribute any amount in excess of the net proceeds (after deducting the underwriters’ discounts and commissions) received by such Registering Stockholder in the applicable offering. No Person guilty of fraudulent misrepresentation (within the meaning of Section 11(f) of the Securities Act), and no Person under the control, within the meaning of either Section 15 of the Securities Act or Section 20 of the Exchange Act, of a Person guilty of such fraudulent misrepresentation, shall be entitled to contribution from any Person who was not guilty of such fraudulent misrepresentation. Each Registering Stockholder’s obligation to contribute pursuant to this Section 2.08 is several in the proportion that the net proceeds of the applicable offering received by such Registering Stockholder bears to the net total proceeds of the applicable offering received by all such Registering Stockholders and not joint.</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Participation in Public Offering</w:t>
      </w:r>
      <w:r>
        <w:rPr>
          <w:rFonts w:ascii="Arial" w:cs="Arial" w:eastAsia="Arial" w:hAnsi="Arial"/>
          <w:sz w:val="16"/>
          <w:szCs w:val="16"/>
          <w:i w:val="1"/>
          <w:iCs w:val="1"/>
          <w:color w:val="auto"/>
        </w:rPr>
        <w:t>.</w:t>
      </w:r>
      <w:r>
        <w:rPr>
          <w:rFonts w:ascii="Arial" w:cs="Arial" w:eastAsia="Arial" w:hAnsi="Arial"/>
          <w:sz w:val="16"/>
          <w:szCs w:val="16"/>
          <w:color w:val="auto"/>
        </w:rPr>
        <w:t xml:space="preserve"> No Stockholder may participate in any Public Offering hereunder unless such Stockholder (i) agrees to sell such Stockholder’s Registrable Securities on the basis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5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Other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Indemnification similar to that specified herein (with appropriate modifications) shall be given by the Company and each Registering Stockholder participating therein with respect to any required registration or other qualification of securities under any federal or state law or regulation or governmental authority other than the Securities Act.</w:t>
      </w:r>
    </w:p>
    <w:p>
      <w:pPr>
        <w:spacing w:after="0" w:line="18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Cooperation by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At any time following the Initial Public Offering, if any Stockholder shall transfer, assign, sell, convey or otherwise dispose of any Registrable Securities pursuant to Rule 144, the Company shall reasonably cooperate with such Stockholder, provide to such Stockholder such information as such Stockholder shall reasonably request and make publicly available information necessary to permit sales pursuant to Rule 144 for so long as necessary.</w:t>
      </w:r>
    </w:p>
    <w:p>
      <w:pPr>
        <w:spacing w:after="0" w:line="186"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Transfer of Registration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The rights of a Stockholder under this Article II may be transferred or assigned in connection with a transfer of BellRing LLC Units or Registrable Securities, provided that all of the following additional conditions are satisfied: (x) such transfer or assignment is effected in accordance with applicable securities laws, (y) such transfer is effected in accordance with the Certificate of Incorporation and the BellRing LLC Agreement, as applicable, and (z) such transferee or assignee executes and delivers to the Company an agreement to be bound by this Agreement in the form of Exhibit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3" w:right="459" w:bottom="1440" w:gutter="0" w:footer="0" w:header="0"/>
        </w:sectPr>
      </w:pPr>
    </w:p>
    <w:bookmarkStart w:id="355" w:name="page356"/>
    <w:bookmarkEnd w:id="355"/>
    <w:p>
      <w:pPr>
        <w:ind w:right="2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2.13.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agrees that it shall not enter into any agreement with any holder or prospective holder of any securities of the Company (i) that would allow such holder or prospective holder to include such securities in any Demand Registration, Piggyback Registration or Shelf Registration unless, under the terms of such agreement, such holder or prospective holder may include such securities in any such registration only to the extent that their inclusion would not be on terms more favorable in the aggregate to such holder or prospective holder than this Agreement. The Company also represents and warrants to each Stockholder that it has not prior to the date of this Agreement entered into any agreement with respect to any of its securities granting any registration rights to any Person.</w:t>
      </w:r>
    </w:p>
    <w:p>
      <w:pPr>
        <w:spacing w:after="0" w:line="16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Free Writing Prospectuses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for a prospectus relating to Registrable Securities included in a Registration Statement, an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(as defined in Rule 433 under the Securities Act) or other materials prepared by or on behalf of the Company, each Registering Stockholder represents and agrees that it (i) shall not make any offer relating to the Registrable Securities that would constitute an Issuer Free Writing Prospectus or that would otherwise constitute a Free Writing Prospectus, and (ii) has not distributed and will not distribute any written materials in connection with the offer or sale pursuant to a Registration Statement of Registrable Securities without the prior written consent of the Company and, in connection with any Public Offering, the underwriters.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Information from Registering Stockholders; Obligations of Registering Stockholders</w:t>
      </w:r>
      <w:r>
        <w:rPr>
          <w:rFonts w:ascii="Arial" w:cs="Arial" w:eastAsia="Arial" w:hAnsi="Arial"/>
          <w:sz w:val="18"/>
          <w:szCs w:val="18"/>
          <w:i w:val="1"/>
          <w:iCs w:val="1"/>
          <w:color w:val="auto"/>
        </w:rPr>
        <w:t>.</w:t>
      </w:r>
    </w:p>
    <w:p>
      <w:pPr>
        <w:spacing w:after="0" w:line="117" w:lineRule="exact"/>
        <w:rPr>
          <w:sz w:val="20"/>
          <w:szCs w:val="20"/>
          <w:color w:val="auto"/>
        </w:rPr>
      </w:pPr>
    </w:p>
    <w:p>
      <w:pPr>
        <w:ind w:right="260" w:firstLine="430"/>
        <w:spacing w:after="0" w:line="263" w:lineRule="auto"/>
        <w:tabs>
          <w:tab w:leader="none" w:pos="68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include the Registrable Securities of any Registering Stockholder that has requested inclusion of its Registrable Securities in any Registration Statement or related prospectus, as the case may be, that such Registering Stockholder shall take the actions described in this Section 2.15.</w:t>
      </w:r>
    </w:p>
    <w:p>
      <w:pPr>
        <w:spacing w:after="0" w:line="74" w:lineRule="exact"/>
        <w:rPr>
          <w:rFonts w:ascii="Arial" w:cs="Arial" w:eastAsia="Arial" w:hAnsi="Arial"/>
          <w:sz w:val="18"/>
          <w:szCs w:val="18"/>
          <w:color w:val="auto"/>
        </w:rPr>
      </w:pPr>
    </w:p>
    <w:p>
      <w:pPr>
        <w:ind w:right="40" w:firstLine="430"/>
        <w:spacing w:after="0" w:line="289" w:lineRule="auto"/>
        <w:tabs>
          <w:tab w:leader="none" w:pos="69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Registering Stockholder that has requested inclusion of its Registrable Securities in any Registration Statement shall (i) furnish to the Company (as a condition precedent to such Registering Stockholder’s participation in such registration) in writing such information with respect to such Registering Stockholder, its ownership of Company Securities and the intended method of disposition of its Registrable Securities as the Company may reasonably request or as may be required by law or regulations for use in connection with any related Registration Statement or prospectus (or amendment or supplement thereto) and all information required to be disclosed in order to make the information previously furnished to the Company by such Registering Stockholder not contain a material misstatement of fact or necessary to cause such Registration Statement or prospectus (or amendment or supplement thereto) not to omit a material fact with respect to such Registering Stockholder necessary in order to make the statements therein not misleading and (ii) comply with the Securities Act and the Exchange Act and all applicable state securities laws and comply with all applicable regulations in connection with the registration and the disposition of Registrable Securities.</w:t>
      </w:r>
    </w:p>
    <w:p>
      <w:pPr>
        <w:spacing w:after="0" w:line="56" w:lineRule="exact"/>
        <w:rPr>
          <w:rFonts w:ascii="Arial" w:cs="Arial" w:eastAsia="Arial" w:hAnsi="Arial"/>
          <w:sz w:val="16"/>
          <w:szCs w:val="16"/>
          <w:color w:val="auto"/>
        </w:rPr>
      </w:pPr>
    </w:p>
    <w:p>
      <w:pPr>
        <w:ind w:right="80" w:firstLine="430"/>
        <w:spacing w:after="0" w:line="272" w:lineRule="auto"/>
        <w:tabs>
          <w:tab w:leader="none" w:pos="68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Each Registering Stockholder shall promptly (i) following its actual knowledge thereof, notify the Company of the occurrence of any event that makes any statement made in a Registration Statement, prospectus, Issuer Free Writing Prospectus or other Free Writing Prospectus regarding such Registering Stockholder untrue in any material respect or that requires the making of any changes in a Registration Statement, prospectus, Issuer Free Writing Prospectus or other Free Writing Prospectus so that, in such regard, it shall not contain any untrue statement of a material fact or omit any material fact required to be stated therein or necessary to make the statements not misleading and (ii) provide the Company with such information as may be required to enable the Company to prepare a supplement or post-effective amendment to any such Registration Statement or a supplement to such prospectus or Free Writing Prospectus.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356" w:name="page357"/>
    <w:bookmarkEnd w:id="356"/>
    <w:p>
      <w:pPr>
        <w:ind w:right="840" w:firstLine="430"/>
        <w:spacing w:after="0" w:line="277" w:lineRule="auto"/>
        <w:tabs>
          <w:tab w:leader="none" w:pos="695"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Registering Stockholder shall use commercially reasonable efforts to cooperate with the Company in preparing the applicable Registration Statement.</w:t>
      </w:r>
    </w:p>
    <w:p>
      <w:pPr>
        <w:spacing w:after="0" w:line="61" w:lineRule="exact"/>
        <w:rPr>
          <w:rFonts w:ascii="Arial" w:cs="Arial" w:eastAsia="Arial" w:hAnsi="Arial"/>
          <w:sz w:val="18"/>
          <w:szCs w:val="18"/>
          <w:color w:val="auto"/>
        </w:rPr>
      </w:pPr>
    </w:p>
    <w:p>
      <w:pPr>
        <w:ind w:right="300" w:firstLine="430"/>
        <w:spacing w:after="0" w:line="259" w:lineRule="auto"/>
        <w:tabs>
          <w:tab w:leader="none" w:pos="68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Stockholder agrees that no Stockholder shall be entitled to sell any Registrable Securities pursuant to a Registration Statement or to receive a prospectus relating thereto unless such Stockholder has furnished the Company with all information required to be included in such Registration Statement by applicable securities laws in connection with the disposition of such Registrable Securities as reasonably requested by the Company.</w:t>
      </w:r>
    </w:p>
    <w:p>
      <w:pPr>
        <w:spacing w:after="0" w:line="77" w:lineRule="exact"/>
        <w:rPr>
          <w:rFonts w:ascii="Arial" w:cs="Arial" w:eastAsia="Arial" w:hAnsi="Arial"/>
          <w:sz w:val="18"/>
          <w:szCs w:val="18"/>
          <w:color w:val="auto"/>
        </w:rPr>
      </w:pPr>
    </w:p>
    <w:p>
      <w:pPr>
        <w:ind w:firstLine="430"/>
        <w:spacing w:after="0" w:line="279" w:lineRule="auto"/>
        <w:tabs>
          <w:tab w:leader="none" w:pos="66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Registering Stockholder shall be required to make any representations or warranties to or agreements with the Company, the underwriters of any underwritten Public Offering, or any other Person in connection with a disposition of Registrable Securities other than representations, warranties or agreements regarding such Registering Stockholder, such Registering Stockholder’s ownership of Registrable Securities and such Registering Stockholder’s intended method of distribution of Registrable Securities.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BOARD OF DIRECTORS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Board of Directors</w:t>
      </w:r>
      <w:r>
        <w:rPr>
          <w:rFonts w:ascii="Arial" w:cs="Arial" w:eastAsia="Arial" w:hAnsi="Arial"/>
          <w:sz w:val="18"/>
          <w:szCs w:val="18"/>
          <w:i w:val="1"/>
          <w:iCs w:val="1"/>
          <w:color w:val="auto"/>
        </w:rPr>
        <w:t>.</w:t>
      </w:r>
    </w:p>
    <w:p>
      <w:pPr>
        <w:spacing w:after="0" w:line="117" w:lineRule="exact"/>
        <w:rPr>
          <w:sz w:val="20"/>
          <w:szCs w:val="20"/>
          <w:color w:val="auto"/>
        </w:rPr>
      </w:pPr>
    </w:p>
    <w:p>
      <w:pPr>
        <w:ind w:left="680" w:hanging="250"/>
        <w:spacing w:after="0"/>
        <w:tabs>
          <w:tab w:leader="none" w:pos="68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Board Size and Structure</w:t>
      </w:r>
      <w:r>
        <w:rPr>
          <w:rFonts w:ascii="Arial" w:cs="Arial" w:eastAsia="Arial" w:hAnsi="Arial"/>
          <w:sz w:val="16"/>
          <w:szCs w:val="16"/>
          <w:color w:val="auto"/>
        </w:rPr>
        <w:t>. The Board may increase or decrease the number of Directors, subject to the rights of Post under this Agreement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Applicable Governance Rules, in accordance with the Certificate of Incorporation and Bylaws. Upon consummation of the Initial Public Offering, the</w:t>
      </w:r>
    </w:p>
    <w:p>
      <w:pPr>
        <w:spacing w:after="0" w:line="248" w:lineRule="exact"/>
        <w:rPr>
          <w:sz w:val="20"/>
          <w:szCs w:val="20"/>
          <w:color w:val="auto"/>
        </w:rPr>
      </w:pPr>
    </w:p>
    <w:p>
      <w:pPr>
        <w:spacing w:after="0"/>
        <w:tabs>
          <w:tab w:leader="none" w:pos="2260" w:val="left"/>
          <w:tab w:leader="none" w:pos="4520" w:val="left"/>
        </w:tabs>
        <w:rPr>
          <w:sz w:val="20"/>
          <w:szCs w:val="20"/>
          <w:color w:val="auto"/>
        </w:rPr>
      </w:pPr>
      <w:r>
        <w:rPr>
          <w:rFonts w:ascii="Arial" w:cs="Arial" w:eastAsia="Arial" w:hAnsi="Arial"/>
          <w:sz w:val="18"/>
          <w:szCs w:val="18"/>
          <w:color w:val="auto"/>
        </w:rPr>
        <w:t>Board shall consist of</w:t>
      </w:r>
      <w:r>
        <w:rPr>
          <w:sz w:val="20"/>
          <w:szCs w:val="20"/>
          <w:color w:val="auto"/>
        </w:rPr>
        <w:tab/>
      </w:r>
      <w:r>
        <w:rPr>
          <w:rFonts w:ascii="Arial" w:cs="Arial" w:eastAsia="Arial" w:hAnsi="Arial"/>
          <w:sz w:val="18"/>
          <w:szCs w:val="18"/>
          <w:color w:val="auto"/>
        </w:rPr>
        <w:t>directors, and of such</w:t>
      </w:r>
      <w:r>
        <w:rPr>
          <w:sz w:val="20"/>
          <w:szCs w:val="20"/>
          <w:color w:val="auto"/>
        </w:rPr>
        <w:tab/>
      </w:r>
      <w:r>
        <w:rPr>
          <w:rFonts w:ascii="Arial" w:cs="Arial" w:eastAsia="Arial" w:hAnsi="Arial"/>
          <w:sz w:val="16"/>
          <w:szCs w:val="16"/>
          <w:color w:val="auto"/>
        </w:rPr>
        <w:t>directors:</w:t>
      </w:r>
    </w:p>
    <w:p>
      <w:pPr>
        <w:sectPr>
          <w:pgSz w:w="11900" w:h="16838" w:orient="portrait"/>
          <w:cols w:equalWidth="0" w:num="1">
            <w:col w:w="10960"/>
          </w:cols>
          <w:pgMar w:left="460" w:top="273" w:right="479" w:bottom="1440" w:gutter="0" w:footer="0" w:header="0"/>
        </w:sectPr>
      </w:pPr>
    </w:p>
    <w:p>
      <w:pPr>
        <w:spacing w:after="0" w:line="11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 the number of Post Nominees shall be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800" w:space="720"/>
            <w:col w:w="6440"/>
          </w:cols>
          <w:pgMar w:left="460" w:top="273" w:right="47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(ii) the directors serving as Post Nominees shall be</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5">
            <w:col w:w="4560" w:space="720"/>
            <w:col w:w="80" w:space="720"/>
            <w:col w:w="40" w:space="720"/>
            <w:col w:w="300" w:space="720"/>
            <w:col w:w="3100"/>
          </w:cols>
          <w:pgMar w:left="460" w:top="273" w:right="47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(iii) the terms of office of the initial Post Nominees shall be as follows: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(A)</w:t>
            </w:r>
          </w:p>
        </w:tc>
        <w:tc>
          <w:tcPr>
            <w:tcW w:w="6840" w:type="dxa"/>
            <w:vAlign w:val="bottom"/>
          </w:tcPr>
          <w:p>
            <w:pPr>
              <w:ind w:left="50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6840" w:type="dxa"/>
            <w:vAlign w:val="bottom"/>
          </w:tcPr>
          <w:p>
            <w:pPr>
              <w:ind w:left="48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w:t>
            </w:r>
          </w:p>
        </w:tc>
        <w:tc>
          <w:tcPr>
            <w:tcW w:w="6840" w:type="dxa"/>
            <w:vAlign w:val="bottom"/>
          </w:tcPr>
          <w:p>
            <w:pPr>
              <w:ind w:left="48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(D)</w:t>
            </w:r>
          </w:p>
        </w:tc>
        <w:tc>
          <w:tcPr>
            <w:tcW w:w="6840" w:type="dxa"/>
            <w:vAlign w:val="bottom"/>
          </w:tcPr>
          <w:p>
            <w:pPr>
              <w:ind w:left="50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40" w:type="dxa"/>
            <w:vAlign w:val="bottom"/>
          </w:tcPr>
          <w:p>
            <w:pPr>
              <w:ind w:left="200"/>
              <w:spacing w:after="0"/>
              <w:rPr>
                <w:sz w:val="20"/>
                <w:szCs w:val="20"/>
                <w:color w:val="auto"/>
              </w:rPr>
            </w:pPr>
            <w:r>
              <w:rPr>
                <w:rFonts w:ascii="Arial" w:cs="Arial" w:eastAsia="Arial" w:hAnsi="Arial"/>
                <w:sz w:val="18"/>
                <w:szCs w:val="18"/>
                <w:color w:val="auto"/>
                <w:w w:val="79"/>
              </w:rPr>
              <w:t>; and</w:t>
            </w:r>
          </w:p>
        </w:tc>
      </w:tr>
    </w:tbl>
    <w:p>
      <w:pPr>
        <w:spacing w:after="0" w:line="94" w:lineRule="exact"/>
        <w:rPr>
          <w:sz w:val="20"/>
          <w:szCs w:val="20"/>
          <w:color w:val="auto"/>
        </w:rPr>
      </w:pPr>
    </w:p>
    <w:p>
      <w:pPr>
        <w:jc w:val="both"/>
        <w:ind w:left="440" w:right="20" w:firstLine="413"/>
        <w:spacing w:after="0" w:line="290" w:lineRule="auto"/>
        <w:tabs>
          <w:tab w:leader="none" w:pos="1167"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at least three directors shall be independent directors permitted by SEC rules to serve on the Company’s audit committee (such persons, the “</w:t>
      </w:r>
      <w:r>
        <w:rPr>
          <w:rFonts w:ascii="Arial" w:cs="Arial" w:eastAsia="Arial" w:hAnsi="Arial"/>
          <w:sz w:val="16"/>
          <w:szCs w:val="16"/>
          <w:u w:val="single" w:color="auto"/>
          <w:color w:val="auto"/>
        </w:rPr>
        <w:t>Audit Committee Independent Directors</w:t>
      </w:r>
      <w:r>
        <w:rPr>
          <w:rFonts w:ascii="Arial" w:cs="Arial" w:eastAsia="Arial" w:hAnsi="Arial"/>
          <w:sz w:val="16"/>
          <w:szCs w:val="16"/>
          <w:color w:val="auto"/>
        </w:rPr>
        <w:t>”), at least one of whom shall be an audit committee financial expert as defined under Item 407(d)(5)</w:t>
      </w:r>
    </w:p>
    <w:p>
      <w:pPr>
        <w:spacing w:after="0" w:line="1" w:lineRule="exact"/>
        <w:rPr>
          <w:rFonts w:ascii="Arial" w:cs="Arial" w:eastAsia="Arial" w:hAnsi="Arial"/>
          <w:sz w:val="16"/>
          <w:szCs w:val="16"/>
          <w:color w:val="auto"/>
        </w:rPr>
      </w:pPr>
    </w:p>
    <w:p>
      <w:pPr>
        <w:ind w:left="700" w:hanging="270"/>
        <w:spacing w:after="0"/>
        <w:tabs>
          <w:tab w:leader="none" w:pos="7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of SEC Regulation S-K.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3" w:right="479" w:bottom="1440" w:gutter="0" w:footer="0" w:header="0"/>
          <w:type w:val="continuous"/>
        </w:sectPr>
      </w:pPr>
    </w:p>
    <w:bookmarkStart w:id="357" w:name="page358"/>
    <w:bookmarkEnd w:id="357"/>
    <w:p>
      <w:pPr>
        <w:ind w:left="250" w:hanging="250"/>
        <w:spacing w:after="0"/>
        <w:tabs>
          <w:tab w:leader="none" w:pos="25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Nominees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40" w:firstLine="413"/>
        <w:spacing w:after="0" w:line="307" w:lineRule="auto"/>
        <w:tabs>
          <w:tab w:leader="none" w:pos="647" w:val="left"/>
        </w:tabs>
        <w:numPr>
          <w:ilvl w:val="1"/>
          <w:numId w:val="274"/>
        </w:numPr>
        <w:rPr>
          <w:rFonts w:ascii="Arial" w:cs="Arial" w:eastAsia="Arial" w:hAnsi="Arial"/>
          <w:sz w:val="17"/>
          <w:szCs w:val="17"/>
          <w:color w:val="auto"/>
        </w:rPr>
      </w:pPr>
      <w:r>
        <w:rPr>
          <w:rFonts w:ascii="Arial" w:cs="Arial" w:eastAsia="Arial" w:hAnsi="Arial"/>
          <w:sz w:val="17"/>
          <w:szCs w:val="17"/>
          <w:color w:val="auto"/>
        </w:rPr>
        <w:t>For so long as the Company has a classified Board, each of the Post Nominees shall be assigned to a class of directors of the Company such that the number of Post Nominees in each class shall be as nearly equal in number as is reasonably possible.</w:t>
      </w:r>
    </w:p>
    <w:p>
      <w:pPr>
        <w:spacing w:after="0" w:line="39" w:lineRule="exact"/>
        <w:rPr>
          <w:rFonts w:ascii="Arial" w:cs="Arial" w:eastAsia="Arial" w:hAnsi="Arial"/>
          <w:sz w:val="17"/>
          <w:szCs w:val="17"/>
          <w:color w:val="auto"/>
        </w:rPr>
      </w:pPr>
    </w:p>
    <w:p>
      <w:pPr>
        <w:ind w:left="10" w:firstLine="413"/>
        <w:spacing w:after="0" w:line="288" w:lineRule="auto"/>
        <w:tabs>
          <w:tab w:leader="none" w:pos="697"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Anything in the Bylaws to the contrary notwithstanding, with respect to any Post Nominees to be elected at any meeting of stockholders to be held after the date of the Initial Public Offering, Post shall designate the Post Nominees to be elected at such meeting by delivering to the Company written notice designating the Post Nominees to be elected at such meeting and setting forth such Post Nominees’ business address, telephone number and e-mail address, (A) in the case of an annual meeting, (1) within 10 days following its receipt of written notice from the Company notifying Post of the date of the first annual meeting after the date of the Initial Public Offering, in the case of the first annual meeting after the date of the Initial Public Offering, and (2) at least 120 days prior to the one year anniversary of the preceding annual meeting, in the case of subsequent annual meetings, and (B) in the case of a special meeting where directors will be elected, within 10 days following the date that Post receives written notice from the Company notifying Post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if Post shall fail to deliver such written notice, Post shall be deemed to have nominated the Post Nominees most recently designated for the applicable class of directors pursuant to this Section 3.01 if such Post Nominees are serving as directors of the Company at the time Post’s notice designating the Post Nominees is due.</w:t>
      </w:r>
    </w:p>
    <w:p>
      <w:pPr>
        <w:spacing w:after="0" w:line="58" w:lineRule="exact"/>
        <w:rPr>
          <w:rFonts w:ascii="Arial" w:cs="Arial" w:eastAsia="Arial" w:hAnsi="Arial"/>
          <w:sz w:val="16"/>
          <w:szCs w:val="16"/>
          <w:color w:val="auto"/>
        </w:rPr>
      </w:pPr>
    </w:p>
    <w:p>
      <w:pPr>
        <w:ind w:left="10" w:right="20" w:firstLine="413"/>
        <w:spacing w:after="0" w:line="269" w:lineRule="auto"/>
        <w:tabs>
          <w:tab w:leader="none" w:pos="747" w:val="left"/>
        </w:tabs>
        <w:numPr>
          <w:ilvl w:val="1"/>
          <w:numId w:val="274"/>
        </w:numPr>
        <w:rPr>
          <w:rFonts w:ascii="Arial" w:cs="Arial" w:eastAsia="Arial" w:hAnsi="Arial"/>
          <w:sz w:val="17"/>
          <w:szCs w:val="17"/>
          <w:color w:val="auto"/>
        </w:rPr>
      </w:pPr>
      <w:r>
        <w:rPr>
          <w:rFonts w:ascii="Arial" w:cs="Arial" w:eastAsia="Arial" w:hAnsi="Arial"/>
          <w:sz w:val="17"/>
          <w:szCs w:val="17"/>
          <w:color w:val="auto"/>
        </w:rPr>
        <w:t>Notwithstanding the foregoing, and subject to Section 6 of the Certificate of Incorporation, (A) if the Board or the Company determines to elect directors by written consent and not at a meeting of stockholders, including election by a consent in lieu of a meeting of stockholders as provided under Section 211(b) of the Delaware General Corporation Law, the Company shall so notify Post in writing (the “</w:t>
      </w:r>
      <w:r>
        <w:rPr>
          <w:rFonts w:ascii="Arial" w:cs="Arial" w:eastAsia="Arial" w:hAnsi="Arial"/>
          <w:sz w:val="17"/>
          <w:szCs w:val="17"/>
          <w:u w:val="single" w:color="auto"/>
          <w:color w:val="auto"/>
        </w:rPr>
        <w:t>Consent Notice</w:t>
      </w:r>
      <w:r>
        <w:rPr>
          <w:rFonts w:ascii="Arial" w:cs="Arial" w:eastAsia="Arial" w:hAnsi="Arial"/>
          <w:sz w:val="17"/>
          <w:szCs w:val="17"/>
          <w:color w:val="auto"/>
        </w:rPr>
        <w:t xml:space="preserve">”), and Post shall designate the Post Nominees to be so elected by written consent, if any, by delivering to the Company written notice designating the Post Nominees, and setting forth such Post Nominees’ business address, telephone number and e-mail address, by the date that is 10 days following its receipt of the Consent Notice; </w:t>
      </w:r>
      <w:r>
        <w:rPr>
          <w:rFonts w:ascii="Arial" w:cs="Arial" w:eastAsia="Arial" w:hAnsi="Arial"/>
          <w:sz w:val="17"/>
          <w:szCs w:val="17"/>
          <w:u w:val="single" w:color="auto"/>
          <w:color w:val="auto"/>
        </w:rPr>
        <w:t>provided</w:t>
      </w:r>
      <w:r>
        <w:rPr>
          <w:rFonts w:ascii="Arial" w:cs="Arial" w:eastAsia="Arial" w:hAnsi="Arial"/>
          <w:sz w:val="17"/>
          <w:szCs w:val="17"/>
          <w:color w:val="auto"/>
        </w:rPr>
        <w:t>, that if Post shall fail to timely deliver such written notice, Post shall be deemed to have nominated the Post Nominees most recently designated for the applicable class of directors pursuant to this Section 3.01 if such Post Nominees are serving as directors of the Company at the time Post’s notice designating the Post Nominees is due and (B) if Post determines to elect directors by written consent without action on the part of the Company or the Board, Post may effect by written consent the election of such Post Nominees and other directors as it deems necessary, appropriate or advisable, each director to serve for a term of office as provided in the Certificate of Incorporation and Bylaws of the Company.</w:t>
      </w:r>
    </w:p>
    <w:p>
      <w:pPr>
        <w:spacing w:after="0" w:line="72" w:lineRule="exact"/>
        <w:rPr>
          <w:rFonts w:ascii="Arial" w:cs="Arial" w:eastAsia="Arial" w:hAnsi="Arial"/>
          <w:sz w:val="17"/>
          <w:szCs w:val="17"/>
          <w:color w:val="auto"/>
        </w:rPr>
      </w:pPr>
    </w:p>
    <w:p>
      <w:pPr>
        <w:ind w:left="10" w:right="140" w:firstLine="413"/>
        <w:spacing w:after="0" w:line="255" w:lineRule="auto"/>
        <w:tabs>
          <w:tab w:leader="none" w:pos="73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Company hereby agrees that (A) at each annual or special meeting of stockholders of the Company at which directors are to be elected and (B) in connection with any election of directors by written consent, in each case subject to any rights of the holders of shares of any class or series of preferred stock of the Company, the Company shall follow its applicable corporate governance policies and procedures to cause the Post Nominees to be nominated for election to the Board as nominees of the Company and the Board and otherwise shall ensure that the directors required to be nominated pursuant to this Article III shall be nominated for election and shall use its reasonable best efforts to cause the Post Nominees to be elected to the Board.</w:t>
      </w:r>
    </w:p>
    <w:p>
      <w:pPr>
        <w:spacing w:after="0" w:line="83" w:lineRule="exact"/>
        <w:rPr>
          <w:rFonts w:ascii="Arial" w:cs="Arial" w:eastAsia="Arial" w:hAnsi="Arial"/>
          <w:sz w:val="18"/>
          <w:szCs w:val="18"/>
          <w:color w:val="auto"/>
        </w:rPr>
      </w:pPr>
    </w:p>
    <w:p>
      <w:pPr>
        <w:ind w:left="10" w:right="340" w:firstLine="413"/>
        <w:spacing w:after="0" w:line="277" w:lineRule="auto"/>
        <w:tabs>
          <w:tab w:leader="none" w:pos="68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For avoidance of doubt, the notice and other requirements set forth in Sections 1(d) through 1(h) of Article II of the Bylaws shall not apply to Post or any Post Nominee.</w:t>
      </w:r>
    </w:p>
    <w:p>
      <w:pPr>
        <w:spacing w:after="0" w:line="102" w:lineRule="exact"/>
        <w:rPr>
          <w:sz w:val="20"/>
          <w:szCs w:val="20"/>
          <w:color w:val="auto"/>
        </w:rPr>
      </w:pPr>
    </w:p>
    <w:p>
      <w:pPr>
        <w:jc w:val="center"/>
        <w:ind w:right="43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70"/>
          </w:cols>
          <w:pgMar w:left="890" w:top="274" w:right="439" w:bottom="1440" w:gutter="0" w:footer="0" w:header="0"/>
        </w:sectPr>
      </w:pPr>
    </w:p>
    <w:bookmarkStart w:id="358" w:name="page359"/>
    <w:bookmarkEnd w:id="358"/>
    <w:p>
      <w:pPr>
        <w:ind w:right="580" w:firstLine="430"/>
        <w:spacing w:after="0" w:line="277" w:lineRule="auto"/>
        <w:tabs>
          <w:tab w:leader="none" w:pos="684"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w:t>
      </w:r>
      <w:r>
        <w:rPr>
          <w:rFonts w:ascii="Arial" w:cs="Arial" w:eastAsia="Arial" w:hAnsi="Arial"/>
          <w:sz w:val="18"/>
          <w:szCs w:val="18"/>
          <w:color w:val="auto"/>
        </w:rPr>
        <w:t>. The Board shall have a corporate governance committee and compensation committee, an audit committee and such other committees as the Board may determine (collectively, the “</w:t>
      </w:r>
      <w:r>
        <w:rPr>
          <w:rFonts w:ascii="Arial" w:cs="Arial" w:eastAsia="Arial" w:hAnsi="Arial"/>
          <w:sz w:val="18"/>
          <w:szCs w:val="18"/>
          <w:u w:val="single" w:color="auto"/>
          <w:color w:val="auto"/>
        </w:rPr>
        <w:t>Committees</w:t>
      </w:r>
      <w:r>
        <w:rPr>
          <w:rFonts w:ascii="Arial" w:cs="Arial" w:eastAsia="Arial" w:hAnsi="Arial"/>
          <w:sz w:val="18"/>
          <w:szCs w:val="18"/>
          <w:color w:val="auto"/>
        </w:rPr>
        <w:t>”). Subject to Section 3.02:</w:t>
      </w:r>
    </w:p>
    <w:p>
      <w:pPr>
        <w:spacing w:after="0" w:line="61" w:lineRule="exact"/>
        <w:rPr>
          <w:rFonts w:ascii="Arial" w:cs="Arial" w:eastAsia="Arial" w:hAnsi="Arial"/>
          <w:sz w:val="18"/>
          <w:szCs w:val="18"/>
          <w:color w:val="auto"/>
        </w:rPr>
      </w:pPr>
    </w:p>
    <w:p>
      <w:pPr>
        <w:ind w:left="440" w:right="40" w:firstLine="413"/>
        <w:spacing w:after="0" w:line="263" w:lineRule="auto"/>
        <w:tabs>
          <w:tab w:leader="none" w:pos="107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audit committee shall consist of at least three Audit Committee Independent Directors under Rule 10A-3 under the Exchange Act and the NYSE Listed Company Manual, and Post shall have the right to designate from the members of the Board the members of the Audit Committee subject to Section 3.02(b); and</w:t>
      </w:r>
    </w:p>
    <w:p>
      <w:pPr>
        <w:spacing w:after="0" w:line="74" w:lineRule="exact"/>
        <w:rPr>
          <w:rFonts w:ascii="Arial" w:cs="Arial" w:eastAsia="Arial" w:hAnsi="Arial"/>
          <w:sz w:val="18"/>
          <w:szCs w:val="18"/>
          <w:color w:val="auto"/>
        </w:rPr>
      </w:pPr>
    </w:p>
    <w:p>
      <w:pPr>
        <w:ind w:left="440" w:right="180" w:firstLine="413"/>
        <w:spacing w:after="0" w:line="277" w:lineRule="auto"/>
        <w:tabs>
          <w:tab w:leader="none" w:pos="112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each other Committee shall consist of at least three directors, and Post shall have the right to designate from the members of the Board the members of each such Committee subject to Section 3.02(b);</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provided, however, that: (i) the membership of each Committee shall meet the requirements of Applicable Governance Rules, and (ii) subject to clause (i), each Committee shall have such number of directors as the Board may determine, which determination shall be made on the recommendation of the corporate governance and compensation committee. Each Committee shall have such powers and responsibilities as the Board may from time to time authorize.</w:t>
      </w:r>
    </w:p>
    <w:p>
      <w:pPr>
        <w:spacing w:after="0" w:line="78" w:lineRule="exact"/>
        <w:rPr>
          <w:sz w:val="20"/>
          <w:szCs w:val="20"/>
          <w:color w:val="auto"/>
        </w:rPr>
      </w:pPr>
    </w:p>
    <w:p>
      <w:pPr>
        <w:ind w:firstLine="430"/>
        <w:spacing w:after="0" w:line="269" w:lineRule="auto"/>
        <w:tabs>
          <w:tab w:leader="none" w:pos="695"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Removal and Replacement of Post Nominees</w:t>
      </w:r>
      <w:r>
        <w:rPr>
          <w:rFonts w:ascii="Arial" w:cs="Arial" w:eastAsia="Arial" w:hAnsi="Arial"/>
          <w:sz w:val="17"/>
          <w:szCs w:val="17"/>
          <w:color w:val="auto"/>
        </w:rPr>
        <w:t>. If a vacancy is created on the Board or a Committee as a result of the death, disability, retirement, resignation or removal of any Post Nominee, then Post shall have the right to designate such person’s replacement, and the person so designated shall be deemed to be a Post Nominee. If such vacancy shall be filled by the Board, the Company shall follow its applicable corporate governance policies and procedures to cause any such Post Nominee to be appointed to the Board. If such vacancy shall be filled at a meeting of stockholders or, subject to Section 6 of the Certificate of Incorporation, through written consents authorized or solicited by the Company, the Company shall follow its applicable corporate governance policies and procedures to cause the Post Nominees to be nominated for election to the Board as nominees of the Company and the Board and otherwise shall ensure that the directors required to be nominated pursuant to this Article III shall be nominated for election and shall use its reasonable best efforts to cause such Post Nominees to be elected to the Board. Subject to Section 6 of the Certificate of Incorporation, Post may fill the vacancy by written consent, and the person so elected by such written consent shall be deemed to be a Post Nominee. No Post Nominee shall be required to resign or be removed from the Board or any Committee as a result of a decrease in the size of the Board or any Committee, except as required by Applicable Governance Rules.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Reduction of Post’s Board and Committee Rights</w:t>
      </w:r>
      <w:r>
        <w:rPr>
          <w:rFonts w:ascii="Arial" w:cs="Arial" w:eastAsia="Arial" w:hAnsi="Arial"/>
          <w:sz w:val="18"/>
          <w:szCs w:val="18"/>
          <w:i w:val="1"/>
          <w:iCs w:val="1"/>
          <w:color w:val="auto"/>
        </w:rPr>
        <w:t>.</w:t>
      </w:r>
    </w:p>
    <w:p>
      <w:pPr>
        <w:spacing w:after="0" w:line="117" w:lineRule="exact"/>
        <w:rPr>
          <w:sz w:val="20"/>
          <w:szCs w:val="20"/>
          <w:color w:val="auto"/>
        </w:rPr>
      </w:pPr>
    </w:p>
    <w:p>
      <w:pPr>
        <w:ind w:right="160" w:firstLine="430"/>
        <w:spacing w:after="0" w:line="259" w:lineRule="auto"/>
        <w:tabs>
          <w:tab w:leader="none" w:pos="684"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Board Nominees</w:t>
      </w:r>
      <w:r>
        <w:rPr>
          <w:rFonts w:ascii="Arial" w:cs="Arial" w:eastAsia="Arial" w:hAnsi="Arial"/>
          <w:sz w:val="18"/>
          <w:szCs w:val="18"/>
          <w:color w:val="auto"/>
        </w:rPr>
        <w:t>. Notwithstanding anything to the contrary in this Agreement, after the Initial Public Offering, the number of Post Nominees that may be designated by Post pursuant to Section 3.01(a)(i) shall be determined based on the percentage of the votes that may be cast by the Post Stockholders under the Certificate of Incorporation on their own behalf without instructions or directions from Persons other than the Company or any of its Subsidiaries or the Post Stockholders, so that the Post Nominees constitute:</w:t>
      </w:r>
    </w:p>
    <w:p>
      <w:pPr>
        <w:spacing w:after="0" w:line="77" w:lineRule="exact"/>
        <w:rPr>
          <w:rFonts w:ascii="Arial" w:cs="Arial" w:eastAsia="Arial" w:hAnsi="Arial"/>
          <w:sz w:val="18"/>
          <w:szCs w:val="18"/>
          <w:color w:val="auto"/>
        </w:rPr>
      </w:pPr>
    </w:p>
    <w:p>
      <w:pPr>
        <w:ind w:left="440" w:right="160" w:firstLine="413"/>
        <w:spacing w:after="0" w:line="263" w:lineRule="auto"/>
        <w:tabs>
          <w:tab w:leader="none" w:pos="1077"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 majority of the directors on the Board (and if the number of directors on the Board is even, one director more than 50% of the number of directors on the Board), if the votes that may be cast by the Post Stockholders on their own behalf are greater than 50% of the total voting power of all of the outstanding Shares of the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359" w:name="page360"/>
    <w:bookmarkEnd w:id="359"/>
    <w:p>
      <w:pPr>
        <w:ind w:left="440" w:firstLine="413"/>
        <w:spacing w:after="0" w:line="263" w:lineRule="auto"/>
        <w:tabs>
          <w:tab w:leader="none" w:pos="1127"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less than a majority of the directors on the Board (and if the number of directors on the Board is even, 50% of the number of directors on the Board), if the votes that may be cast by the Post Stockholders on their own behalf are greater than 25% but 50% or less of the total voting power of all of the outstanding Shares of the Company;</w:t>
      </w:r>
    </w:p>
    <w:p>
      <w:pPr>
        <w:spacing w:after="0" w:line="74" w:lineRule="exact"/>
        <w:rPr>
          <w:rFonts w:ascii="Arial" w:cs="Arial" w:eastAsia="Arial" w:hAnsi="Arial"/>
          <w:sz w:val="18"/>
          <w:szCs w:val="18"/>
          <w:color w:val="auto"/>
        </w:rPr>
      </w:pPr>
    </w:p>
    <w:p>
      <w:pPr>
        <w:ind w:left="1160" w:hanging="307"/>
        <w:spacing w:after="0"/>
        <w:tabs>
          <w:tab w:leader="none" w:pos="11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one-third of the directors on the Board (rounded down to the nearest whole number), if the votes that may be cast by the Post</w:t>
      </w:r>
    </w:p>
    <w:p>
      <w:pPr>
        <w:spacing w:after="0" w:line="34" w:lineRule="exact"/>
        <w:rPr>
          <w:rFonts w:ascii="Arial" w:cs="Arial" w:eastAsia="Arial" w:hAnsi="Arial"/>
          <w:sz w:val="17"/>
          <w:szCs w:val="17"/>
          <w:color w:val="auto"/>
        </w:rPr>
      </w:pPr>
    </w:p>
    <w:p>
      <w:pPr>
        <w:ind w:left="440" w:right="100"/>
        <w:spacing w:after="0" w:line="260" w:lineRule="auto"/>
        <w:rPr>
          <w:rFonts w:ascii="Arial" w:cs="Arial" w:eastAsia="Arial" w:hAnsi="Arial"/>
          <w:sz w:val="17"/>
          <w:szCs w:val="17"/>
          <w:color w:val="auto"/>
        </w:rPr>
      </w:pPr>
      <w:r>
        <w:rPr>
          <w:rFonts w:ascii="Arial" w:cs="Arial" w:eastAsia="Arial" w:hAnsi="Arial"/>
          <w:sz w:val="18"/>
          <w:szCs w:val="18"/>
          <w:color w:val="auto"/>
        </w:rPr>
        <w:t>Stockholders on their own behalf are greater than 10% but 25% or less of the total voting power of all of the outstanding Shares of the Company; and</w:t>
      </w:r>
    </w:p>
    <w:p>
      <w:pPr>
        <w:spacing w:after="0" w:line="76" w:lineRule="exact"/>
        <w:rPr>
          <w:rFonts w:ascii="Arial" w:cs="Arial" w:eastAsia="Arial" w:hAnsi="Arial"/>
          <w:sz w:val="17"/>
          <w:szCs w:val="17"/>
          <w:color w:val="auto"/>
        </w:rPr>
      </w:pPr>
    </w:p>
    <w:p>
      <w:pPr>
        <w:ind w:left="440" w:right="60" w:firstLine="413"/>
        <w:spacing w:after="0" w:line="277" w:lineRule="auto"/>
        <w:tabs>
          <w:tab w:leader="none" w:pos="116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directors if the votes that may be cast by the Post Stockholders on their own behalf are 10% or less of the total voting power of all of the outstanding Shares of the Company.</w:t>
      </w:r>
    </w:p>
    <w:p>
      <w:pPr>
        <w:spacing w:after="0" w:line="170"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Post shall cause the appropriate number of Post Nominees to resign as required to comply with this Section 3.02 upon the earlier to occur of (i) the date on which the current term of the resigning Post Nominee ends, and (ii) 12 months from the occurrence of an event resulting in the votes that may be cast by the Post Stockholders crossing a threshold described in Section 3.02(a)(i) through (iv). To the extent deemed reasonably necessary by the Board to comply with Applicable Governance Rules (including with respect to composition of committees), Post shall designate Independent Directors as Post Nominees; provided that directors who are affiliated with a Post Party shall not be automatically deemed not to be Independent Directors.</w:t>
      </w:r>
    </w:p>
    <w:p>
      <w:pPr>
        <w:spacing w:after="0" w:line="53" w:lineRule="exact"/>
        <w:rPr>
          <w:sz w:val="20"/>
          <w:szCs w:val="20"/>
          <w:color w:val="auto"/>
        </w:rPr>
      </w:pPr>
    </w:p>
    <w:p>
      <w:pPr>
        <w:ind w:right="160" w:firstLine="430"/>
        <w:spacing w:after="0" w:line="263" w:lineRule="auto"/>
        <w:tabs>
          <w:tab w:leader="none" w:pos="69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Notwithstanding anything to the contrary in this Agreement, if the votes that may be cast by the Post Stockholders on their own behalf are less than 25% of the total voting power of all of the outstanding Shares of the Company, Post shall cease to have the rights to designate members of Committees pursuant to Section 3.01(c).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1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when the votes that may be cast by the Post Stockholders on their own behalf are less than 2.5% of the total voting power of all of the outstanding Shares; provided, however, that any Stockholder that ceases to own beneficially any Registrable Securities or BellRing LLC Units shall cease to be bound by the terms hereof other than (i) Section 2.05, Section 2.06, Section 2.07, Section 2.08 and Section 2.10 applicable to such Stockholder with respect to any offering of Registrable Securities completed before the date such Stockholder ceased to own any Registrable Securities or BellRing LLC Units and (ii) Section 5.01, Section 5.02 and Section 5.04 through Section 5.11.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100" w:firstLine="430"/>
        <w:spacing w:after="0" w:line="277" w:lineRule="auto"/>
        <w:tabs>
          <w:tab w:leader="none" w:pos="68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successors, legal representatives and permitted assigns.</w:t>
      </w:r>
    </w:p>
    <w:p>
      <w:pPr>
        <w:spacing w:after="0" w:line="61" w:lineRule="exact"/>
        <w:rPr>
          <w:rFonts w:ascii="Arial" w:cs="Arial" w:eastAsia="Arial" w:hAnsi="Arial"/>
          <w:sz w:val="18"/>
          <w:szCs w:val="18"/>
          <w:color w:val="auto"/>
        </w:rPr>
      </w:pPr>
    </w:p>
    <w:p>
      <w:pPr>
        <w:ind w:right="340" w:firstLine="430"/>
        <w:spacing w:after="0" w:line="277" w:lineRule="auto"/>
        <w:tabs>
          <w:tab w:leader="none" w:pos="6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Subject to Section 2.12, neither this Agreement nor any right, remedy, obligation or liability arising hereunder or by reason hereof shall be assignable by any party.</w:t>
      </w:r>
    </w:p>
    <w:p>
      <w:pPr>
        <w:spacing w:after="0" w:line="61" w:lineRule="exact"/>
        <w:rPr>
          <w:rFonts w:ascii="Arial" w:cs="Arial" w:eastAsia="Arial" w:hAnsi="Arial"/>
          <w:sz w:val="18"/>
          <w:szCs w:val="18"/>
          <w:color w:val="auto"/>
        </w:rPr>
      </w:pPr>
    </w:p>
    <w:p>
      <w:pPr>
        <w:ind w:right="180" w:firstLine="430"/>
        <w:spacing w:after="0" w:line="341" w:lineRule="auto"/>
        <w:tabs>
          <w:tab w:leader="none" w:pos="68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3" w:right="459" w:bottom="1440" w:gutter="0" w:footer="0" w:header="0"/>
        </w:sectPr>
      </w:pPr>
    </w:p>
    <w:bookmarkStart w:id="360" w:name="page361"/>
    <w:bookmarkEnd w:id="360"/>
    <w:p>
      <w:pPr>
        <w:ind w:right="9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Notices</w:t>
      </w:r>
      <w:r>
        <w:rPr>
          <w:rFonts w:ascii="Arial" w:cs="Arial" w:eastAsia="Arial" w:hAnsi="Arial"/>
          <w:sz w:val="18"/>
          <w:szCs w:val="18"/>
          <w:i w:val="1"/>
          <w:iCs w:val="1"/>
          <w:color w:val="auto"/>
        </w:rPr>
        <w:t>.</w:t>
      </w:r>
      <w:r>
        <w:rPr>
          <w:rFonts w:ascii="Arial" w:cs="Arial" w:eastAsia="Arial" w:hAnsi="Arial"/>
          <w:sz w:val="18"/>
          <w:szCs w:val="18"/>
          <w:color w:val="auto"/>
        </w:rPr>
        <w:t xml:space="preserve"> All notices, requests and other communications to any party hereunder shall be in writing (including electronic transmission) and shall be given,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President and CEO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2305 S. Hanley 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if to any other party hereto, to the address (including electronic transmission) specified on the joinder to this Agreement signed by such party hereto,</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or such other address as such party may hereafter specify for the purpose by notice to the other parties hereto. 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Any Person that becomes a Stockholder shall provide its address and e-mail address to the Company, which shall promptly provide such information to each other Stockholder.</w:t>
      </w:r>
    </w:p>
    <w:p>
      <w:pPr>
        <w:spacing w:after="0" w:line="17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Amendments and Waivers</w:t>
      </w:r>
      <w:r>
        <w:rPr>
          <w:rFonts w:ascii="Arial" w:cs="Arial" w:eastAsia="Arial" w:hAnsi="Arial"/>
          <w:sz w:val="16"/>
          <w:szCs w:val="16"/>
          <w:i w:val="1"/>
          <w:iCs w:val="1"/>
          <w:color w:val="auto"/>
        </w:rPr>
        <w:t>.</w:t>
      </w:r>
      <w:r>
        <w:rPr>
          <w:rFonts w:ascii="Arial" w:cs="Arial" w:eastAsia="Arial" w:hAnsi="Arial"/>
          <w:sz w:val="16"/>
          <w:szCs w:val="16"/>
          <w:color w:val="auto"/>
        </w:rPr>
        <w:t xml:space="preserve"> Any provision of this Agreement may be amended or waived if, but only if, such amendment or waiver is in writing and is signed by the Company and Post.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6" w:lineRule="exact"/>
        <w:rPr>
          <w:sz w:val="20"/>
          <w:szCs w:val="20"/>
          <w:color w:val="auto"/>
        </w:rPr>
      </w:pPr>
    </w:p>
    <w:p>
      <w:pPr>
        <w:jc w:val="both"/>
        <w:ind w:right="200" w:firstLine="440"/>
        <w:spacing w:after="0" w:line="30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Governing Law</w:t>
      </w:r>
      <w:r>
        <w:rPr>
          <w:rFonts w:ascii="Arial" w:cs="Arial" w:eastAsia="Arial" w:hAnsi="Arial"/>
          <w:sz w:val="16"/>
          <w:szCs w:val="16"/>
          <w:i w:val="1"/>
          <w:iCs w:val="1"/>
          <w:color w:val="auto"/>
        </w:rPr>
        <w:t>.</w:t>
      </w:r>
      <w:r>
        <w:rPr>
          <w:rFonts w:ascii="Arial" w:cs="Arial" w:eastAsia="Arial" w:hAnsi="Arial"/>
          <w:sz w:val="16"/>
          <w:szCs w:val="16"/>
          <w:color w:val="auto"/>
        </w:rPr>
        <w:t xml:space="preserve"> The corporate law of the State of Delaware shall govern all issues and questions concerning the relative rights of the Company and its stockholders pursuant to Article III hereto. All other issues and questions concerning the construction, validity, interpretation and enforcement of this Agreement and the exhibits and schedules hereto shall be governed by, and construed in accordance with, the laws of the State of Delaware, without regard to the choice of law or conflicts of law provisions that would indicate the applicability of the laws of any other jurisdiction.</w:t>
      </w:r>
    </w:p>
    <w:p>
      <w:pPr>
        <w:spacing w:after="0" w:line="15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hereby agree that 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361" w:name="page362"/>
    <w:bookmarkEnd w:id="361"/>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spacing w:after="0" w:line="18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3"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Specific Enforcement</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 Effectiveness; Third Party Beneficiaries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initial party hereto shall have received a counterpart hereof signed by all of the other initial parties hereto. Until and unless each initial party has received a counterpart hereof signed by the other initial parties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93"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Entire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together with the Exhibit hereto and any documents, instruments and writings that are delivered pursuant hereto, constitutes the entire agreement among the parties with respect to the subject matter of this Agreement and supersedes all prior agreements and understandings, both oral and written, among the parties hereto with respect to the subject matter of this Agreement.</w:t>
      </w:r>
    </w:p>
    <w:p>
      <w:pPr>
        <w:spacing w:after="0" w:line="14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7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Certificate of Incorporation Supersedes</w:t>
      </w:r>
      <w:r>
        <w:rPr>
          <w:rFonts w:ascii="Arial" w:cs="Arial" w:eastAsia="Arial" w:hAnsi="Arial"/>
          <w:sz w:val="18"/>
          <w:szCs w:val="18"/>
          <w:color w:val="auto"/>
        </w:rPr>
        <w:t>. Nothing in this Agreement is intended to conflict with any provision of the Certificate of Incorporation or Bylaws, each in effect on the date hereof and, in the event of any such conflict, the applicable provisions of the Certificate of Incorporation or Bylaws shall supersede the conflicting provision of this Agreement.</w:t>
      </w:r>
    </w:p>
    <w:p>
      <w:pPr>
        <w:spacing w:after="0" w:line="183"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362" w:name="page363"/>
    <w:bookmarkEnd w:id="362"/>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page left blank; signature pages follow]</w:t>
      </w:r>
    </w:p>
    <w:p>
      <w:pPr>
        <w:sectPr>
          <w:pgSz w:w="11900" w:h="16838" w:orient="portrait"/>
          <w:cols w:equalWidth="0" w:num="1">
            <w:col w:w="9019"/>
          </w:cols>
          <w:pgMar w:left="1440" w:top="274"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274" w:right="1440" w:bottom="1440" w:gutter="0" w:footer="0" w:header="0"/>
          <w:type w:val="continuous"/>
        </w:sectPr>
      </w:pPr>
    </w:p>
    <w:bookmarkStart w:id="363" w:name="page364"/>
    <w:bookmarkEnd w:id="36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BRANDS, INC.</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14605</wp:posOffset>
            </wp:positionV>
            <wp:extent cx="26041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-1905</wp:posOffset>
            </wp:positionV>
            <wp:extent cx="220154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-1905</wp:posOffset>
            </wp:positionV>
            <wp:extent cx="22015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ELL</w:t>
      </w:r>
      <w:r>
        <w:rPr>
          <w:rFonts w:ascii="Arial" w:cs="Arial" w:eastAsia="Arial" w:hAnsi="Arial"/>
          <w:sz w:val="18"/>
          <w:szCs w:val="18"/>
          <w:color w:val="auto"/>
        </w:rPr>
        <w:t>R</w:t>
      </w:r>
      <w:r>
        <w:rPr>
          <w:rFonts w:ascii="Arial" w:cs="Arial" w:eastAsia="Arial" w:hAnsi="Arial"/>
          <w:sz w:val="14"/>
          <w:szCs w:val="14"/>
          <w:color w:val="auto"/>
        </w:rPr>
        <w:t>ING</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364" w:name="page365"/>
    <w:bookmarkEnd w:id="36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HOLDINGS, INC.</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14605</wp:posOffset>
            </wp:positionV>
            <wp:extent cx="26041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-1905</wp:posOffset>
            </wp:positionV>
            <wp:extent cx="22015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-1905</wp:posOffset>
            </wp:positionV>
            <wp:extent cx="220154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TO INVESTOR RIGHTS AGREEMENT</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u w:val="single" w:color="auto"/>
          <w:color w:val="auto"/>
        </w:rPr>
        <w:t>Joinder Agreement</w:t>
      </w:r>
      <w:r>
        <w:rPr>
          <w:rFonts w:ascii="Arial" w:cs="Arial" w:eastAsia="Arial" w:hAnsi="Arial"/>
          <w:sz w:val="16"/>
          <w:szCs w:val="16"/>
          <w:color w:val="auto"/>
        </w:rPr>
        <w:t>”) is made as of the date written below by the undersigned (the “</w:t>
      </w:r>
      <w:r>
        <w:rPr>
          <w:rFonts w:ascii="Arial" w:cs="Arial" w:eastAsia="Arial" w:hAnsi="Arial"/>
          <w:sz w:val="16"/>
          <w:szCs w:val="16"/>
          <w:u w:val="single" w:color="auto"/>
          <w:color w:val="auto"/>
        </w:rPr>
        <w:t>Joining Party</w:t>
      </w:r>
      <w:r>
        <w:rPr>
          <w:rFonts w:ascii="Arial" w:cs="Arial" w:eastAsia="Arial" w:hAnsi="Arial"/>
          <w:sz w:val="16"/>
          <w:szCs w:val="16"/>
          <w:color w:val="auto"/>
        </w:rPr>
        <w:t>”) in accordance with the Investor Rights Agreement dated as of _________, 2019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among BellRing Brands, Inc. and the other parties</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thereto, as the same may be amended from time to time. Capitalized terms used, but not defined, herein shall have the meanings ascribed to such terms in the Investor Rights Agreement.</w:t>
      </w:r>
    </w:p>
    <w:p>
      <w:pPr>
        <w:spacing w:after="0" w:line="18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Investor Rights Agreement as of the date hereof and shall have all of the rights and obligations of a “Stockholder” thereunder as if it had executed the Investor Rights Agreement. The Joining Party hereby ratifies, as of the date hereof, and agrees to be bound by, all of the terms, provisions and conditions contained in the Investor Rights Agreement.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___, ______</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14605</wp:posOffset>
            </wp:positionV>
            <wp:extent cx="25698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98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14605</wp:posOffset>
            </wp:positionV>
            <wp:extent cx="220154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Email Address: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A - 1</w:t>
      </w:r>
    </w:p>
    <w:p>
      <w:pPr>
        <w:sectPr>
          <w:pgSz w:w="11900" w:h="16838" w:orient="portrait"/>
          <w:cols w:equalWidth="0" w:num="1">
            <w:col w:w="11000"/>
          </w:cols>
          <w:pgMar w:left="460" w:top="274" w:right="4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AMENDED AND RESTATED LIMITED LIABILITY COMPANY AGREEMENT</w:t>
      </w:r>
    </w:p>
    <w:p>
      <w:pPr>
        <w:spacing w:after="0" w:line="23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Dated as of</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bl>
    <w:p>
      <w:pPr>
        <w:sectPr>
          <w:pgSz w:w="11900" w:h="16838" w:orient="portrait"/>
          <w:cols w:equalWidth="0" w:num="1">
            <w:col w:w="10020"/>
          </w:cols>
          <w:pgMar w:left="1440" w:top="121" w:right="439" w:bottom="1440" w:gutter="0" w:footer="0" w:header="0"/>
        </w:sectPr>
      </w:pPr>
    </w:p>
    <w:bookmarkStart w:id="367" w:name="page368"/>
    <w:bookmarkEnd w:id="367"/>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0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8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 DEFINITIONS AND USAGE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1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160" w:type="dxa"/>
            <w:vAlign w:val="bottom"/>
          </w:tcPr>
          <w:p>
            <w:pPr>
              <w:ind w:left="200"/>
              <w:spacing w:after="0"/>
              <w:rPr>
                <w:sz w:val="20"/>
                <w:szCs w:val="20"/>
                <w:color w:val="auto"/>
              </w:rPr>
            </w:pPr>
            <w:r>
              <w:rPr>
                <w:rFonts w:ascii="Arial" w:cs="Arial" w:eastAsia="Arial" w:hAnsi="Arial"/>
                <w:sz w:val="18"/>
                <w:szCs w:val="18"/>
                <w:color w:val="auto"/>
              </w:rPr>
              <w:t>Other Definitional and Interpretative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160" w:type="dxa"/>
            <w:vAlign w:val="bottom"/>
          </w:tcPr>
          <w:p>
            <w:pPr>
              <w:ind w:left="200"/>
              <w:spacing w:after="0"/>
              <w:rPr>
                <w:sz w:val="20"/>
                <w:szCs w:val="20"/>
                <w:color w:val="auto"/>
              </w:rPr>
            </w:pPr>
            <w:r>
              <w:rPr>
                <w:rFonts w:ascii="Arial" w:cs="Arial" w:eastAsia="Arial" w:hAnsi="Arial"/>
                <w:sz w:val="18"/>
                <w:szCs w:val="18"/>
                <w:color w:val="auto"/>
              </w:rPr>
              <w:t>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160" w:type="dxa"/>
            <w:vAlign w:val="bottom"/>
          </w:tcPr>
          <w:p>
            <w:pPr>
              <w:ind w:left="200"/>
              <w:spacing w:after="0"/>
              <w:rPr>
                <w:sz w:val="20"/>
                <w:szCs w:val="20"/>
                <w:color w:val="auto"/>
              </w:rPr>
            </w:pPr>
            <w:r>
              <w:rPr>
                <w:rFonts w:ascii="Arial" w:cs="Arial" w:eastAsia="Arial" w:hAnsi="Arial"/>
                <w:sz w:val="18"/>
                <w:szCs w:val="18"/>
                <w:color w:val="auto"/>
              </w:rPr>
              <w:t>Name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160" w:type="dxa"/>
            <w:vAlign w:val="bottom"/>
          </w:tcPr>
          <w:p>
            <w:pPr>
              <w:ind w:left="20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160" w:type="dxa"/>
            <w:vAlign w:val="bottom"/>
          </w:tcPr>
          <w:p>
            <w:pPr>
              <w:ind w:left="200"/>
              <w:spacing w:after="0"/>
              <w:rPr>
                <w:sz w:val="20"/>
                <w:szCs w:val="20"/>
                <w:color w:val="auto"/>
              </w:rPr>
            </w:pPr>
            <w:r>
              <w:rPr>
                <w:rFonts w:ascii="Arial" w:cs="Arial" w:eastAsia="Arial" w:hAnsi="Arial"/>
                <w:sz w:val="18"/>
                <w:szCs w:val="18"/>
                <w:color w:val="auto"/>
              </w:rPr>
              <w:t>Registered Agent and Registered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160" w:type="dxa"/>
            <w:vAlign w:val="bottom"/>
          </w:tcPr>
          <w:p>
            <w:pPr>
              <w:ind w:left="200"/>
              <w:spacing w:after="0"/>
              <w:rPr>
                <w:sz w:val="20"/>
                <w:szCs w:val="20"/>
                <w:color w:val="auto"/>
              </w:rPr>
            </w:pPr>
            <w:r>
              <w:rPr>
                <w:rFonts w:ascii="Arial" w:cs="Arial" w:eastAsia="Arial" w:hAnsi="Arial"/>
                <w:sz w:val="18"/>
                <w:szCs w:val="18"/>
                <w:color w:val="auto"/>
              </w:rPr>
              <w:t>Purposes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9160" w:type="dxa"/>
            <w:vAlign w:val="bottom"/>
          </w:tcPr>
          <w:p>
            <w:pPr>
              <w:ind w:left="200"/>
              <w:spacing w:after="0"/>
              <w:rPr>
                <w:sz w:val="20"/>
                <w:szCs w:val="20"/>
                <w:color w:val="auto"/>
              </w:rPr>
            </w:pPr>
            <w:r>
              <w:rPr>
                <w:rFonts w:ascii="Arial" w:cs="Arial" w:eastAsia="Arial" w:hAnsi="Arial"/>
                <w:sz w:val="18"/>
                <w:szCs w:val="18"/>
                <w:color w:val="auto"/>
              </w:rPr>
              <w:t>Powers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9160" w:type="dxa"/>
            <w:vAlign w:val="bottom"/>
          </w:tcPr>
          <w:p>
            <w:pPr>
              <w:ind w:left="200"/>
              <w:spacing w:after="0"/>
              <w:rPr>
                <w:sz w:val="20"/>
                <w:szCs w:val="20"/>
                <w:color w:val="auto"/>
              </w:rPr>
            </w:pPr>
            <w:r>
              <w:rPr>
                <w:rFonts w:ascii="Arial" w:cs="Arial" w:eastAsia="Arial" w:hAnsi="Arial"/>
                <w:sz w:val="18"/>
                <w:szCs w:val="18"/>
                <w:color w:val="auto"/>
              </w:rPr>
              <w:t>Partnership Tax Status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9160" w:type="dxa"/>
            <w:vAlign w:val="bottom"/>
          </w:tcPr>
          <w:p>
            <w:pPr>
              <w:ind w:left="200"/>
              <w:spacing w:after="0"/>
              <w:rPr>
                <w:sz w:val="20"/>
                <w:szCs w:val="20"/>
                <w:color w:val="auto"/>
              </w:rPr>
            </w:pPr>
            <w:r>
              <w:rPr>
                <w:rFonts w:ascii="Arial" w:cs="Arial" w:eastAsia="Arial" w:hAnsi="Arial"/>
                <w:sz w:val="18"/>
                <w:szCs w:val="18"/>
                <w:color w:val="auto"/>
              </w:rPr>
              <w:t>Regulation of Internal Affairs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9160" w:type="dxa"/>
            <w:vAlign w:val="bottom"/>
          </w:tcPr>
          <w:p>
            <w:pPr>
              <w:ind w:left="200"/>
              <w:spacing w:after="0"/>
              <w:rPr>
                <w:sz w:val="20"/>
                <w:szCs w:val="20"/>
                <w:color w:val="auto"/>
              </w:rPr>
            </w:pPr>
            <w:r>
              <w:rPr>
                <w:rFonts w:ascii="Arial" w:cs="Arial" w:eastAsia="Arial" w:hAnsi="Arial"/>
                <w:sz w:val="18"/>
                <w:szCs w:val="18"/>
                <w:color w:val="auto"/>
              </w:rPr>
              <w:t>Ownership of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16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III. UNITS; MEMBERS; BOOKS AND RECORDS;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160" w:type="dxa"/>
            <w:vAlign w:val="bottom"/>
          </w:tcPr>
          <w:p>
            <w:pPr>
              <w:ind w:left="200"/>
              <w:spacing w:after="0"/>
              <w:rPr>
                <w:sz w:val="20"/>
                <w:szCs w:val="20"/>
                <w:color w:val="auto"/>
              </w:rPr>
            </w:pPr>
            <w:r>
              <w:rPr>
                <w:rFonts w:ascii="Arial" w:cs="Arial" w:eastAsia="Arial" w:hAnsi="Arial"/>
                <w:sz w:val="18"/>
                <w:szCs w:val="18"/>
                <w:color w:val="auto"/>
              </w:rPr>
              <w:t>Units; Admission of 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160" w:type="dxa"/>
            <w:vAlign w:val="bottom"/>
          </w:tcPr>
          <w:p>
            <w:pPr>
              <w:ind w:left="200"/>
              <w:spacing w:after="0"/>
              <w:rPr>
                <w:sz w:val="20"/>
                <w:szCs w:val="20"/>
                <w:color w:val="auto"/>
              </w:rPr>
            </w:pPr>
            <w:r>
              <w:rPr>
                <w:rFonts w:ascii="Arial" w:cs="Arial" w:eastAsia="Arial" w:hAnsi="Arial"/>
                <w:sz w:val="18"/>
                <w:szCs w:val="18"/>
                <w:color w:val="auto"/>
              </w:rPr>
              <w:t>Substitute Members and Additional 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160" w:type="dxa"/>
            <w:vAlign w:val="bottom"/>
          </w:tcPr>
          <w:p>
            <w:pPr>
              <w:ind w:left="200"/>
              <w:spacing w:after="0"/>
              <w:rPr>
                <w:sz w:val="20"/>
                <w:szCs w:val="20"/>
                <w:color w:val="auto"/>
              </w:rPr>
            </w:pPr>
            <w:r>
              <w:rPr>
                <w:rFonts w:ascii="Arial" w:cs="Arial" w:eastAsia="Arial" w:hAnsi="Arial"/>
                <w:sz w:val="18"/>
                <w:szCs w:val="18"/>
                <w:color w:val="auto"/>
              </w:rPr>
              <w:t>Accounting and Tax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160" w:type="dxa"/>
            <w:vAlign w:val="bottom"/>
          </w:tcPr>
          <w:p>
            <w:pPr>
              <w:ind w:left="200"/>
              <w:spacing w:after="0"/>
              <w:rPr>
                <w:sz w:val="20"/>
                <w:szCs w:val="20"/>
                <w:color w:val="auto"/>
              </w:rPr>
            </w:pPr>
            <w:r>
              <w:rPr>
                <w:rFonts w:ascii="Arial" w:cs="Arial" w:eastAsia="Arial" w:hAnsi="Arial"/>
                <w:sz w:val="18"/>
                <w:szCs w:val="18"/>
                <w:color w:val="auto"/>
              </w:rPr>
              <w:t>Books and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PUBCO OWNERSHIP; RESTRICTIONS ON PUBCO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9160" w:type="dxa"/>
            <w:vAlign w:val="bottom"/>
          </w:tcPr>
          <w:p>
            <w:pPr>
              <w:ind w:left="200"/>
              <w:spacing w:after="0"/>
              <w:rPr>
                <w:sz w:val="20"/>
                <w:szCs w:val="20"/>
                <w:color w:val="auto"/>
              </w:rPr>
            </w:pPr>
            <w:r>
              <w:rPr>
                <w:rFonts w:ascii="Arial" w:cs="Arial" w:eastAsia="Arial" w:hAnsi="Arial"/>
                <w:sz w:val="18"/>
                <w:szCs w:val="18"/>
                <w:color w:val="auto"/>
              </w:rPr>
              <w:t>Pubco Ownership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9160" w:type="dxa"/>
            <w:vAlign w:val="bottom"/>
          </w:tcPr>
          <w:p>
            <w:pPr>
              <w:ind w:left="200"/>
              <w:spacing w:after="0"/>
              <w:rPr>
                <w:sz w:val="20"/>
                <w:szCs w:val="20"/>
                <w:color w:val="auto"/>
              </w:rPr>
            </w:pPr>
            <w:r>
              <w:rPr>
                <w:rFonts w:ascii="Arial" w:cs="Arial" w:eastAsia="Arial" w:hAnsi="Arial"/>
                <w:sz w:val="18"/>
                <w:szCs w:val="18"/>
                <w:color w:val="auto"/>
              </w:rPr>
              <w:t>Restrictions on Pubco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CAPITAL CONTRIBUTIONS; CAPITAL ACCOUNTS; DISTRIBUTIONS;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9160" w:type="dxa"/>
            <w:vAlign w:val="bottom"/>
          </w:tcPr>
          <w:p>
            <w:pPr>
              <w:ind w:left="200"/>
              <w:spacing w:after="0"/>
              <w:rPr>
                <w:sz w:val="20"/>
                <w:szCs w:val="20"/>
                <w:color w:val="auto"/>
              </w:rPr>
            </w:pPr>
            <w:r>
              <w:rPr>
                <w:rFonts w:ascii="Arial" w:cs="Arial" w:eastAsia="Arial" w:hAnsi="Arial"/>
                <w:sz w:val="18"/>
                <w:szCs w:val="18"/>
                <w:color w:val="auto"/>
              </w:rPr>
              <w:t>Capital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9160" w:type="dxa"/>
            <w:vAlign w:val="bottom"/>
          </w:tcPr>
          <w:p>
            <w:pPr>
              <w:ind w:left="200"/>
              <w:spacing w:after="0"/>
              <w:rPr>
                <w:sz w:val="20"/>
                <w:szCs w:val="20"/>
                <w:color w:val="auto"/>
              </w:rPr>
            </w:pPr>
            <w:r>
              <w:rPr>
                <w:rFonts w:ascii="Arial" w:cs="Arial" w:eastAsia="Arial" w:hAnsi="Arial"/>
                <w:sz w:val="18"/>
                <w:szCs w:val="18"/>
                <w:color w:val="auto"/>
              </w:rPr>
              <w:t>Capital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9160" w:type="dxa"/>
            <w:vAlign w:val="bottom"/>
          </w:tcPr>
          <w:p>
            <w:pPr>
              <w:ind w:left="200"/>
              <w:spacing w:after="0"/>
              <w:rPr>
                <w:sz w:val="20"/>
                <w:szCs w:val="20"/>
                <w:color w:val="auto"/>
              </w:rPr>
            </w:pPr>
            <w:r>
              <w:rPr>
                <w:rFonts w:ascii="Arial" w:cs="Arial" w:eastAsia="Arial" w:hAnsi="Arial"/>
                <w:sz w:val="18"/>
                <w:szCs w:val="18"/>
                <w:color w:val="auto"/>
              </w:rPr>
              <w:t>Amounts and Priority of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9160" w:type="dxa"/>
            <w:vAlign w:val="bottom"/>
          </w:tcPr>
          <w:p>
            <w:pPr>
              <w:ind w:left="200"/>
              <w:spacing w:after="0"/>
              <w:rPr>
                <w:sz w:val="20"/>
                <w:szCs w:val="20"/>
                <w:color w:val="auto"/>
              </w:rPr>
            </w:pPr>
            <w:r>
              <w:rPr>
                <w:rFonts w:ascii="Arial" w:cs="Arial" w:eastAsia="Arial" w:hAnsi="Arial"/>
                <w:sz w:val="18"/>
                <w:szCs w:val="18"/>
                <w:color w:val="auto"/>
              </w:rPr>
              <w:t>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9160" w:type="dxa"/>
            <w:vAlign w:val="bottom"/>
          </w:tcPr>
          <w:p>
            <w:pPr>
              <w:ind w:left="200"/>
              <w:spacing w:after="0"/>
              <w:rPr>
                <w:sz w:val="20"/>
                <w:szCs w:val="20"/>
                <w:color w:val="auto"/>
              </w:rPr>
            </w:pPr>
            <w:r>
              <w:rPr>
                <w:rFonts w:ascii="Arial" w:cs="Arial" w:eastAsia="Arial" w:hAnsi="Arial"/>
                <w:sz w:val="18"/>
                <w:szCs w:val="18"/>
                <w:color w:val="auto"/>
              </w:rPr>
              <w:t>Other Allocation Rules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9160" w:type="dxa"/>
            <w:vAlign w:val="bottom"/>
          </w:tcPr>
          <w:p>
            <w:pPr>
              <w:ind w:left="200"/>
              <w:spacing w:after="0"/>
              <w:rPr>
                <w:sz w:val="20"/>
                <w:szCs w:val="20"/>
                <w:color w:val="auto"/>
              </w:rPr>
            </w:pPr>
            <w:r>
              <w:rPr>
                <w:rFonts w:ascii="Arial" w:cs="Arial" w:eastAsia="Arial" w:hAnsi="Arial"/>
                <w:sz w:val="18"/>
                <w:szCs w:val="18"/>
                <w:color w:val="auto"/>
              </w:rPr>
              <w:t>Tax Withholding; Withholding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CERTAIN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9160" w:type="dxa"/>
            <w:vAlign w:val="bottom"/>
          </w:tcPr>
          <w:p>
            <w:pPr>
              <w:ind w:left="200"/>
              <w:spacing w:after="0"/>
              <w:rPr>
                <w:sz w:val="20"/>
                <w:szCs w:val="20"/>
                <w:color w:val="auto"/>
              </w:rPr>
            </w:pPr>
            <w:r>
              <w:rPr>
                <w:rFonts w:ascii="Arial" w:cs="Arial" w:eastAsia="Arial" w:hAnsi="Arial"/>
                <w:sz w:val="18"/>
                <w:szCs w:val="18"/>
                <w:color w:val="auto"/>
              </w:rPr>
              <w:t>Partnership Representative</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9160" w:type="dxa"/>
            <w:vAlign w:val="bottom"/>
          </w:tcPr>
          <w:p>
            <w:pPr>
              <w:ind w:left="200"/>
              <w:spacing w:after="0"/>
              <w:rPr>
                <w:sz w:val="20"/>
                <w:szCs w:val="20"/>
                <w:color w:val="auto"/>
              </w:rPr>
            </w:pPr>
            <w:r>
              <w:rPr>
                <w:rFonts w:ascii="Arial" w:cs="Arial" w:eastAsia="Arial" w:hAnsi="Arial"/>
                <w:sz w:val="18"/>
                <w:szCs w:val="18"/>
                <w:color w:val="auto"/>
              </w:rPr>
              <w:t>Section 754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9"/>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 MANAGEMENT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9160" w:type="dxa"/>
            <w:vAlign w:val="bottom"/>
          </w:tcPr>
          <w:p>
            <w:pPr>
              <w:ind w:left="200"/>
              <w:spacing w:after="0"/>
              <w:rPr>
                <w:sz w:val="20"/>
                <w:szCs w:val="20"/>
                <w:color w:val="auto"/>
              </w:rPr>
            </w:pPr>
            <w:r>
              <w:rPr>
                <w:rFonts w:ascii="Arial" w:cs="Arial" w:eastAsia="Arial" w:hAnsi="Arial"/>
                <w:sz w:val="18"/>
                <w:szCs w:val="18"/>
                <w:color w:val="auto"/>
              </w:rPr>
              <w:t>Establishment of the Board</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9160" w:type="dxa"/>
            <w:vAlign w:val="bottom"/>
          </w:tcPr>
          <w:p>
            <w:pPr>
              <w:ind w:left="200"/>
              <w:spacing w:after="0"/>
              <w:rPr>
                <w:sz w:val="20"/>
                <w:szCs w:val="20"/>
                <w:color w:val="auto"/>
              </w:rPr>
            </w:pPr>
            <w:r>
              <w:rPr>
                <w:rFonts w:ascii="Arial" w:cs="Arial" w:eastAsia="Arial" w:hAnsi="Arial"/>
                <w:sz w:val="18"/>
                <w:szCs w:val="18"/>
                <w:color w:val="auto"/>
              </w:rPr>
              <w:t>Board Composition; 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9160" w:type="dxa"/>
            <w:vAlign w:val="bottom"/>
          </w:tcPr>
          <w:p>
            <w:pPr>
              <w:ind w:left="200"/>
              <w:spacing w:after="0"/>
              <w:rPr>
                <w:sz w:val="20"/>
                <w:szCs w:val="20"/>
                <w:color w:val="auto"/>
              </w:rPr>
            </w:pPr>
            <w:r>
              <w:rPr>
                <w:rFonts w:ascii="Arial" w:cs="Arial" w:eastAsia="Arial" w:hAnsi="Arial"/>
                <w:sz w:val="18"/>
                <w:szCs w:val="18"/>
                <w:color w:val="auto"/>
              </w:rPr>
              <w:t>Removal; Resignation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9160" w:type="dxa"/>
            <w:vAlign w:val="bottom"/>
          </w:tcPr>
          <w:p>
            <w:pPr>
              <w:ind w:left="200"/>
              <w:spacing w:after="0"/>
              <w:rPr>
                <w:sz w:val="20"/>
                <w:szCs w:val="20"/>
                <w:color w:val="auto"/>
              </w:rPr>
            </w:pPr>
            <w:r>
              <w:rPr>
                <w:rFonts w:ascii="Arial" w:cs="Arial" w:eastAsia="Arial" w:hAnsi="Arial"/>
                <w:sz w:val="18"/>
                <w:szCs w:val="18"/>
                <w:color w:val="auto"/>
              </w:rPr>
              <w:t>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9160" w:type="dxa"/>
            <w:vAlign w:val="bottom"/>
          </w:tcPr>
          <w:p>
            <w:pPr>
              <w:ind w:left="200"/>
              <w:spacing w:after="0"/>
              <w:rPr>
                <w:sz w:val="20"/>
                <w:szCs w:val="20"/>
                <w:color w:val="auto"/>
              </w:rPr>
            </w:pPr>
            <w:r>
              <w:rPr>
                <w:rFonts w:ascii="Arial" w:cs="Arial" w:eastAsia="Arial" w:hAnsi="Arial"/>
                <w:sz w:val="18"/>
                <w:szCs w:val="18"/>
                <w:color w:val="auto"/>
              </w:rPr>
              <w:t>Action By Written Consent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9160" w:type="dxa"/>
            <w:vAlign w:val="bottom"/>
          </w:tcPr>
          <w:p>
            <w:pPr>
              <w:ind w:left="200"/>
              <w:spacing w:after="0"/>
              <w:rPr>
                <w:sz w:val="20"/>
                <w:szCs w:val="20"/>
                <w:color w:val="auto"/>
              </w:rPr>
            </w:pPr>
            <w:r>
              <w:rPr>
                <w:rFonts w:ascii="Arial" w:cs="Arial" w:eastAsia="Arial" w:hAnsi="Arial"/>
                <w:sz w:val="18"/>
                <w:szCs w:val="18"/>
                <w:color w:val="auto"/>
              </w:rPr>
              <w:t>Quorum</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91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9160" w:type="dxa"/>
            <w:vAlign w:val="bottom"/>
          </w:tcPr>
          <w:p>
            <w:pPr>
              <w:ind w:left="200"/>
              <w:spacing w:after="0"/>
              <w:rPr>
                <w:sz w:val="20"/>
                <w:szCs w:val="20"/>
                <w:color w:val="auto"/>
              </w:rPr>
            </w:pPr>
            <w:r>
              <w:rPr>
                <w:rFonts w:ascii="Arial" w:cs="Arial" w:eastAsia="Arial" w:hAnsi="Arial"/>
                <w:sz w:val="18"/>
                <w:szCs w:val="18"/>
                <w:color w:val="auto"/>
              </w:rPr>
              <w:t>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9160" w:type="dxa"/>
            <w:vAlign w:val="bottom"/>
          </w:tcPr>
          <w:p>
            <w:pPr>
              <w:ind w:left="200"/>
              <w:spacing w:after="0"/>
              <w:rPr>
                <w:sz w:val="20"/>
                <w:szCs w:val="20"/>
                <w:color w:val="auto"/>
              </w:rPr>
            </w:pPr>
            <w:r>
              <w:rPr>
                <w:rFonts w:ascii="Arial" w:cs="Arial" w:eastAsia="Arial" w:hAnsi="Arial"/>
                <w:sz w:val="18"/>
                <w:szCs w:val="18"/>
                <w:color w:val="auto"/>
              </w:rPr>
              <w:t>Decisions by the 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91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40"/>
          </w:cols>
          <w:pgMar w:left="460" w:top="274" w:right="49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VIII. TRANSFERS OF INTERESTS</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40" w:type="dxa"/>
            <w:vAlign w:val="bottom"/>
          </w:tcPr>
          <w:p>
            <w:pPr>
              <w:ind w:left="300"/>
              <w:spacing w:after="0"/>
              <w:rPr>
                <w:sz w:val="20"/>
                <w:szCs w:val="20"/>
                <w:color w:val="auto"/>
              </w:rPr>
            </w:pPr>
            <w:r>
              <w:rPr>
                <w:rFonts w:ascii="Arial" w:cs="Arial" w:eastAsia="Arial" w:hAnsi="Arial"/>
                <w:sz w:val="18"/>
                <w:szCs w:val="18"/>
                <w:color w:val="auto"/>
              </w:rPr>
              <w:t>Restrictions on Transfers.</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40" w:type="dxa"/>
            <w:vAlign w:val="bottom"/>
          </w:tcPr>
          <w:p>
            <w:pPr>
              <w:ind w:left="300"/>
              <w:spacing w:after="0"/>
              <w:rPr>
                <w:sz w:val="20"/>
                <w:szCs w:val="20"/>
                <w:color w:val="auto"/>
              </w:rPr>
            </w:pPr>
            <w:r>
              <w:rPr>
                <w:rFonts w:ascii="Arial" w:cs="Arial" w:eastAsia="Arial" w:hAnsi="Arial"/>
                <w:sz w:val="18"/>
                <w:szCs w:val="18"/>
                <w:color w:val="auto"/>
              </w:rPr>
              <w:t>Certain Permitted Transfers</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240" w:type="dxa"/>
            <w:vAlign w:val="bottom"/>
          </w:tcPr>
          <w:p>
            <w:pPr>
              <w:ind w:left="300"/>
              <w:spacing w:after="0"/>
              <w:rPr>
                <w:sz w:val="20"/>
                <w:szCs w:val="20"/>
                <w:color w:val="auto"/>
              </w:rPr>
            </w:pPr>
            <w:r>
              <w:rPr>
                <w:rFonts w:ascii="Arial" w:cs="Arial" w:eastAsia="Arial" w:hAnsi="Arial"/>
                <w:sz w:val="18"/>
                <w:szCs w:val="18"/>
                <w:color w:val="auto"/>
              </w:rPr>
              <w:t>Registration of Transfers</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240" w:type="dxa"/>
            <w:vAlign w:val="bottom"/>
          </w:tcPr>
          <w:p>
            <w:pPr>
              <w:ind w:left="300"/>
              <w:spacing w:after="0"/>
              <w:rPr>
                <w:sz w:val="20"/>
                <w:szCs w:val="20"/>
                <w:color w:val="auto"/>
              </w:rPr>
            </w:pPr>
            <w:r>
              <w:rPr>
                <w:rFonts w:ascii="Arial" w:cs="Arial" w:eastAsia="Arial" w:hAnsi="Arial"/>
                <w:sz w:val="18"/>
                <w:szCs w:val="18"/>
                <w:color w:val="auto"/>
              </w:rPr>
              <w:t>Class B Common Stock Voting Rights</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9"/>
        </w:trPr>
        <w:tc>
          <w:tcPr>
            <w:tcW w:w="8940" w:type="dxa"/>
            <w:vAlign w:val="bottom"/>
            <w:gridSpan w:val="2"/>
          </w:tcPr>
          <w:p>
            <w:pPr>
              <w:spacing w:after="0"/>
              <w:rPr>
                <w:sz w:val="20"/>
                <w:szCs w:val="20"/>
                <w:color w:val="auto"/>
              </w:rPr>
            </w:pPr>
            <w:r>
              <w:rPr>
                <w:rFonts w:ascii="Arial" w:cs="Arial" w:eastAsia="Arial" w:hAnsi="Arial"/>
                <w:sz w:val="18"/>
                <w:szCs w:val="18"/>
                <w:color w:val="auto"/>
              </w:rPr>
              <w:t>ARTICLE IX. REDEMPTION</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240" w:type="dxa"/>
            <w:vAlign w:val="bottom"/>
          </w:tcPr>
          <w:p>
            <w:pPr>
              <w:ind w:left="300"/>
              <w:spacing w:after="0"/>
              <w:rPr>
                <w:sz w:val="20"/>
                <w:szCs w:val="20"/>
                <w:color w:val="auto"/>
              </w:rPr>
            </w:pPr>
            <w:r>
              <w:rPr>
                <w:rFonts w:ascii="Arial" w:cs="Arial" w:eastAsia="Arial" w:hAnsi="Arial"/>
                <w:sz w:val="18"/>
                <w:szCs w:val="18"/>
                <w:color w:val="auto"/>
              </w:rPr>
              <w:t>Redemption Right of a Member</w:t>
            </w:r>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240" w:type="dxa"/>
            <w:vAlign w:val="bottom"/>
          </w:tcPr>
          <w:p>
            <w:pPr>
              <w:ind w:left="300"/>
              <w:spacing w:after="0"/>
              <w:rPr>
                <w:sz w:val="20"/>
                <w:szCs w:val="20"/>
                <w:color w:val="auto"/>
              </w:rPr>
            </w:pPr>
            <w:r>
              <w:rPr>
                <w:rFonts w:ascii="Arial" w:cs="Arial" w:eastAsia="Arial" w:hAnsi="Arial"/>
                <w:sz w:val="18"/>
                <w:szCs w:val="18"/>
                <w:color w:val="auto"/>
              </w:rPr>
              <w:t>Election and Contribution of Pubco</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240" w:type="dxa"/>
            <w:vAlign w:val="bottom"/>
          </w:tcPr>
          <w:p>
            <w:pPr>
              <w:ind w:left="300"/>
              <w:spacing w:after="0"/>
              <w:rPr>
                <w:sz w:val="20"/>
                <w:szCs w:val="20"/>
                <w:color w:val="auto"/>
              </w:rPr>
            </w:pPr>
            <w:r>
              <w:rPr>
                <w:rFonts w:ascii="Arial" w:cs="Arial" w:eastAsia="Arial" w:hAnsi="Arial"/>
                <w:sz w:val="18"/>
                <w:szCs w:val="18"/>
                <w:color w:val="auto"/>
              </w:rPr>
              <w:t>Reservation of Shares of Class A Common Stock and other Procedures</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240" w:type="dxa"/>
            <w:vAlign w:val="bottom"/>
          </w:tcPr>
          <w:p>
            <w:pPr>
              <w:ind w:left="300"/>
              <w:spacing w:after="0"/>
              <w:rPr>
                <w:sz w:val="20"/>
                <w:szCs w:val="20"/>
                <w:color w:val="auto"/>
              </w:rPr>
            </w:pPr>
            <w:r>
              <w:rPr>
                <w:rFonts w:ascii="Arial" w:cs="Arial" w:eastAsia="Arial" w:hAnsi="Arial"/>
                <w:sz w:val="18"/>
                <w:szCs w:val="18"/>
                <w:color w:val="auto"/>
              </w:rPr>
              <w:t>Effect of Exercise of Redemption</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240" w:type="dxa"/>
            <w:vAlign w:val="bottom"/>
          </w:tcPr>
          <w:p>
            <w:pPr>
              <w:ind w:left="300"/>
              <w:spacing w:after="0"/>
              <w:rPr>
                <w:sz w:val="20"/>
                <w:szCs w:val="20"/>
                <w:color w:val="auto"/>
              </w:rPr>
            </w:pPr>
            <w:r>
              <w:rPr>
                <w:rFonts w:ascii="Arial" w:cs="Arial" w:eastAsia="Arial" w:hAnsi="Arial"/>
                <w:sz w:val="18"/>
                <w:szCs w:val="18"/>
                <w:color w:val="auto"/>
              </w:rPr>
              <w:t>Tax Treatment</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9"/>
        </w:trPr>
        <w:tc>
          <w:tcPr>
            <w:tcW w:w="8940" w:type="dxa"/>
            <w:vAlign w:val="bottom"/>
            <w:gridSpan w:val="2"/>
          </w:tcPr>
          <w:p>
            <w:pPr>
              <w:spacing w:after="0"/>
              <w:rPr>
                <w:sz w:val="20"/>
                <w:szCs w:val="20"/>
                <w:color w:val="auto"/>
              </w:rPr>
            </w:pPr>
            <w:r>
              <w:rPr>
                <w:rFonts w:ascii="Arial" w:cs="Arial" w:eastAsia="Arial" w:hAnsi="Arial"/>
                <w:sz w:val="18"/>
                <w:szCs w:val="18"/>
                <w:color w:val="auto"/>
              </w:rPr>
              <w:t>ARTICLE X. LIMITATION ON LIABILITY, EXCULPATION AND INDEMNIFICATION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240" w:type="dxa"/>
            <w:vAlign w:val="bottom"/>
          </w:tcPr>
          <w:p>
            <w:pPr>
              <w:ind w:left="300"/>
              <w:spacing w:after="0"/>
              <w:rPr>
                <w:sz w:val="20"/>
                <w:szCs w:val="20"/>
                <w:color w:val="auto"/>
              </w:rPr>
            </w:pPr>
            <w:r>
              <w:rPr>
                <w:rFonts w:ascii="Arial" w:cs="Arial" w:eastAsia="Arial" w:hAnsi="Arial"/>
                <w:sz w:val="18"/>
                <w:szCs w:val="18"/>
                <w:color w:val="auto"/>
              </w:rPr>
              <w:t>Limitation on Liability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240" w:type="dxa"/>
            <w:vAlign w:val="bottom"/>
          </w:tcPr>
          <w:p>
            <w:pPr>
              <w:ind w:left="300"/>
              <w:spacing w:after="0"/>
              <w:rPr>
                <w:sz w:val="20"/>
                <w:szCs w:val="20"/>
                <w:color w:val="auto"/>
              </w:rPr>
            </w:pPr>
            <w:r>
              <w:rPr>
                <w:rFonts w:ascii="Arial" w:cs="Arial" w:eastAsia="Arial" w:hAnsi="Arial"/>
                <w:sz w:val="18"/>
                <w:szCs w:val="18"/>
                <w:color w:val="auto"/>
              </w:rPr>
              <w:t>Exculpation and Indemnification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9"/>
        </w:trPr>
        <w:tc>
          <w:tcPr>
            <w:tcW w:w="8940" w:type="dxa"/>
            <w:vAlign w:val="bottom"/>
            <w:gridSpan w:val="2"/>
          </w:tcPr>
          <w:p>
            <w:pPr>
              <w:spacing w:after="0"/>
              <w:rPr>
                <w:sz w:val="20"/>
                <w:szCs w:val="20"/>
                <w:color w:val="auto"/>
              </w:rPr>
            </w:pPr>
            <w:r>
              <w:rPr>
                <w:rFonts w:ascii="Arial" w:cs="Arial" w:eastAsia="Arial" w:hAnsi="Arial"/>
                <w:sz w:val="18"/>
                <w:szCs w:val="18"/>
                <w:color w:val="auto"/>
              </w:rPr>
              <w:t>ARTICLE XI. DISSOLUTION AND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240" w:type="dxa"/>
            <w:vAlign w:val="bottom"/>
          </w:tcPr>
          <w:p>
            <w:pPr>
              <w:ind w:left="300"/>
              <w:spacing w:after="0"/>
              <w:rPr>
                <w:sz w:val="20"/>
                <w:szCs w:val="20"/>
                <w:color w:val="auto"/>
              </w:rPr>
            </w:pPr>
            <w:r>
              <w:rPr>
                <w:rFonts w:ascii="Arial" w:cs="Arial" w:eastAsia="Arial" w:hAnsi="Arial"/>
                <w:sz w:val="18"/>
                <w:szCs w:val="18"/>
                <w:color w:val="auto"/>
              </w:rPr>
              <w:t>Dissolution</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240" w:type="dxa"/>
            <w:vAlign w:val="bottom"/>
          </w:tcPr>
          <w:p>
            <w:pPr>
              <w:ind w:left="300"/>
              <w:spacing w:after="0"/>
              <w:rPr>
                <w:sz w:val="20"/>
                <w:szCs w:val="20"/>
                <w:color w:val="auto"/>
              </w:rPr>
            </w:pPr>
            <w:r>
              <w:rPr>
                <w:rFonts w:ascii="Arial" w:cs="Arial" w:eastAsia="Arial" w:hAnsi="Arial"/>
                <w:sz w:val="18"/>
                <w:szCs w:val="18"/>
                <w:color w:val="auto"/>
              </w:rPr>
              <w:t>Winding Up of the Company</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240" w:type="dxa"/>
            <w:vAlign w:val="bottom"/>
          </w:tcPr>
          <w:p>
            <w:pPr>
              <w:ind w:left="300"/>
              <w:spacing w:after="0"/>
              <w:rPr>
                <w:sz w:val="20"/>
                <w:szCs w:val="20"/>
                <w:color w:val="auto"/>
              </w:rPr>
            </w:pPr>
            <w:r>
              <w:rPr>
                <w:rFonts w:ascii="Arial" w:cs="Arial" w:eastAsia="Arial" w:hAnsi="Arial"/>
                <w:sz w:val="18"/>
                <w:szCs w:val="18"/>
                <w:color w:val="auto"/>
              </w:rPr>
              <w:t>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24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9"/>
        </w:trPr>
        <w:tc>
          <w:tcPr>
            <w:tcW w:w="894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240" w:type="dxa"/>
            <w:vAlign w:val="bottom"/>
          </w:tcPr>
          <w:p>
            <w:pPr>
              <w:ind w:left="300"/>
              <w:spacing w:after="0"/>
              <w:rPr>
                <w:sz w:val="20"/>
                <w:szCs w:val="20"/>
                <w:color w:val="auto"/>
              </w:rPr>
            </w:pPr>
            <w:r>
              <w:rPr>
                <w:rFonts w:ascii="Arial" w:cs="Arial" w:eastAsia="Arial" w:hAnsi="Arial"/>
                <w:sz w:val="18"/>
                <w:szCs w:val="18"/>
                <w:color w:val="auto"/>
              </w:rPr>
              <w:t>Expenses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7240" w:type="dxa"/>
            <w:vAlign w:val="bottom"/>
          </w:tcPr>
          <w:p>
            <w:pPr>
              <w:ind w:left="300"/>
              <w:spacing w:after="0"/>
              <w:rPr>
                <w:sz w:val="20"/>
                <w:szCs w:val="20"/>
                <w:color w:val="auto"/>
              </w:rPr>
            </w:pPr>
            <w:r>
              <w:rPr>
                <w:rFonts w:ascii="Arial" w:cs="Arial" w:eastAsia="Arial" w:hAnsi="Arial"/>
                <w:sz w:val="18"/>
                <w:szCs w:val="18"/>
                <w:color w:val="auto"/>
              </w:rPr>
              <w:t>Further Assurances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7240" w:type="dxa"/>
            <w:vAlign w:val="bottom"/>
          </w:tcPr>
          <w:p>
            <w:pPr>
              <w:ind w:left="300"/>
              <w:spacing w:after="0"/>
              <w:rPr>
                <w:sz w:val="20"/>
                <w:szCs w:val="20"/>
                <w:color w:val="auto"/>
              </w:rPr>
            </w:pPr>
            <w:r>
              <w:rPr>
                <w:rFonts w:ascii="Arial" w:cs="Arial" w:eastAsia="Arial" w:hAnsi="Arial"/>
                <w:sz w:val="18"/>
                <w:szCs w:val="18"/>
                <w:color w:val="auto"/>
              </w:rPr>
              <w:t>Notices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7240" w:type="dxa"/>
            <w:vAlign w:val="bottom"/>
          </w:tcPr>
          <w:p>
            <w:pPr>
              <w:ind w:left="300"/>
              <w:spacing w:after="0"/>
              <w:rPr>
                <w:sz w:val="20"/>
                <w:szCs w:val="20"/>
                <w:color w:val="auto"/>
              </w:rPr>
            </w:pPr>
            <w:r>
              <w:rPr>
                <w:rFonts w:ascii="Arial" w:cs="Arial" w:eastAsia="Arial" w:hAnsi="Arial"/>
                <w:sz w:val="18"/>
                <w:szCs w:val="18"/>
                <w:color w:val="auto"/>
              </w:rPr>
              <w:t>Binding Effect; Benefit; Assignment</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7240" w:type="dxa"/>
            <w:vAlign w:val="bottom"/>
          </w:tcPr>
          <w:p>
            <w:pPr>
              <w:ind w:left="300"/>
              <w:spacing w:after="0"/>
              <w:rPr>
                <w:sz w:val="20"/>
                <w:szCs w:val="20"/>
                <w:color w:val="auto"/>
              </w:rPr>
            </w:pPr>
            <w:r>
              <w:rPr>
                <w:rFonts w:ascii="Arial" w:cs="Arial" w:eastAsia="Arial" w:hAnsi="Arial"/>
                <w:sz w:val="18"/>
                <w:szCs w:val="18"/>
                <w:color w:val="auto"/>
              </w:rPr>
              <w:t>Jurisdiction</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12.06.</w:t>
            </w:r>
          </w:p>
        </w:tc>
        <w:tc>
          <w:tcPr>
            <w:tcW w:w="724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12.07.</w:t>
            </w:r>
          </w:p>
        </w:tc>
        <w:tc>
          <w:tcPr>
            <w:tcW w:w="724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12.08.</w:t>
            </w:r>
          </w:p>
        </w:tc>
        <w:tc>
          <w:tcPr>
            <w:tcW w:w="724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12.09.</w:t>
            </w:r>
          </w:p>
        </w:tc>
        <w:tc>
          <w:tcPr>
            <w:tcW w:w="724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12.10.</w:t>
            </w:r>
          </w:p>
        </w:tc>
        <w:tc>
          <w:tcPr>
            <w:tcW w:w="7240" w:type="dxa"/>
            <w:vAlign w:val="bottom"/>
          </w:tcPr>
          <w:p>
            <w:pPr>
              <w:ind w:left="300"/>
              <w:spacing w:after="0"/>
              <w:rPr>
                <w:sz w:val="20"/>
                <w:szCs w:val="20"/>
                <w:color w:val="auto"/>
              </w:rPr>
            </w:pPr>
            <w:r>
              <w:rPr>
                <w:rFonts w:ascii="Arial" w:cs="Arial" w:eastAsia="Arial" w:hAnsi="Arial"/>
                <w:sz w:val="18"/>
                <w:szCs w:val="18"/>
                <w:color w:val="auto"/>
              </w:rPr>
              <w:t>Amendment</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12.11.</w:t>
            </w:r>
          </w:p>
        </w:tc>
        <w:tc>
          <w:tcPr>
            <w:tcW w:w="724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12.12.</w:t>
            </w:r>
          </w:p>
        </w:tc>
        <w:tc>
          <w:tcPr>
            <w:tcW w:w="724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60" w:top="381" w:right="499" w:bottom="1440" w:gutter="0" w:footer="0" w:header="0"/>
        </w:sectPr>
      </w:pPr>
    </w:p>
    <w:bookmarkStart w:id="369" w:name="page370"/>
    <w:bookmarkEnd w:id="36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LIMITED LIABILITY COMPANY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of BellRing Brands, LLC, a Delaware</w:t>
      </w:r>
    </w:p>
    <w:p>
      <w:pPr>
        <w:spacing w:after="0" w:line="3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dated as of , 2019, by and among the Company, BellRing Brands, Inc., a Delaware corporation (“</w:t>
      </w:r>
      <w:r>
        <w:rPr>
          <w:rFonts w:ascii="Arial" w:cs="Arial" w:eastAsia="Arial" w:hAnsi="Arial"/>
          <w:sz w:val="17"/>
          <w:szCs w:val="17"/>
          <w:u w:val="single" w:color="auto"/>
          <w:color w:val="auto"/>
        </w:rPr>
        <w:t>Pubco</w:t>
      </w:r>
      <w:r>
        <w:rPr>
          <w:rFonts w:ascii="Arial" w:cs="Arial" w:eastAsia="Arial" w:hAnsi="Arial"/>
          <w:sz w:val="17"/>
          <w:szCs w:val="17"/>
          <w:color w:val="auto"/>
        </w:rPr>
        <w:t>”), Post Holdings, Inc., a Missouri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and each other Person admitted as a Member pursuant to Section 3.02(a).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WHEREAS, the Company has been heretofore formed as a limited liability company under the Delaware LLC Act (as defined below) pursuant to a certificate of formation which was executed and filed with the Secretary of State of the State of Delaware on November 27, 2013, which certificate of formation was amended (i) pursuant to a certificate of amendment which was executed on January 24, 2014 and filed with the Secretary of State of the State of Delaware on January 27, 2014; (ii) pursuant to a certificate of amendment which was executed on February 13, 2014 and filed with the Secretary of State of the State of Delaware on February 14, 2014; and (iii) pursuant to a certificate of amendment which was executed on August 1, 2019 and filed with the Secretary of State of the State of Delaware on August 2, 2019;</w:t>
      </w:r>
    </w:p>
    <w:p>
      <w:pPr>
        <w:spacing w:after="0" w:line="17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the Company and its members have previously entered into an amended and restated limited liability company agreement of the Company, dated as of November 24, 2015 (as so amended, the “</w:t>
      </w:r>
      <w:r>
        <w:rPr>
          <w:rFonts w:ascii="Arial" w:cs="Arial" w:eastAsia="Arial" w:hAnsi="Arial"/>
          <w:sz w:val="18"/>
          <w:szCs w:val="18"/>
          <w:u w:val="single" w:color="auto"/>
          <w:color w:val="auto"/>
        </w:rPr>
        <w:t>Existing LLC Agreement</w:t>
      </w:r>
      <w:r>
        <w:rPr>
          <w:rFonts w:ascii="Arial" w:cs="Arial" w:eastAsia="Arial" w:hAnsi="Arial"/>
          <w:sz w:val="18"/>
          <w:szCs w:val="18"/>
          <w:color w:val="auto"/>
        </w:rPr>
        <w:t>”); and</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360" w:type="dxa"/>
            <w:vAlign w:val="bottom"/>
            <w:gridSpan w:val="3"/>
          </w:tcPr>
          <w:p>
            <w:pPr>
              <w:spacing w:after="0"/>
              <w:rPr>
                <w:sz w:val="20"/>
                <w:szCs w:val="20"/>
                <w:color w:val="auto"/>
              </w:rPr>
            </w:pPr>
            <w:r>
              <w:rPr>
                <w:rFonts w:ascii="Arial" w:cs="Arial" w:eastAsia="Arial" w:hAnsi="Arial"/>
                <w:sz w:val="18"/>
                <w:szCs w:val="18"/>
                <w:color w:val="auto"/>
                <w:w w:val="95"/>
              </w:rPr>
              <w:t>WHEREAS, pursuant to the terms of the Master Transaction Agreement (the “Master Transaction Agreement”), dated as of</w:t>
            </w:r>
          </w:p>
        </w:tc>
        <w:tc>
          <w:tcPr>
            <w:tcW w:w="1180" w:type="dxa"/>
            <w:vAlign w:val="bottom"/>
          </w:tcPr>
          <w:p>
            <w:pPr>
              <w:ind w:left="460"/>
              <w:spacing w:after="0"/>
              <w:rPr>
                <w:sz w:val="20"/>
                <w:szCs w:val="20"/>
                <w:color w:val="auto"/>
              </w:rPr>
            </w:pPr>
            <w:r>
              <w:rPr>
                <w:rFonts w:ascii="Arial" w:cs="Arial" w:eastAsia="Arial" w:hAnsi="Arial"/>
                <w:sz w:val="18"/>
                <w:szCs w:val="18"/>
                <w:color w:val="auto"/>
                <w:w w:val="88"/>
              </w:rPr>
              <w:t>, 2019, by</w:t>
            </w:r>
          </w:p>
        </w:tc>
      </w:tr>
      <w:tr>
        <w:trPr>
          <w:trHeight w:val="20"/>
        </w:trPr>
        <w:tc>
          <w:tcPr>
            <w:tcW w:w="56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and among the Company, Pubco and Holdings, the parties thereto have agreed to consummate the separation of the Company and its business from Holdings as contemplated thereby and to take the other actions contemplated in such Master Transaction Agreement (collectively, the “</w:t>
      </w:r>
      <w:r>
        <w:rPr>
          <w:rFonts w:ascii="Arial" w:cs="Arial" w:eastAsia="Arial" w:hAnsi="Arial"/>
          <w:sz w:val="18"/>
          <w:szCs w:val="18"/>
          <w:u w:val="single" w:color="auto"/>
          <w:color w:val="auto"/>
        </w:rPr>
        <w:t>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3"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made and other good and valuable consideration, the parties hereto hereby agree to amend and restate the Existing LLC Agreement in its entirety as set forth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USAGE</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following terms shall have the following meanings for the purposes of this Agreement: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Member</w:t>
      </w:r>
      <w:r>
        <w:rPr>
          <w:rFonts w:ascii="Arial" w:cs="Arial" w:eastAsia="Arial" w:hAnsi="Arial"/>
          <w:sz w:val="18"/>
          <w:szCs w:val="18"/>
          <w:color w:val="auto"/>
        </w:rPr>
        <w:t>” means any Person admitted as a Member of the Company pursuant to Section 3.02 in connection with the new issuance of Units to such Person.</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Capital Account Deficit</w:t>
      </w:r>
      <w:r>
        <w:rPr>
          <w:rFonts w:ascii="Arial" w:cs="Arial" w:eastAsia="Arial" w:hAnsi="Arial"/>
          <w:sz w:val="18"/>
          <w:szCs w:val="18"/>
          <w:color w:val="auto"/>
        </w:rPr>
        <w:t>” means, with respect to any Economic Member, the deficit balance, if any, in such Economic Member’s Capital Account as of the end of the relevant Fiscal Year, after giving effect to the following adjustments:</w:t>
      </w:r>
    </w:p>
    <w:p>
      <w:pPr>
        <w:spacing w:after="0" w:line="62" w:lineRule="exact"/>
        <w:rPr>
          <w:sz w:val="20"/>
          <w:szCs w:val="20"/>
          <w:color w:val="auto"/>
        </w:rPr>
      </w:pPr>
    </w:p>
    <w:p>
      <w:pPr>
        <w:ind w:right="780" w:firstLine="981"/>
        <w:spacing w:after="0" w:line="277" w:lineRule="auto"/>
        <w:tabs>
          <w:tab w:leader="none" w:pos="120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Credit to such Capital Account any amounts that such Economic Member is deemed to be obligated to restore pursuant to the penultimate sentence in Treasury Regulations Sections 1.704-2(g)(1) and 1.704-2(i)(5); and</w:t>
      </w:r>
    </w:p>
    <w:p>
      <w:pPr>
        <w:spacing w:after="0" w:line="61" w:lineRule="exact"/>
        <w:rPr>
          <w:rFonts w:ascii="Arial" w:cs="Arial" w:eastAsia="Arial" w:hAnsi="Arial"/>
          <w:sz w:val="18"/>
          <w:szCs w:val="18"/>
          <w:color w:val="auto"/>
        </w:rPr>
      </w:pPr>
    </w:p>
    <w:p>
      <w:pPr>
        <w:ind w:right="60" w:firstLine="981"/>
        <w:spacing w:after="0" w:line="277" w:lineRule="auto"/>
        <w:tabs>
          <w:tab w:leader="none" w:pos="125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Treasury Regulations Sections 1.704-1(b)(2)(ii)(d)(4), 1.704-1(b)(2)(ii)(d)(5) and 1.704-1(b)(2)(ii)(d)(6).</w:t>
      </w:r>
    </w:p>
    <w:p>
      <w:pPr>
        <w:sectPr>
          <w:pgSz w:w="11900" w:h="16838" w:orient="portrait"/>
          <w:cols w:equalWidth="0" w:num="1">
            <w:col w:w="11000"/>
          </w:cols>
          <w:pgMar w:left="460" w:top="274" w:right="439" w:bottom="1440" w:gutter="0" w:footer="0" w:header="0"/>
        </w:sectPr>
      </w:pPr>
    </w:p>
    <w:bookmarkStart w:id="370" w:name="page371"/>
    <w:bookmarkEnd w:id="370"/>
    <w:p>
      <w:pPr>
        <w:ind w:right="1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definition of Adjusted Capital Account Deficit is intended to comply with the provisions of Treasury Regulations Section 1.704-1(b)(2)(ii)(d) and shall be interpreted consistently therewith.</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or Regulatory Agency, as amended, that is binding upon or applicable to such Person or its assets, unless expressly specified otherwise.</w:t>
      </w:r>
    </w:p>
    <w:p>
      <w:pPr>
        <w:spacing w:after="0" w:line="18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 Liability</w:t>
      </w:r>
      <w:r>
        <w:rPr>
          <w:rFonts w:ascii="Arial" w:cs="Arial" w:eastAsia="Arial" w:hAnsi="Arial"/>
          <w:sz w:val="18"/>
          <w:szCs w:val="18"/>
          <w:color w:val="auto"/>
        </w:rPr>
        <w:t xml:space="preserve">” means, with respect to an Economic Member, an amount equal to the Tax Rate multiplied by the estimated or actual taxable income of the Company, as determined for U.S. federal income tax purposes, allocated to such Economic Member for the period to which the Assumed Tax Liability relates as determined for federal income tax purposes to the extent not previously taken into account in determining the Assumed Tax Liability, as reasonably determined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Assumed Tax Liability shall never cause the pro rata amount distributed to Pubco pursuant to Section 5.03(e) to be less than an amount sufficient to enable Pubco to timely (x) satisfy all of its U.S. federal, state and local and non-U.S. tax liabilities, and (y) meet its obligations pursuant to the Tax Matters Agreement and Tax Receivable Agreement, in each case, as reasonably determined by the Board.</w:t>
      </w:r>
    </w:p>
    <w:p>
      <w:pPr>
        <w:spacing w:after="0" w:line="193"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Black-Out Period</w:t>
      </w:r>
      <w:r>
        <w:rPr>
          <w:rFonts w:ascii="Arial" w:cs="Arial" w:eastAsia="Arial" w:hAnsi="Arial"/>
          <w:sz w:val="16"/>
          <w:szCs w:val="16"/>
          <w:color w:val="auto"/>
        </w:rPr>
        <w:t>” means any “black-out” or similar period under Pubco’s policies covering trading in Pubco’s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spacing w:after="0" w:line="14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the capital account established and maintained for each Economic Member pursuant to Section 5.02.</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with respect to any Member, the amount of money and the initial Carrying Value of any Property (other than money) contributed to the Company.</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Carrying Value</w:t>
      </w:r>
      <w:r>
        <w:rPr>
          <w:rFonts w:ascii="Arial" w:cs="Arial" w:eastAsia="Arial" w:hAnsi="Arial"/>
          <w:sz w:val="18"/>
          <w:szCs w:val="18"/>
          <w:color w:val="auto"/>
        </w:rPr>
        <w:t>” means with respect to any Property (other than money), such Property’s adjusted basis for federal income tax purposes, except as follows:</w:t>
      </w:r>
    </w:p>
    <w:p>
      <w:pPr>
        <w:spacing w:after="0" w:line="62" w:lineRule="exact"/>
        <w:rPr>
          <w:sz w:val="20"/>
          <w:szCs w:val="20"/>
          <w:color w:val="auto"/>
        </w:rPr>
      </w:pPr>
    </w:p>
    <w:p>
      <w:pPr>
        <w:ind w:right="180" w:firstLine="981"/>
        <w:spacing w:after="0" w:line="277" w:lineRule="auto"/>
        <w:tabs>
          <w:tab w:leader="none" w:pos="120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initial Carrying Value of any such Property contributed by a Member to the Company shall be the gross fair market value of such Property, as reasonably determined by the Board;</w:t>
      </w:r>
    </w:p>
    <w:p>
      <w:pPr>
        <w:spacing w:after="0" w:line="61" w:lineRule="exact"/>
        <w:rPr>
          <w:rFonts w:ascii="Arial" w:cs="Arial" w:eastAsia="Arial" w:hAnsi="Arial"/>
          <w:sz w:val="18"/>
          <w:szCs w:val="18"/>
          <w:color w:val="auto"/>
        </w:rPr>
      </w:pPr>
    </w:p>
    <w:p>
      <w:pPr>
        <w:ind w:right="140" w:firstLine="981"/>
        <w:spacing w:after="0" w:line="307" w:lineRule="auto"/>
        <w:tabs>
          <w:tab w:leader="none" w:pos="1255"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Carrying Values of all such Properties shall be adjusted to equal their respective gross fair market values (taking Section 7701(g) of the Code into account), as reasonably determined by the Board, at the time of any Revaluation pursuant to Section 5.02(c);</w:t>
      </w:r>
    </w:p>
    <w:p>
      <w:pPr>
        <w:spacing w:after="0" w:line="39" w:lineRule="exact"/>
        <w:rPr>
          <w:rFonts w:ascii="Arial" w:cs="Arial" w:eastAsia="Arial" w:hAnsi="Arial"/>
          <w:sz w:val="17"/>
          <w:szCs w:val="17"/>
          <w:color w:val="auto"/>
        </w:rPr>
      </w:pPr>
    </w:p>
    <w:p>
      <w:pPr>
        <w:ind w:right="280" w:firstLine="981"/>
        <w:spacing w:after="0" w:line="341" w:lineRule="auto"/>
        <w:tabs>
          <w:tab w:leader="none" w:pos="130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Carrying Value of any item of such Properties distributed to any Member shall be adjusted to equal the gross fair market value (taking Section 7701(g) of the Code into account) of such Property on the date of distribution as reasonably determined by the Board; and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371" w:name="page372"/>
    <w:bookmarkEnd w:id="371"/>
    <w:p>
      <w:pPr>
        <w:ind w:right="60" w:firstLine="981"/>
        <w:spacing w:after="0" w:line="291" w:lineRule="auto"/>
        <w:tabs>
          <w:tab w:leader="none" w:pos="1295" w:val="left"/>
        </w:tabs>
        <w:numPr>
          <w:ilvl w:val="0"/>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Carrying Values of such Properties shall be increased (or decreased) to reflect any adjustments to the adjusted basis of such Properties pursuant to Section 734(b) or Section 743(b) of the Code, but only to the extent that such adjustments are taken into account in determining Capital Accounts pursuant to Treasury Regulations Section 1.704-1(b)(2)(iv)(m) and subparagraph (vi) of the definition of “Net Income” and “Net Loss” or Section 5.04(b)(vi);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Carrying Values shall not be adjusted pursuant to this subparagraph (iv) to the extent that an adjustment pursuant to subparagraph (ii) is required in connection with a transaction that would otherwise result in an adjustment pursuant to this subparagraph (iv). If the Carrying Value of such Property has been determined or adjusted pursuant to subparagraph (i), (ii) or (iv), such Carrying Value shall thereafter be adjusted by the Depreciation taken into account with respect to such asset, for purposes of computing Net Income and Net Loss.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Settlement</w:t>
      </w:r>
      <w:r>
        <w:rPr>
          <w:rFonts w:ascii="Arial" w:cs="Arial" w:eastAsia="Arial" w:hAnsi="Arial"/>
          <w:sz w:val="18"/>
          <w:szCs w:val="18"/>
          <w:color w:val="auto"/>
        </w:rPr>
        <w:t>” means immediately available funds in U.S. dollars in an amount equal to the Redeemed Units Equivalent.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Centralized Partnership Audit Regime</w:t>
      </w:r>
      <w:r>
        <w:rPr>
          <w:rFonts w:ascii="Arial" w:cs="Arial" w:eastAsia="Arial" w:hAnsi="Arial"/>
          <w:sz w:val="18"/>
          <w:szCs w:val="18"/>
          <w:color w:val="auto"/>
        </w:rPr>
        <w:t>” means the centralized partnership audit rules of Sections 6221 through 6241 of the Code, and any regulations promulgated or proposed under any such Sections and any administrative guidance with respect thereto, and any similar rules under state or local tax law.</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Class A common stock, $0.01 par value per share,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Class B common stock, $0.01 par value per share,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the Voting Common Unit or a Nonvoting Common Unit.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Unit Redemption Price</w:t>
      </w:r>
      <w:r>
        <w:rPr>
          <w:rFonts w:ascii="Arial" w:cs="Arial" w:eastAsia="Arial" w:hAnsi="Arial"/>
          <w:sz w:val="17"/>
          <w:szCs w:val="17"/>
          <w:color w:val="auto"/>
        </w:rPr>
        <w:t>” means the arithmetic average of the volume weighted average prices for a share of Class A Common Stock on the principal U.S. securities exchange or automated or electronic quotation system on which the Class A Common Stock is traded or quoted, as reported by Bloomberg, L.P. or its successor, for each of the five (5) consecutive full Trading Days ending on and including the last full Trading Day immediately prior to the Redemption Date, subject to appropriate and equitable adjustment for any stock splits, reverse splits, stock dividends or similar events affecting the Class A Common Stock. If the Class A Common Stock no longer trades on a securities exchange or is quoted on automated or electronic quotation system, then the Board shall determine the Common Unit Redemption Price in good faith.</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Minimum Gain</w:t>
      </w:r>
      <w:r>
        <w:rPr>
          <w:rFonts w:ascii="Arial" w:cs="Arial" w:eastAsia="Arial" w:hAnsi="Arial"/>
          <w:sz w:val="17"/>
          <w:szCs w:val="17"/>
          <w:color w:val="auto"/>
        </w:rPr>
        <w:t>” means “partnership minimum gain,” as defined in Treasury Regulations Sections 1.704-2(b)(2) and 1.704-2(d).</w:t>
      </w:r>
    </w:p>
    <w:p>
      <w:pPr>
        <w:spacing w:after="0" w:line="236"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8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means (i) each Member or an Affiliate thereof, in each case in such capacity, (ii) each Manager and Officer, in each case in such capacity, (iii) each officer, director, manager, stockholder, member, partner, employee, representative, agent or trustee of a Member or an Affiliate thereof, in all cases in such capacity and (iv) the Partnership Representative.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372" w:name="page373"/>
    <w:bookmarkEnd w:id="372"/>
    <w:p>
      <w:pPr>
        <w:ind w:left="45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means the Delaware General Corporation Law, 8 Del. C. §§ 1-101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10"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Depreciation</w:t>
      </w:r>
      <w:r>
        <w:rPr>
          <w:rFonts w:ascii="Arial" w:cs="Arial" w:eastAsia="Arial" w:hAnsi="Arial"/>
          <w:sz w:val="17"/>
          <w:szCs w:val="17"/>
          <w:color w:val="auto"/>
        </w:rPr>
        <w:t xml:space="preserve">” means, for each Fiscal Year, an amount equal to the depreciation, amortization or other cost recovery deduction allowable with respect to an asset for such Fiscal Year, except that if the Carrying Value of an asset differs from its adjusted basis for federal income tax purposes at the beginning of such Fiscal Year, Depreciation shall be an amount that bears the same ratio to such beginning Carrying Value as the federal income tax depreciation, amortization or other cost recovery deduction for such Fiscal Year bears to such beginning adjusted tax basis;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adjusted basis for federal income tax purposes of an asset at the beginning of such Fiscal Year is zero, Depreciation shall be determined with reference to such beginning Carrying Value using any reasonable method selected by the Board.</w:t>
      </w:r>
    </w:p>
    <w:p>
      <w:pPr>
        <w:spacing w:after="0" w:line="177" w:lineRule="exact"/>
        <w:rPr>
          <w:sz w:val="20"/>
          <w:szCs w:val="20"/>
          <w:color w:val="auto"/>
        </w:rPr>
      </w:pPr>
    </w:p>
    <w:p>
      <w:pPr>
        <w:ind w:left="1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Individual</w:t>
      </w:r>
      <w:r>
        <w:rPr>
          <w:rFonts w:ascii="Arial" w:cs="Arial" w:eastAsia="Arial" w:hAnsi="Arial"/>
          <w:sz w:val="17"/>
          <w:szCs w:val="17"/>
          <w:color w:val="auto"/>
        </w:rPr>
        <w:t>” shall be the individual, if any, designated by the Board pursuant to Section 6.01 with respect to Company Audits pursuant to the Centralized Partnership Audit Regime and shall have the meaning set forth in Treasury Regulations Section 301.6223–1(b)(3).</w:t>
      </w:r>
    </w:p>
    <w:p>
      <w:pPr>
        <w:spacing w:after="0" w:line="147" w:lineRule="exact"/>
        <w:rPr>
          <w:sz w:val="20"/>
          <w:szCs w:val="20"/>
          <w:color w:val="auto"/>
        </w:rPr>
      </w:pPr>
    </w:p>
    <w:p>
      <w:pPr>
        <w:ind w:left="10" w:right="2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 Event</w:t>
      </w:r>
      <w:r>
        <w:rPr>
          <w:rFonts w:ascii="Arial" w:cs="Arial" w:eastAsia="Arial" w:hAnsi="Arial"/>
          <w:sz w:val="16"/>
          <w:szCs w:val="16"/>
          <w:color w:val="auto"/>
        </w:rPr>
        <w:t>” means any merger, consolidation or other business combination of Pubco, whether effectuated through one transaction or a series of related transactions (including a tender offer followed by a merger in which the holders of Class A Common Stock receive the same consideration per share paid in the tender offer), unless, following such transaction, all or substantially all of the holders of the voting power of all outstanding classes of common stock of Pubco and series of preferred stock of Pubco that are generally entitled to vote in the election of directors of Pubco prior to such transaction or series of transactions continue to hold a majority of the voting power of the surviving entity (or its parent) resulting from such transaction or series of transactions in substantially the same proportions as immediately prior to such transaction or series of transactions.</w:t>
      </w:r>
    </w:p>
    <w:p>
      <w:pPr>
        <w:spacing w:after="0" w:line="16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Members</w:t>
      </w:r>
      <w:r>
        <w:rPr>
          <w:rFonts w:ascii="Arial" w:cs="Arial" w:eastAsia="Arial" w:hAnsi="Arial"/>
          <w:sz w:val="18"/>
          <w:szCs w:val="18"/>
          <w:color w:val="auto"/>
        </w:rPr>
        <w:t>” means the Members holding Nonvoting Common Units.</w:t>
      </w:r>
    </w:p>
    <w:p>
      <w:pPr>
        <w:spacing w:after="0" w:line="225" w:lineRule="exact"/>
        <w:rPr>
          <w:sz w:val="20"/>
          <w:szCs w:val="20"/>
          <w:color w:val="auto"/>
        </w:rPr>
      </w:pPr>
    </w:p>
    <w:p>
      <w:pPr>
        <w:ind w:left="10"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Percentage Interest</w:t>
      </w:r>
      <w:r>
        <w:rPr>
          <w:rFonts w:ascii="Arial" w:cs="Arial" w:eastAsia="Arial" w:hAnsi="Arial"/>
          <w:sz w:val="18"/>
          <w:szCs w:val="18"/>
          <w:color w:val="auto"/>
        </w:rPr>
        <w:t>” means, with respect to any Economic Member, a fractional amount, expressed as a percentage: (i) the numerator of which is the aggregate number of Nonvoting Common Units owned of record by such Economic Member and (ii) the denominator of which is the aggregate number of Nonvoting Common Units issued and outstanding. The sum of the outstanding Economic Percentage Interests of all Economic Members shall at all times equal 100%.</w:t>
      </w:r>
    </w:p>
    <w:p>
      <w:pPr>
        <w:spacing w:after="0" w:line="186"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has the meaning set forth in the Master Transaction Agreement.</w:t>
      </w:r>
    </w:p>
    <w:p>
      <w:pPr>
        <w:spacing w:after="0" w:line="225" w:lineRule="exact"/>
        <w:rPr>
          <w:sz w:val="20"/>
          <w:szCs w:val="20"/>
          <w:color w:val="auto"/>
        </w:rPr>
      </w:pPr>
    </w:p>
    <w:p>
      <w:pPr>
        <w:ind w:left="1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means the Employee Matters Agreement, dated as of the date hereof, by and among the Company and each of the parties identified therein.</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with respect to any Person, any (i) limited liability company or partnership interests or shares of capital stock,</w:t>
      </w:r>
    </w:p>
    <w:p>
      <w:pPr>
        <w:spacing w:after="0" w:line="35" w:lineRule="exact"/>
        <w:rPr>
          <w:sz w:val="20"/>
          <w:szCs w:val="20"/>
          <w:color w:val="auto"/>
        </w:rPr>
      </w:pPr>
    </w:p>
    <w:p>
      <w:pPr>
        <w:ind w:left="10" w:hanging="10"/>
        <w:spacing w:after="0" w:line="255" w:lineRule="auto"/>
        <w:tabs>
          <w:tab w:leader="none" w:pos="27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equity, ownership, voting, profits or participation interests or (iii) similar rights or securities in such Person or any of its Subsidiaries, or any rights or securities convertible into or exchangeable for, options or other rights to acquire from such Person or any of its Subsidiaries, or obligation on the part of such Person or any of its Subsidiaries to issue, any of the foregoing.</w:t>
      </w:r>
    </w:p>
    <w:p>
      <w:pPr>
        <w:spacing w:after="0" w:line="189" w:lineRule="exact"/>
        <w:rPr>
          <w:sz w:val="20"/>
          <w:szCs w:val="20"/>
          <w:color w:val="auto"/>
        </w:rPr>
      </w:pPr>
    </w:p>
    <w:p>
      <w:pPr>
        <w:ind w:left="1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70" w:lineRule="exact"/>
        <w:rPr>
          <w:sz w:val="20"/>
          <w:szCs w:val="20"/>
          <w:color w:val="auto"/>
        </w:rPr>
      </w:pPr>
    </w:p>
    <w:p>
      <w:pPr>
        <w:ind w:left="1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Company’s fiscal year, which shall initially end on September 30 of each calendar year or as otherwise required by Section 706 of the Code.</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0"/>
          </w:cols>
          <w:pgMar w:left="450" w:top="274" w:right="459" w:bottom="1440" w:gutter="0" w:footer="0" w:header="0"/>
        </w:sectPr>
      </w:pPr>
    </w:p>
    <w:bookmarkStart w:id="373" w:name="page374"/>
    <w:bookmarkEnd w:id="37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Formation Date Capital Account Balance</w:t>
      </w:r>
      <w:r>
        <w:rPr>
          <w:rFonts w:ascii="Arial" w:cs="Arial" w:eastAsia="Arial" w:hAnsi="Arial"/>
          <w:sz w:val="18"/>
          <w:szCs w:val="18"/>
          <w:color w:val="auto"/>
        </w:rPr>
        <w:t>” means, with respect to any Economic Member, the positive Capital Account balance of such Member as of immediately following the Formation Transactions, the amount of which is set forth on the Member Schedule.</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Documents</w:t>
      </w:r>
      <w:r>
        <w:rPr>
          <w:rFonts w:ascii="Arial" w:cs="Arial" w:eastAsia="Arial" w:hAnsi="Arial"/>
          <w:sz w:val="18"/>
          <w:szCs w:val="18"/>
          <w:color w:val="auto"/>
        </w:rPr>
        <w:t>” means the Master Transaction Agreement, this Agreement, the Employee Matters Agreement, the Investor Rights Agreement, the Tax Matters Agreement, the Tax Receivable Agreement and the Master Services Agreement.</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means the Investor Rights Agreement, dated as of the date hereof, by and between Pubco and Holdings.</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underwritten public offering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means the Master Services Agreement, dated as of the date hereof, by and among the Company and each of the other parties identified therein.</w:t>
      </w:r>
    </w:p>
    <w:p>
      <w:pPr>
        <w:spacing w:after="0" w:line="170" w:lineRule="exact"/>
        <w:rPr>
          <w:sz w:val="20"/>
          <w:szCs w:val="20"/>
          <w:color w:val="auto"/>
        </w:rPr>
      </w:pPr>
    </w:p>
    <w:p>
      <w:pPr>
        <w:ind w:right="14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w:t>
      </w:r>
      <w:r>
        <w:rPr>
          <w:rFonts w:ascii="Arial" w:cs="Arial" w:eastAsia="Arial" w:hAnsi="Arial"/>
          <w:sz w:val="16"/>
          <w:szCs w:val="16"/>
          <w:color w:val="auto"/>
        </w:rPr>
        <w:t>” means any Person named as a Member of the Company on the Member Schedule, as the same may be amended from time to time to reflect any Person admitted as an Additional Member or a Substitute Member, for so long as such Person continues to be a Member of the Company.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 Nonrecourse Debt</w:t>
      </w:r>
      <w:r>
        <w:rPr>
          <w:rFonts w:ascii="Arial" w:cs="Arial" w:eastAsia="Arial" w:hAnsi="Arial"/>
          <w:sz w:val="17"/>
          <w:szCs w:val="17"/>
          <w:color w:val="auto"/>
        </w:rPr>
        <w:t>” has the same meaning as the term “partner nonrecourse debt” in Treasury Regulations Section 1.704-2(b)(4).</w:t>
      </w:r>
    </w:p>
    <w:p>
      <w:pPr>
        <w:spacing w:after="0" w:line="236" w:lineRule="exact"/>
        <w:rPr>
          <w:sz w:val="20"/>
          <w:szCs w:val="20"/>
          <w:color w:val="auto"/>
        </w:rPr>
      </w:pPr>
    </w:p>
    <w:p>
      <w:pPr>
        <w:ind w:right="7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Debt Minimum Gain</w:t>
      </w:r>
      <w:r>
        <w:rPr>
          <w:rFonts w:ascii="Arial" w:cs="Arial" w:eastAsia="Arial" w:hAnsi="Arial"/>
          <w:sz w:val="18"/>
          <w:szCs w:val="18"/>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1.752-1(a)(2)) determined in accordance with Treasury Regulations Section 1.704-2(i)(3).</w:t>
      </w:r>
    </w:p>
    <w:p>
      <w:pPr>
        <w:spacing w:after="0" w:line="186" w:lineRule="exact"/>
        <w:rPr>
          <w:sz w:val="20"/>
          <w:szCs w:val="20"/>
          <w:color w:val="auto"/>
        </w:rPr>
      </w:pPr>
    </w:p>
    <w:p>
      <w:pPr>
        <w:ind w:right="1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has the same meaning as the term “partner nonrecourse deductions” in Treasury Regulations Sections 1.704-2(i)(1) and 1.704-2(i)(2).</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and “</w:t>
      </w:r>
      <w:r>
        <w:rPr>
          <w:rFonts w:ascii="Arial" w:cs="Arial" w:eastAsia="Arial" w:hAnsi="Arial"/>
          <w:sz w:val="18"/>
          <w:szCs w:val="18"/>
          <w:u w:val="single" w:color="auto"/>
          <w:color w:val="auto"/>
        </w:rPr>
        <w:t>Net Loss</w:t>
      </w:r>
      <w:r>
        <w:rPr>
          <w:rFonts w:ascii="Arial" w:cs="Arial" w:eastAsia="Arial" w:hAnsi="Arial"/>
          <w:sz w:val="18"/>
          <w:szCs w:val="18"/>
          <w:color w:val="auto"/>
        </w:rPr>
        <w:t>” mean, for each Fiscal Year or other period, an amount equal to the Company’s taxable income or loss for such Fiscal Year or period, determined in accordance with Section 703(a) of the Code (for this purpose, all items of income, gain, loss or deduction required to be stated separately pursuant to Section 703(a)(1) of the Code shall be included in taxable income or loss), with the following adjustments (without duplication):</w:t>
      </w:r>
    </w:p>
    <w:p>
      <w:pPr>
        <w:spacing w:after="0" w:line="78" w:lineRule="exact"/>
        <w:rPr>
          <w:sz w:val="20"/>
          <w:szCs w:val="20"/>
          <w:color w:val="auto"/>
        </w:rPr>
      </w:pPr>
    </w:p>
    <w:p>
      <w:pPr>
        <w:ind w:right="20" w:firstLine="981"/>
        <w:spacing w:after="0" w:line="277" w:lineRule="auto"/>
        <w:tabs>
          <w:tab w:leader="none" w:pos="11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Net Income or Net Loss pursuant to this definition of “Net Income” and “Net Loss” shall be added to such taxable income or loss;</w:t>
      </w:r>
    </w:p>
    <w:p>
      <w:pPr>
        <w:spacing w:after="0" w:line="61" w:lineRule="exact"/>
        <w:rPr>
          <w:rFonts w:ascii="Arial" w:cs="Arial" w:eastAsia="Arial" w:hAnsi="Arial"/>
          <w:sz w:val="18"/>
          <w:szCs w:val="18"/>
          <w:color w:val="auto"/>
        </w:rPr>
      </w:pPr>
    </w:p>
    <w:p>
      <w:pPr>
        <w:ind w:right="20" w:firstLine="981"/>
        <w:spacing w:after="0" w:line="263" w:lineRule="auto"/>
        <w:tabs>
          <w:tab w:leader="none" w:pos="12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expenditures of the Company described in Section 705(a)(2)(B) of the Code or treated as Section 705(a)(2)(B) of the Code expenditures pursuant to Treasury Regulations Section 1.704-1(b)(2)(iv)(i), and not otherwise taken into account in computing Net Income or Net Loss pursuant to this definition of “Net Income” and “Net Loss,” shall be treated as deductible items;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60" w:top="273" w:right="539" w:bottom="1440" w:gutter="0" w:footer="0" w:header="0"/>
        </w:sectPr>
      </w:pPr>
    </w:p>
    <w:bookmarkStart w:id="374" w:name="page375"/>
    <w:bookmarkEnd w:id="374"/>
    <w:p>
      <w:pPr>
        <w:jc w:val="both"/>
        <w:ind w:right="40" w:firstLine="981"/>
        <w:spacing w:after="0" w:line="259" w:lineRule="auto"/>
        <w:tabs>
          <w:tab w:leader="none" w:pos="1305"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Carrying Value of any Company asset is adjusted pursuant to subparagraphs (ii) or (iii) of the definition of “Carrying Value,” the amount of such adjustment shall be treated as an item of gain (if the adjustment increases the Carrying Value of the asset) or an item of loss (if the adjustment decreases the Carrying Value of the asset) from the disposition of such asset and shall be taken into account, immediately prior to the event giving rise to such adjustment, for purposes of computing Net Income or Net Loss;</w:t>
      </w:r>
    </w:p>
    <w:p>
      <w:pPr>
        <w:spacing w:after="0" w:line="77" w:lineRule="exact"/>
        <w:rPr>
          <w:rFonts w:ascii="Arial" w:cs="Arial" w:eastAsia="Arial" w:hAnsi="Arial"/>
          <w:sz w:val="18"/>
          <w:szCs w:val="18"/>
          <w:color w:val="auto"/>
        </w:rPr>
      </w:pPr>
    </w:p>
    <w:p>
      <w:pPr>
        <w:ind w:right="20" w:firstLine="981"/>
        <w:spacing w:after="0" w:line="263" w:lineRule="auto"/>
        <w:tabs>
          <w:tab w:leader="none" w:pos="129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Carrying Value of the Property disposed of, notwithstanding that the adjusted tax basis of such Property differs from its Carrying Value;</w:t>
      </w:r>
    </w:p>
    <w:p>
      <w:pPr>
        <w:spacing w:after="0" w:line="74" w:lineRule="exact"/>
        <w:rPr>
          <w:rFonts w:ascii="Arial" w:cs="Arial" w:eastAsia="Arial" w:hAnsi="Arial"/>
          <w:sz w:val="18"/>
          <w:szCs w:val="18"/>
          <w:color w:val="auto"/>
        </w:rPr>
      </w:pPr>
    </w:p>
    <w:p>
      <w:pPr>
        <w:ind w:right="180" w:firstLine="981"/>
        <w:spacing w:after="0" w:line="341" w:lineRule="auto"/>
        <w:tabs>
          <w:tab w:leader="none" w:pos="124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 lieu of the depreciation, amortization and other cost recovery deductions taken into account in computing such taxable income or loss, there shall be taken into account Depreciation for such Fiscal Year, computed in accordance with the definition of Depreciation;</w:t>
      </w:r>
    </w:p>
    <w:p>
      <w:pPr>
        <w:spacing w:after="0" w:line="16" w:lineRule="exact"/>
        <w:rPr>
          <w:rFonts w:ascii="Arial" w:cs="Arial" w:eastAsia="Arial" w:hAnsi="Arial"/>
          <w:sz w:val="16"/>
          <w:szCs w:val="16"/>
          <w:color w:val="auto"/>
        </w:rPr>
      </w:pPr>
    </w:p>
    <w:p>
      <w:pPr>
        <w:ind w:right="140" w:firstLine="981"/>
        <w:spacing w:after="0" w:line="256" w:lineRule="auto"/>
        <w:tabs>
          <w:tab w:leader="none" w:pos="129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Section 734(b) of the Code is required, pursuant to Treasury Regulations Section 1.704-(b)(2)(iv)(m)(4),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Net Income or Net Loss; and</w:t>
      </w:r>
    </w:p>
    <w:p>
      <w:pPr>
        <w:spacing w:after="0" w:line="83" w:lineRule="exact"/>
        <w:rPr>
          <w:rFonts w:ascii="Arial" w:cs="Arial" w:eastAsia="Arial" w:hAnsi="Arial"/>
          <w:sz w:val="18"/>
          <w:szCs w:val="18"/>
          <w:color w:val="auto"/>
        </w:rPr>
      </w:pPr>
    </w:p>
    <w:p>
      <w:pPr>
        <w:ind w:left="1340" w:hanging="359"/>
        <w:spacing w:after="0"/>
        <w:tabs>
          <w:tab w:leader="none" w:pos="13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Notwithstanding any other provision of this definition, any items that are specially allocated pursuant to Section 5.04(b),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5.04(c) and Section 5.04(d) shall not be taken into account in computing Net Income or Net Loss.</w:t>
      </w:r>
    </w:p>
    <w:p>
      <w:pPr>
        <w:spacing w:after="0" w:line="210" w:lineRule="exact"/>
        <w:rPr>
          <w:sz w:val="20"/>
          <w:szCs w:val="20"/>
          <w:color w:val="auto"/>
        </w:rPr>
      </w:pPr>
    </w:p>
    <w:p>
      <w:pPr>
        <w:ind w:right="680" w:firstLine="440"/>
        <w:spacing w:after="0" w:line="341" w:lineRule="auto"/>
        <w:rPr>
          <w:sz w:val="20"/>
          <w:szCs w:val="20"/>
          <w:color w:val="auto"/>
        </w:rPr>
      </w:pPr>
      <w:r>
        <w:rPr>
          <w:rFonts w:ascii="Arial" w:cs="Arial" w:eastAsia="Arial" w:hAnsi="Arial"/>
          <w:sz w:val="16"/>
          <w:szCs w:val="16"/>
          <w:color w:val="auto"/>
        </w:rPr>
        <w:t>The amounts of the items of Company income, gain, loss or deduction available to be specially allocated pursuant to Section 5.04(b), Section 5.04(c) and Section 5.04(d) shall be determined by applying rules analogous to those set forth in subparagraphs (i) through (vi) above.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Non-Pubco Member</w:t>
      </w:r>
      <w:r>
        <w:rPr>
          <w:rFonts w:ascii="Arial" w:cs="Arial" w:eastAsia="Arial" w:hAnsi="Arial"/>
          <w:sz w:val="18"/>
          <w:szCs w:val="18"/>
          <w:color w:val="auto"/>
        </w:rPr>
        <w:t>” means any Member that is not a Pubco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Treasury Regulations Sections 1.704-2(b)(1) and 1.704-2(c).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Nonvoting Common Units</w:t>
      </w:r>
      <w:r>
        <w:rPr>
          <w:rFonts w:ascii="Arial" w:cs="Arial" w:eastAsia="Arial" w:hAnsi="Arial"/>
          <w:sz w:val="16"/>
          <w:szCs w:val="16"/>
          <w:color w:val="auto"/>
        </w:rPr>
        <w:t>” means the Nonvoting Common Units of the Company, having the rights, privileges and preferences set forth herein.</w:t>
      </w:r>
    </w:p>
    <w:p>
      <w:pPr>
        <w:spacing w:after="0" w:line="24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means the entity or individual designated by the Board in accordance with Section 6.01 with respect to partnership audits and proceedings pursuant to the Centralized Partnership Audit Regime and shall have the meaning set forth in Section 6223(a) of the Code. Unless otherwise stated, all references to Partnership Representative also shall apply to the Designated Individual if the appointment of a Designated Individual is required.</w:t>
      </w:r>
    </w:p>
    <w:p>
      <w:pPr>
        <w:spacing w:after="0" w:line="18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trust, estate, joint venture, governmental authority or other entity.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that JPMorgan Chase Bank, National Association (or any successor thereto or other major money center commercial bank agreed to by the Board) announces from time to time as its prime lending rate, as in effect from time to time.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60" w:top="274" w:right="539" w:bottom="1440" w:gutter="0" w:footer="0" w:header="0"/>
        </w:sectPr>
      </w:pPr>
    </w:p>
    <w:bookmarkStart w:id="375" w:name="page376"/>
    <w:bookmarkEnd w:id="375"/>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Property</w:t>
      </w:r>
      <w:r>
        <w:rPr>
          <w:rFonts w:ascii="Arial" w:cs="Arial" w:eastAsia="Arial" w:hAnsi="Arial"/>
          <w:sz w:val="18"/>
          <w:szCs w:val="18"/>
          <w:color w:val="auto"/>
        </w:rPr>
        <w:t>” means an interest of any kind in any real, personal or intellectual (or mixed) property, including cash, and any improvements thereto, and shall include both tangible and intangible property.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Pubco Certificate of Incorporation</w:t>
      </w:r>
      <w:r>
        <w:rPr>
          <w:rFonts w:ascii="Arial" w:cs="Arial" w:eastAsia="Arial" w:hAnsi="Arial"/>
          <w:sz w:val="16"/>
          <w:szCs w:val="16"/>
          <w:color w:val="auto"/>
        </w:rPr>
        <w:t>” means the Amended and Restated Certificate of Incorporation of Pubco, as it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w:t>
      </w:r>
      <w:r>
        <w:rPr>
          <w:rFonts w:ascii="Arial" w:cs="Arial" w:eastAsia="Arial" w:hAnsi="Arial"/>
          <w:sz w:val="18"/>
          <w:szCs w:val="18"/>
          <w:color w:val="auto"/>
        </w:rPr>
        <w:t>” means all classes and series of common stock of Pubco, including the Class A Common Stock and the Class B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Member</w:t>
      </w:r>
      <w:r>
        <w:rPr>
          <w:rFonts w:ascii="Arial" w:cs="Arial" w:eastAsia="Arial" w:hAnsi="Arial"/>
          <w:sz w:val="18"/>
          <w:szCs w:val="18"/>
          <w:color w:val="auto"/>
        </w:rPr>
        <w:t>” means (i) Pubco and (ii) any Subsidiary of Pubco (other than the Company and its Subsidiaries) that is a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Redeemed Units Equivalent</w:t>
      </w:r>
      <w:r>
        <w:rPr>
          <w:rFonts w:ascii="Arial" w:cs="Arial" w:eastAsia="Arial" w:hAnsi="Arial"/>
          <w:sz w:val="18"/>
          <w:szCs w:val="18"/>
          <w:color w:val="auto"/>
        </w:rPr>
        <w:t>” means the product of (a) the Share Settlement and (b) the Common Unit Redemption Price.</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Agency</w:t>
      </w:r>
      <w:r>
        <w:rPr>
          <w:rFonts w:ascii="Arial" w:cs="Arial" w:eastAsia="Arial" w:hAnsi="Arial"/>
          <w:sz w:val="18"/>
          <w:szCs w:val="18"/>
          <w:color w:val="auto"/>
        </w:rPr>
        <w:t>” means the SEC, the Financial Industry Regulatory Authority, any non-U.S. regulatory agency and any other regulatory authority or body (including any state or provincial securities authority and any self-regulatory organization) with jurisdiction over the Company or any of its Subsidiaries.</w:t>
      </w:r>
    </w:p>
    <w:p>
      <w:pPr>
        <w:spacing w:after="0" w:line="183"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Relative Percentage Interest</w:t>
      </w:r>
      <w:r>
        <w:rPr>
          <w:rFonts w:ascii="Arial" w:cs="Arial" w:eastAsia="Arial" w:hAnsi="Arial"/>
          <w:sz w:val="18"/>
          <w:szCs w:val="18"/>
          <w:color w:val="auto"/>
        </w:rPr>
        <w:t>” means, with respect to any Member relative to another Member or Members, a fractional amount, expressed as a percentage, the numerator of which is the aggregate number of Units in the applicable class(es) owned of record by such Member; and the denominator of which is (x) the aggregate number of Units in the applicable class(es) owned of record by such Member plus (y) the aggregate number of Units in the applicable class(es) owned of record by such other Member or Members.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Settlement</w:t>
      </w:r>
      <w:r>
        <w:rPr>
          <w:rFonts w:ascii="Arial" w:cs="Arial" w:eastAsia="Arial" w:hAnsi="Arial"/>
          <w:sz w:val="18"/>
          <w:szCs w:val="18"/>
          <w:color w:val="auto"/>
        </w:rPr>
        <w:t>” means a number of shares of Class A Common Stock equal to the number of Redeemed Units, subject to adjustment as set forth in Section 9.01(e).</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association, joint venture or other business entity of which more than 50% of the total voting power of Equity Securities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7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Member</w:t>
      </w:r>
      <w:r>
        <w:rPr>
          <w:rFonts w:ascii="Arial" w:cs="Arial" w:eastAsia="Arial" w:hAnsi="Arial"/>
          <w:sz w:val="18"/>
          <w:szCs w:val="18"/>
          <w:color w:val="auto"/>
        </w:rPr>
        <w:t>” means any Person admitted as a Member of the Company pursuant to Section 3.02 in connection with the Transfer of then-existing Units to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w:t>
      </w:r>
      <w:r>
        <w:rPr>
          <w:rFonts w:ascii="Arial" w:cs="Arial" w:eastAsia="Arial" w:hAnsi="Arial"/>
          <w:sz w:val="18"/>
          <w:szCs w:val="18"/>
          <w:color w:val="auto"/>
        </w:rPr>
        <w:t>” means a distribution made by the Company pursuant to Section 5.03(e).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means the Tax Matters Agreement, dated as of the date hereof, by and among the Company and each of the other parties identified therein.</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Rate</w:t>
      </w:r>
      <w:r>
        <w:rPr>
          <w:rFonts w:ascii="Arial" w:cs="Arial" w:eastAsia="Arial" w:hAnsi="Arial"/>
          <w:sz w:val="18"/>
          <w:szCs w:val="18"/>
          <w:color w:val="auto"/>
        </w:rPr>
        <w:t>” means the highest marginal U.S. federal and state tax rate applicable to corporations (or, if appropriate, to individuals) (taking into account the deductibility of state and local taxes) determined from time to time by the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3" w:right="459" w:bottom="1440" w:gutter="0" w:footer="0" w:header="0"/>
        </w:sectPr>
      </w:pPr>
    </w:p>
    <w:bookmarkStart w:id="376" w:name="page377"/>
    <w:bookmarkEnd w:id="37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the Tax Receivable Agreement, dated as of the date hereof, by and among Pubco and each of the other parties identified therein.</w:t>
      </w:r>
    </w:p>
    <w:p>
      <w:pPr>
        <w:spacing w:after="0" w:line="170" w:lineRule="exact"/>
        <w:rPr>
          <w:sz w:val="20"/>
          <w:szCs w:val="20"/>
          <w:color w:val="auto"/>
        </w:rPr>
      </w:pPr>
    </w:p>
    <w:p>
      <w:pPr>
        <w:ind w:right="44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principal U.S. securities exchange or automated or electronic quoting system on which the Class A Common Stock is traded or quoted is open for the transaction of business (unless such trading shall have been suspended for the entire day).</w:t>
      </w:r>
    </w:p>
    <w:p>
      <w:pPr>
        <w:spacing w:after="0" w:line="1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any sale, assignment, transfer, exchange, gift, bequest, pledge, hypothecation or other disposition or encumbrance, direct or indirect, in whole or in part, by operation of law or otherwise, and shall include all matters deemed to constitute a Transfer under Article VIII. The terms “Transferred,” “Transferring,” “Transferor,” “Transferee” and “Transferable” have meanings correlative to the foregoing.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 the regulations promulgated under the Code, as amended from time to time.</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means Common Units or any other class of limited liability interests in the Company designated by the Company after the date hereof in accordance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type, class or series of Units shall have the designations, preferences and/or special rights set forth or referenced in this Agreement, and the membership interests of the Company represented by such type, class or series of Units shall be determined in accordance with such designations, preferences and/or special rights.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Common Unit</w:t>
      </w:r>
      <w:r>
        <w:rPr>
          <w:rFonts w:ascii="Arial" w:cs="Arial" w:eastAsia="Arial" w:hAnsi="Arial"/>
          <w:sz w:val="17"/>
          <w:szCs w:val="17"/>
          <w:color w:val="auto"/>
        </w:rPr>
        <w:t>” means the Voting Common Unit of the Company, having the rights, privileges and preferences set forth herein.</w:t>
      </w:r>
    </w:p>
    <w:p>
      <w:pPr>
        <w:spacing w:after="0" w:line="236" w:lineRule="exact"/>
        <w:rPr>
          <w:sz w:val="20"/>
          <w:szCs w:val="20"/>
          <w:color w:val="auto"/>
        </w:rPr>
      </w:pPr>
    </w:p>
    <w:p>
      <w:pPr>
        <w:jc w:val="center"/>
        <w:ind w:left="480" w:right="4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Member</w:t>
      </w:r>
      <w:r>
        <w:rPr>
          <w:rFonts w:ascii="Arial" w:cs="Arial" w:eastAsia="Arial" w:hAnsi="Arial"/>
          <w:sz w:val="18"/>
          <w:szCs w:val="18"/>
          <w:color w:val="auto"/>
        </w:rPr>
        <w:t>” means Pubco, so long as it is the holder of the Voting Common Unit, or any successor holder of the Voting Common Unit. 8</w:t>
      </w:r>
    </w:p>
    <w:p>
      <w:pPr>
        <w:sectPr>
          <w:pgSz w:w="11900" w:h="16838" w:orient="portrait"/>
          <w:cols w:equalWidth="0" w:num="1">
            <w:col w:w="10980"/>
          </w:cols>
          <w:pgMar w:left="460" w:top="274" w:right="45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8060" w:type="dxa"/>
            <w:vAlign w:val="bottom"/>
          </w:tcPr>
          <w:p>
            <w:pPr>
              <w:ind w:left="680"/>
              <w:spacing w:after="0"/>
              <w:rPr>
                <w:sz w:val="20"/>
                <w:szCs w:val="20"/>
                <w:color w:val="auto"/>
              </w:rPr>
            </w:pPr>
            <w:r>
              <w:rPr>
                <w:rFonts w:ascii="Arial" w:cs="Arial" w:eastAsia="Arial" w:hAnsi="Arial"/>
                <w:sz w:val="18"/>
                <w:szCs w:val="18"/>
                <w:color w:val="auto"/>
              </w:rPr>
              <w:t>(b) Each of the following terms is defined in the Section set forth opposite such term:</w:t>
            </w:r>
          </w:p>
        </w:tc>
        <w:tc>
          <w:tcPr>
            <w:tcW w:w="2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8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Section</w:t>
            </w:r>
          </w:p>
        </w:tc>
      </w:tr>
      <w:tr>
        <w:trPr>
          <w:trHeight w:val="195"/>
        </w:trPr>
        <w:tc>
          <w:tcPr>
            <w:tcW w:w="8360" w:type="dxa"/>
            <w:vAlign w:val="bottom"/>
            <w:gridSpan w:val="2"/>
          </w:tcPr>
          <w:p>
            <w:pPr>
              <w:spacing w:after="0" w:line="195" w:lineRule="exact"/>
              <w:rPr>
                <w:sz w:val="20"/>
                <w:szCs w:val="20"/>
                <w:color w:val="auto"/>
              </w:rPr>
            </w:pPr>
            <w:r>
              <w:rPr>
                <w:rFonts w:ascii="Arial" w:cs="Arial" w:eastAsia="Arial" w:hAnsi="Arial"/>
                <w:sz w:val="18"/>
                <w:szCs w:val="18"/>
                <w:color w:val="auto"/>
              </w:rPr>
              <w:t>Agreement</w:t>
            </w:r>
          </w:p>
        </w:tc>
        <w:tc>
          <w:tcPr>
            <w:tcW w:w="26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Audit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6.01(b)</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Board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7.01</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12.11(b)</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Contribution Notice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9.01(b)</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Controlled Entities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10.02(e)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Dissolution Event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11.01(c)</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Economic Pubco Security</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4.01(a)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e-mail</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12.03</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Existing LLC Agreement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10.02(e)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Formation Transactions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GAAP</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3.03(b)</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Holdings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Indemnification Sources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10.02(e)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Indemnitee-Related Entities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10.02(e)(i)</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Jointly Indemnifiable Claims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10.02(e)(ii)</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7.01</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Master Transaction Agreement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Member Parties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12.11(a)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Member Schedule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3.01(a)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Non-Affiliated Transferee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8.04</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Officers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7.10(a)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Process Agent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12.05(b)</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Pubco</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Pubco Offer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9.01(f)</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Redeemed Units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Redeeming Member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Redemption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Redemption Date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Redemption Notice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Redemption Right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Regulatory Allocations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5.04(c)</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Retraction Notice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9.01(b)</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Revaluation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5.02(c)</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Transferor Member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5.02(b)</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Withholding Advances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Section 5.06(b)</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40"/>
        <w:spacing w:after="0" w:line="273"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378" w:name="page379"/>
    <w:bookmarkEnd w:id="37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As used in this Agreement, all references to “majority in interest” and phrases of similar import shall be deemed to refer to such percentage or fraction of interest based on the Relative Percentage Interests of the Members subject to such determination. Unless otherwise expressly provided herein, when any approval, consent or other matter requires any action or approval of any group of Members, including any holders of any class of Units, such approval, consent or other matter shall require the approval of a majority in interest of such group of Members. Except to the extent otherwise expressly provided herein, all references to any Member shall be deemed to refer solely to such Person in its capacity as such Member and not in any other capacity.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21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Formation</w:t>
      </w:r>
      <w:r>
        <w:rPr>
          <w:rFonts w:ascii="Arial" w:cs="Arial" w:eastAsia="Arial" w:hAnsi="Arial"/>
          <w:sz w:val="17"/>
          <w:szCs w:val="17"/>
          <w:color w:val="auto"/>
        </w:rPr>
        <w:t>. The Company was formed upon the filing of the certificate of formation of the Company with the Secretary of State of the State of Delaware on November 27, 2013. Any authorized officer or representative, as an “authorized person” within the meaning of the Delaware LLC Act, shall file and record any amendments and/or restatements to the certificate of formation of the Company and such other certificates and documents (and any amendments or restatements thereof) as may be required under the laws of the State of Delaware and of any other jurisdiction in which the Company may conduct business. Any such authorized officer or representative shall, on request, provide any Member with copies of each such document as filed and recorded. The Members hereby agree that the Company and its Subsidiaries shall be governed by the terms and conditions of this Agreement and, except as provided herein, the Delaware LLC Act.</w:t>
      </w:r>
    </w:p>
    <w:p>
      <w:pPr>
        <w:spacing w:after="0" w:line="176"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Name</w:t>
      </w:r>
      <w:r>
        <w:rPr>
          <w:rFonts w:ascii="Arial" w:cs="Arial" w:eastAsia="Arial" w:hAnsi="Arial"/>
          <w:sz w:val="17"/>
          <w:szCs w:val="17"/>
          <w:color w:val="auto"/>
        </w:rPr>
        <w:t xml:space="preserve">. The name of the Company shall be BellRing Brands,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change the name of the Company to such other name as the Board shall determine in its sole discretion, and the Board shall have the authority to execute, acknowledge, deliver, file and record such further certificates, amendments, instruments and documents, and to do all such other acts and things, as may be required by Applicable Law or as, in the reasonable judgment of the Board, may be necessary or advisable to effect such 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Term</w:t>
      </w:r>
      <w:r>
        <w:rPr>
          <w:rFonts w:ascii="Arial" w:cs="Arial" w:eastAsia="Arial" w:hAnsi="Arial"/>
          <w:sz w:val="17"/>
          <w:szCs w:val="17"/>
          <w:color w:val="auto"/>
        </w:rPr>
        <w:t>. The Company shall have perpetual existence unless sooner dissolved and its affairs wound up as provided in Article XI.</w:t>
      </w:r>
    </w:p>
    <w:p>
      <w:pPr>
        <w:spacing w:after="0" w:line="236"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Registered Agent and Registered Office</w:t>
      </w:r>
      <w:r>
        <w:rPr>
          <w:rFonts w:ascii="Arial" w:cs="Arial" w:eastAsia="Arial" w:hAnsi="Arial"/>
          <w:sz w:val="18"/>
          <w:szCs w:val="18"/>
          <w:color w:val="auto"/>
        </w:rPr>
        <w:t>. The name of the registered agent of the Company for service of process on the Company in the State of Delaware shall be Corporation Service Company, and the address of such registered agent and the address of the registered office of the Company in the State of Delaware shall be 251 Little Falls Drive in the City of Wilmington, County of New Castle, Delaware 19808. Such office and such agent may be changed to such place within the State of Delaware and any successor registered agent, respectively, as may be determined from time to time by the Board in accordance with the Delaware LLC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3" w:right="439" w:bottom="1440" w:gutter="0" w:footer="0" w:header="0"/>
        </w:sectPr>
      </w:pPr>
    </w:p>
    <w:bookmarkStart w:id="379" w:name="page380"/>
    <w:bookmarkEnd w:id="379"/>
    <w:p>
      <w:pPr>
        <w:ind w:right="20" w:firstLine="440"/>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6"/>
          <w:szCs w:val="16"/>
          <w:u w:val="single" w:color="auto"/>
          <w:color w:val="auto"/>
        </w:rPr>
        <w:t>Purposes</w:t>
      </w:r>
      <w:r>
        <w:rPr>
          <w:rFonts w:ascii="Arial" w:cs="Arial" w:eastAsia="Arial" w:hAnsi="Arial"/>
          <w:sz w:val="16"/>
          <w:szCs w:val="16"/>
          <w:color w:val="auto"/>
        </w:rPr>
        <w:t>. The Company has been formed for the object and purpose of, and the nature of the business to be conducted and promoted by the Company is, to carry on any lawful act or activities for which limited liability companies may be organized under the Delaware LLC Act.</w:t>
      </w:r>
    </w:p>
    <w:p>
      <w:pPr>
        <w:spacing w:after="0" w:line="1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The Company shall have the power and authority to take any and all actions necessary, appropriate or advisable to or for the furtherance of the purposes set forth in Section 2.05.</w:t>
      </w:r>
    </w:p>
    <w:p>
      <w:pPr>
        <w:spacing w:after="0" w:line="17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Partnership Tax Status</w:t>
      </w:r>
      <w:r>
        <w:rPr>
          <w:rFonts w:ascii="Arial" w:cs="Arial" w:eastAsia="Arial" w:hAnsi="Arial"/>
          <w:sz w:val="18"/>
          <w:szCs w:val="18"/>
          <w:color w:val="auto"/>
        </w:rPr>
        <w:t>. The Members intend that the Company shall be treated as a partnership for federal, state and local income tax purposes to the extent such treatment is available, and agree to take (or refrain from taking) such actions as may be necessary to receive and maintain such treatment and refrain from taking any actions inconsistent thereof. The Members acknowledge and agree that any Subsidiary of the Company that is classified as a partnership or disregarded entity at the time of IPO will not be converted to entity classified as a C corporation for federal income tax purposes.</w:t>
      </w:r>
    </w:p>
    <w:p>
      <w:pPr>
        <w:spacing w:after="0" w:line="19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Regulation of Internal Affairs</w:t>
      </w:r>
      <w:r>
        <w:rPr>
          <w:rFonts w:ascii="Arial" w:cs="Arial" w:eastAsia="Arial" w:hAnsi="Arial"/>
          <w:sz w:val="17"/>
          <w:szCs w:val="17"/>
          <w:color w:val="auto"/>
        </w:rPr>
        <w:t>. The internal affairs of the Company and the conduct of its business shall be regulated by this Agreement, and to the extent not provided for herein, shall be determined by the Board. The Board shall be responsible for the oversight of the Company’s operations and overall performance and strategy, while the management of the day-to-day operations of the business of the Company and the execution of business strategy shall be the responsibility of the Officers and employees of the Company and its Subsidiaries.</w:t>
      </w:r>
    </w:p>
    <w:p>
      <w:pPr>
        <w:spacing w:after="0" w:line="170" w:lineRule="exact"/>
        <w:rPr>
          <w:sz w:val="20"/>
          <w:szCs w:val="20"/>
          <w:color w:val="auto"/>
        </w:rPr>
      </w:pPr>
    </w:p>
    <w:p>
      <w:pPr>
        <w:ind w:right="620" w:firstLine="440"/>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Legal title to all Property conveyed to, or held by, the Company or its Subsidiaries shall reside in the Company or its Subsidiaries and shall be conveyed only in the name of the Company or its Subsidiaries, and no Member or any other Person, individually, shall have any ownership of such Property.</w:t>
      </w:r>
    </w:p>
    <w:p>
      <w:pPr>
        <w:spacing w:after="0" w:line="183"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shall cause the business and affairs of each of the Subsidiaries to be managed by the Board and the Officers and employees of the Company in accordance with and in a manner consistent with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 MEMBERS; BOOKS AND RECORDS; REPORTS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Units; Admission of Members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81"/>
        <w:spacing w:after="0" w:line="286" w:lineRule="auto"/>
        <w:tabs>
          <w:tab w:leader="none" w:pos="12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Immediately after the Effective Time, pursuant to the Master Transaction Agreement, (i) the Company hereby establishes a new class of Common Units consisting of one Voting Common Unit having the terms set forth herein, and issues such Voting Common Unit to Pubco as set forth on Schedule A (the “</w:t>
      </w:r>
      <w:r>
        <w:rPr>
          <w:rFonts w:ascii="Arial" w:cs="Arial" w:eastAsia="Arial" w:hAnsi="Arial"/>
          <w:sz w:val="16"/>
          <w:szCs w:val="16"/>
          <w:u w:val="single" w:color="auto"/>
          <w:color w:val="auto"/>
        </w:rPr>
        <w:t>Member Schedule</w:t>
      </w:r>
      <w:r>
        <w:rPr>
          <w:rFonts w:ascii="Arial" w:cs="Arial" w:eastAsia="Arial" w:hAnsi="Arial"/>
          <w:sz w:val="16"/>
          <w:szCs w:val="16"/>
          <w:color w:val="auto"/>
        </w:rPr>
        <w:t>”) and (ii) the Company hereby establishes a new class of Nonvoting Common Units having the terms set forth herein. All limited liability company interests in the Company outstanding as of immediately prior to the Effective Time, all of which are held by</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Holdings, shall be reclassified into Nonvoting Common Units, and the Company hereby issues Nonvoting Common Units to Pubco, in each case, as set forth on the Member Schedule. The Member Schedule shall be maintained by the Officers on behalf of the Company in accordance with this Agreement, and the Board shall promptly deliver a copy of the Member Schedule to any Member that so requests. When any Units or other Equity Securities of the Company are issued, repurchased, redeemed, converted or Transferred in accordance with this Agreement, the Member Schedule shall be amended by the Officers to reflect such issuance, repurchase, redemption or Transfer, the admission of Additional Members or Substitute Members and the resulting Economic Percentage Interest of each Member. Following the date hereof, no Person shall be admitted as a Member and no additional Units shall be issued except as expressly provided herein.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380" w:name="page381"/>
    <w:bookmarkEnd w:id="380"/>
    <w:p>
      <w:pPr>
        <w:ind w:firstLine="981"/>
        <w:spacing w:after="0" w:line="301" w:lineRule="auto"/>
        <w:tabs>
          <w:tab w:leader="none" w:pos="1245" w:val="left"/>
        </w:tabs>
        <w:numPr>
          <w:ilvl w:val="0"/>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may cause the Company to authorize and issue from time to time such additional Units or other Equity Securities of any type, class or series and having the designations, preferences and/or special rights as may be determined the Board. Such Units or other Equity Securities may be issued pursuant to such agreements as the Board shall approve. When any such additional Units or other Equity Securities are authorized and issued, the Member Schedule and this Agreement shall be amended by the Board to reflect such additional issuances.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Substitute Members and Additional Members</w:t>
      </w:r>
      <w:r>
        <w:rPr>
          <w:rFonts w:ascii="Arial" w:cs="Arial" w:eastAsia="Arial" w:hAnsi="Arial"/>
          <w:sz w:val="18"/>
          <w:szCs w:val="18"/>
          <w:color w:val="auto"/>
        </w:rPr>
        <w:t>.</w:t>
      </w:r>
    </w:p>
    <w:p>
      <w:pPr>
        <w:spacing w:after="0" w:line="117" w:lineRule="exact"/>
        <w:rPr>
          <w:sz w:val="20"/>
          <w:szCs w:val="20"/>
          <w:color w:val="auto"/>
        </w:rPr>
      </w:pPr>
    </w:p>
    <w:p>
      <w:pPr>
        <w:ind w:right="40" w:firstLine="981"/>
        <w:spacing w:after="0" w:line="284" w:lineRule="auto"/>
        <w:tabs>
          <w:tab w:leader="none" w:pos="12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No Transferee of any Units or Person to whom any Units are issued pursuant to this Agreement shall be admitted as a Member hereunder or acquire any rights hereunder, including any voting rights or the right to receive distributions and allocations in respect of the Transferred or issued Units, as applicable, unless (i) such Units are Transferred or issued in compliance with the provisions of this Agreement (including Article VIII) and (ii) such Transferee or recipient shall have executed and delivered to the Company such instruments as the Board deems necessary or desirable, in its reasonable discretion, to effectuate the admission of such Transferee or recipient as a Member and to confirm the agreement of such Transferee or recipient to be bound by all of the terms and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Transfers which are permitted pursuant to</w:t>
      </w:r>
    </w:p>
    <w:p>
      <w:pPr>
        <w:spacing w:after="0" w:line="3" w:lineRule="exact"/>
        <w:rPr>
          <w:rFonts w:ascii="Arial" w:cs="Arial" w:eastAsia="Arial" w:hAnsi="Arial"/>
          <w:sz w:val="16"/>
          <w:szCs w:val="16"/>
          <w:color w:val="auto"/>
        </w:rPr>
      </w:pPr>
    </w:p>
    <w:p>
      <w:pPr>
        <w:ind w:right="10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8.02(c), Section 8.02(d), Section 8.02(e) and Section 8.02(f) shall not be subject to clause (ii) of this sentence. Upon complying with the immediately preceding sentence, without the need for any further action of any Person, a Transferee or recipient shall be deemed admitted to the Company as a Member. A Substitute Member shall enjoy the same rights, and be subject to the same obligations, as the Transferor;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Transferor shall not be relieved of any obligation or liability hereunder arising prior to the consummation of such Transfer but shall be relieved of all future obligations with respect to the Units so Transferred. As promptly as practicable after the admission of any Person as a Member, the books and records of the Company shall be changed to reflect such admission of a Substitute Member or Additional Member. In the event of any admission of a Substitute Member or Additional Member pursuant to this Section 3.02(a), this Agreement shall be deemed amended to reflect such admission, and any formal amendment of this Agreement (including the Member Schedule) in connection therewith shall only require execution by the Company and such Substitute Member or Additional Member, as applicable, to be effective.</w:t>
      </w:r>
    </w:p>
    <w:p>
      <w:pPr>
        <w:spacing w:after="0" w:line="71" w:lineRule="exact"/>
        <w:rPr>
          <w:rFonts w:ascii="Arial" w:cs="Arial" w:eastAsia="Arial" w:hAnsi="Arial"/>
          <w:sz w:val="16"/>
          <w:szCs w:val="16"/>
          <w:color w:val="auto"/>
        </w:rPr>
      </w:pPr>
    </w:p>
    <w:p>
      <w:pPr>
        <w:ind w:left="1240" w:hanging="259"/>
        <w:spacing w:after="0"/>
        <w:tabs>
          <w:tab w:leader="none" w:pos="12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a Member shall Transfer all (but not less than all) of its Units, the Member shall thereupon cease to be a Member of the Company.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Accounting and Tax Information</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63" w:lineRule="auto"/>
        <w:tabs>
          <w:tab w:leader="none" w:pos="1235"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Accounting Decisions and Reliance on Others</w:t>
      </w:r>
      <w:r>
        <w:rPr>
          <w:rFonts w:ascii="Arial" w:cs="Arial" w:eastAsia="Arial" w:hAnsi="Arial"/>
          <w:sz w:val="18"/>
          <w:szCs w:val="18"/>
          <w:color w:val="auto"/>
        </w:rPr>
        <w:t>. All decisions as to accounting matters, except as otherwise specifically set forth herein, shall be made by the Board or the Officers of the Company in accordance with this Agreement and Applicable Law. In making such decisions, the Board and the Officers of the Company may rely upon the advice of the independent accountants of the Company.</w:t>
      </w:r>
    </w:p>
    <w:p>
      <w:pPr>
        <w:spacing w:after="0" w:line="74" w:lineRule="exact"/>
        <w:rPr>
          <w:rFonts w:ascii="Arial" w:cs="Arial" w:eastAsia="Arial" w:hAnsi="Arial"/>
          <w:sz w:val="18"/>
          <w:szCs w:val="18"/>
          <w:color w:val="auto"/>
        </w:rPr>
      </w:pPr>
    </w:p>
    <w:p>
      <w:pPr>
        <w:ind w:right="60" w:firstLine="981"/>
        <w:spacing w:after="0" w:line="259" w:lineRule="auto"/>
        <w:tabs>
          <w:tab w:leader="none" w:pos="1245"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Records and Accounting Maintained</w:t>
      </w:r>
      <w:r>
        <w:rPr>
          <w:rFonts w:ascii="Arial" w:cs="Arial" w:eastAsia="Arial" w:hAnsi="Arial"/>
          <w:sz w:val="18"/>
          <w:szCs w:val="18"/>
          <w:color w:val="auto"/>
        </w:rPr>
        <w:t>. The books and records of the Company shall be kept, and the financial position and the results of its operations recorded, in all material respects in accordance with United States generally accepted accounting principles as in effect from time to time (“</w:t>
      </w:r>
      <w:r>
        <w:rPr>
          <w:rFonts w:ascii="Arial" w:cs="Arial" w:eastAsia="Arial" w:hAnsi="Arial"/>
          <w:sz w:val="18"/>
          <w:szCs w:val="18"/>
          <w:u w:val="single" w:color="auto"/>
          <w:color w:val="auto"/>
        </w:rPr>
        <w:t>GAAP</w:t>
      </w:r>
      <w:r>
        <w:rPr>
          <w:rFonts w:ascii="Arial" w:cs="Arial" w:eastAsia="Arial" w:hAnsi="Arial"/>
          <w:sz w:val="18"/>
          <w:szCs w:val="18"/>
          <w:color w:val="auto"/>
        </w:rPr>
        <w:t>”) and in accordance with Sections 6.1 and 6.2 of the Master Transaction Agreement. The Fiscal Year of the Company shall be used for financial reporting and for federal income tax purposes.</w:t>
      </w:r>
    </w:p>
    <w:p>
      <w:pPr>
        <w:spacing w:after="0" w:line="77" w:lineRule="exact"/>
        <w:rPr>
          <w:rFonts w:ascii="Arial" w:cs="Arial" w:eastAsia="Arial" w:hAnsi="Arial"/>
          <w:sz w:val="18"/>
          <w:szCs w:val="18"/>
          <w:color w:val="auto"/>
        </w:rPr>
      </w:pPr>
    </w:p>
    <w:p>
      <w:pPr>
        <w:ind w:right="280" w:firstLine="981"/>
        <w:spacing w:after="0" w:line="263" w:lineRule="auto"/>
        <w:tabs>
          <w:tab w:leader="none" w:pos="1235"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Financial Reports</w:t>
      </w:r>
      <w:r>
        <w:rPr>
          <w:rFonts w:ascii="Arial" w:cs="Arial" w:eastAsia="Arial" w:hAnsi="Arial"/>
          <w:sz w:val="18"/>
          <w:szCs w:val="18"/>
          <w:color w:val="auto"/>
        </w:rPr>
        <w:t>. To the extent required under Applicable Law, the Formation Documents or such other agreements by which the Company may be bound from time to time or as otherwise determined by the Board, the books and records of the Company shall be audited as of the end of each Fiscal Year by an accounting firm selected by the Board.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381" w:name="page382"/>
    <w:bookmarkEnd w:id="381"/>
    <w:p>
      <w:pPr>
        <w:ind w:left="1240" w:hanging="259"/>
        <w:spacing w:after="0"/>
        <w:tabs>
          <w:tab w:leader="none" w:pos="12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Returns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200" w:firstLine="1421"/>
        <w:spacing w:after="0" w:line="301" w:lineRule="auto"/>
        <w:tabs>
          <w:tab w:leader="none" w:pos="1646"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Company shall timely prepare, or cause to be prepared by an accounting firm selected by the Board, all federal, state, local and foreign tax returns (including information returns) of the Company and its Subsidiaries, which may be required by a jurisdiction in which the Company and its Subsidiaries operate or conduct business for each year or period for which such returns are required to be filed and shall cause such returns to be timely filed. Upon request of any Member, the Company shall furnish to such Member a copy of each such tax return;</w:t>
      </w:r>
    </w:p>
    <w:p>
      <w:pPr>
        <w:spacing w:after="0" w:line="48" w:lineRule="exact"/>
        <w:rPr>
          <w:rFonts w:ascii="Arial" w:cs="Arial" w:eastAsia="Arial" w:hAnsi="Arial"/>
          <w:sz w:val="16"/>
          <w:szCs w:val="16"/>
          <w:color w:val="auto"/>
        </w:rPr>
      </w:pPr>
    </w:p>
    <w:p>
      <w:pPr>
        <w:ind w:right="100" w:firstLine="1421"/>
        <w:spacing w:after="0" w:line="293" w:lineRule="auto"/>
        <w:tabs>
          <w:tab w:leader="none" w:pos="1696"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Company shall furnish to each Member (a) as soon as reasonably practical after the end of each Fiscal Year, all information concerning the Company and its Subsidiaries required for the preparation of tax returns of such Members (or any beneficial owner(s) of such Member), including a report (including Schedule K-1) indicating each Member’s share of the Company’s taxable income, gain, credits, losses and deductions for such year, in sufficient detail to enable such Member to prepare its federal, state and other tax returns and (b) as soon as reasonably possible after a request by such Member, such other information concerning the Company and its Subsidiaries that is reasonably requested by such Member for compliance with its tax obligations (or the tax obligations of any beneficial owner(s) of such Member) or for tax planning purposes; and</w:t>
      </w:r>
    </w:p>
    <w:p>
      <w:pPr>
        <w:spacing w:after="0" w:line="55" w:lineRule="exact"/>
        <w:rPr>
          <w:rFonts w:ascii="Arial" w:cs="Arial" w:eastAsia="Arial" w:hAnsi="Arial"/>
          <w:sz w:val="16"/>
          <w:szCs w:val="16"/>
          <w:color w:val="auto"/>
        </w:rPr>
      </w:pPr>
    </w:p>
    <w:p>
      <w:pPr>
        <w:ind w:right="60" w:firstLine="1421"/>
        <w:spacing w:after="0" w:line="254" w:lineRule="auto"/>
        <w:tabs>
          <w:tab w:leader="none" w:pos="174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So long as it holds at least a 5% Economic Percentage Interest, Holdings shall be entitled to review and comment on any tax returns or reports to be prepared pursuant to this Section 3.03(d) at least sixty days prior to the due date for the applicable tax return or report (including extensions). Holdings shall notify the Company no later than thirty days after receipt of a tax return or report of any changes recommended thereby to such return or report. The Company shall consider in good faith all reasonable comments of Holdings to such tax returns or reports. If the Company does not accept any such comment, the Company shall notify Holdings, as applicable, of that fact. If within five days of such notification, Holdings requests in writing a review of a rejected comment, the Company shall cause its regular tax advisors to review the comment and consult with Holdings. The determination of the tax advisors following such review and consultation shall definitively determine the position taken on the Company’s tax return or report.</w:t>
      </w:r>
    </w:p>
    <w:p>
      <w:pPr>
        <w:spacing w:after="0" w:line="82" w:lineRule="exact"/>
        <w:rPr>
          <w:rFonts w:ascii="Arial" w:cs="Arial" w:eastAsia="Arial" w:hAnsi="Arial"/>
          <w:sz w:val="18"/>
          <w:szCs w:val="18"/>
          <w:color w:val="auto"/>
        </w:rPr>
      </w:pPr>
    </w:p>
    <w:p>
      <w:pPr>
        <w:ind w:right="160" w:firstLine="981"/>
        <w:spacing w:after="0" w:line="259" w:lineRule="auto"/>
        <w:tabs>
          <w:tab w:leader="none" w:pos="1235"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Inconsistent Positions</w:t>
      </w:r>
      <w:r>
        <w:rPr>
          <w:rFonts w:ascii="Arial" w:cs="Arial" w:eastAsia="Arial" w:hAnsi="Arial"/>
          <w:sz w:val="18"/>
          <w:szCs w:val="18"/>
          <w:color w:val="auto"/>
        </w:rPr>
        <w:t>. No Member shall take a position on its income tax return with respect to any item of Company income, gain, deduction, loss or credit that is different from the position taken on the Company’s income tax return with respect to such item unless such Member notifies the Company of the different position the Member desires to take and provides a tax opinion from a nationally recognized advisor to the effect that the position adopted by the Company is not supported by substantial authority.</w:t>
      </w:r>
    </w:p>
    <w:p>
      <w:pPr>
        <w:spacing w:after="0" w:line="18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keep full and accurate books of account and other records of the Company at its principal executive office or at such other location determined by the Board. No Member (other than, so long as each holds an interest in the Company, Pubco and Holdings) shall have any right to inspect the books and records of the Company or any of its Subsidiaries.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PUBCO OWNERSHIP; RESTRICTIONS ON PUBCO STOCK</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Pubco Ownership</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67" w:lineRule="auto"/>
        <w:tabs>
          <w:tab w:leader="none" w:pos="123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If at any time Pubco issues a share of Class A Common Stock or any other Equity Security of Pubco entitled to any economic rights (including, without limitation, in the IPO or pursuant to equity compensation plans or outstanding options, rights, warrants or other awards thereunder or pursuant to Share Settlements of Redemptions under Article IX) (an “</w:t>
      </w:r>
      <w:r>
        <w:rPr>
          <w:rFonts w:ascii="Arial" w:cs="Arial" w:eastAsia="Arial" w:hAnsi="Arial"/>
          <w:sz w:val="17"/>
          <w:szCs w:val="17"/>
          <w:u w:val="single" w:color="auto"/>
          <w:color w:val="auto"/>
        </w:rPr>
        <w:t>Economic Pubco Security</w:t>
      </w:r>
      <w:r>
        <w:rPr>
          <w:rFonts w:ascii="Arial" w:cs="Arial" w:eastAsia="Arial" w:hAnsi="Arial"/>
          <w:sz w:val="17"/>
          <w:szCs w:val="17"/>
          <w:color w:val="auto"/>
        </w:rPr>
        <w:t xml:space="preserve">”) with regard thereto (not including, for the avoidance of doubt, the Class B Common Stock or other Equity Security of Pubco not entitled to any economic rights with respect thereto), (i) the Company shall issue to Pubco one Nonvoting Common Unit (if Pubco issues a share of Class A Common Stock) or such other Equity Security of the Company (if Pubco issues an Economic Pubco Security other than Class A Common Stock) corresponding to the Economic Pubco Security, and with substantially the same rights to dividends and distributions (including distributions upon liquidation) and other economic rights as those of such Economic Pubco Security and (ii) the net proceeds received by Pubco with respect to the corresponding Economic Pubco Security, if any, shall be concurrently contributed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Pubco issues any Economic Pubco Securities, some or all of the net proceeds of which are to be used to fund expenses or other obligations of Pubco for which Pubco would be permitted a distribution pursuant to Section 5.03(c), then Pubco shall not be required to transfer such net proceeds to the Company which are used or will be used to fund such expenses or obligations (but the Capital Account of Pubco shall be increased by the amount of such net proceeds not contributed to the Company),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Pubco issues any shares of Class A Common Stock in order to purchase or fund the purchase from a Non-Pubco Member of a number of Nonvoting Common Units or to purchase or fund the purchase of shares of Class A Common Stock, in each case equal to the number of shares of Class A Common Stock issued (including, in each case, by way of exchange), then the Company shall not issue any new Nonvoting Common Units in connection therewith and Pubco shall not be required to transfer such net proceeds to the Company (it being understood that such net proceeds shall instead be transferred to the Person from which such purchase was made).</w:t>
      </w:r>
    </w:p>
    <w:p>
      <w:pPr>
        <w:spacing w:after="0" w:line="80" w:lineRule="exact"/>
        <w:rPr>
          <w:rFonts w:ascii="Arial" w:cs="Arial" w:eastAsia="Arial" w:hAnsi="Arial"/>
          <w:sz w:val="17"/>
          <w:szCs w:val="17"/>
          <w:color w:val="auto"/>
        </w:rPr>
      </w:pPr>
    </w:p>
    <w:p>
      <w:pPr>
        <w:ind w:right="20" w:firstLine="981"/>
        <w:spacing w:after="0" w:line="273" w:lineRule="auto"/>
        <w:tabs>
          <w:tab w:leader="none" w:pos="124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Notwithstanding Section 4.01(a), this Article IV shall not apply (i) to the issuance and distribution to holders of shares of Pubco Common Stock of rights to purchase Equity Securities of Pubco under a “poison pill” or similar stockholders rights plan (it being understood that upon a Redemption, such Class A Common Stock will be issued together with a corresponding right) or (ii) to the issuance under Pubco’s employee benefit plans or directors’ compensation plan of any warrants, options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rights, warrants, options or other rights or property.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Restrictions on Pubco Common Stock</w:t>
      </w:r>
      <w:r>
        <w:rPr>
          <w:rFonts w:ascii="Arial" w:cs="Arial" w:eastAsia="Arial" w:hAnsi="Arial"/>
          <w:sz w:val="18"/>
          <w:szCs w:val="18"/>
          <w:color w:val="auto"/>
        </w:rPr>
        <w:t>.</w:t>
      </w:r>
    </w:p>
    <w:p>
      <w:pPr>
        <w:spacing w:after="0" w:line="117" w:lineRule="exact"/>
        <w:rPr>
          <w:sz w:val="20"/>
          <w:szCs w:val="20"/>
          <w:color w:val="auto"/>
        </w:rPr>
      </w:pPr>
    </w:p>
    <w:p>
      <w:pPr>
        <w:ind w:right="80" w:firstLine="981"/>
        <w:spacing w:after="0" w:line="293" w:lineRule="auto"/>
        <w:tabs>
          <w:tab w:leader="none" w:pos="123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Except as otherwise determined by the Board in accordance with Section 4.02(d), (i) the Company may not issue any additional Nonvoting Common Units to Pubco or any of its Subsidiaries unless substantially simultaneously therewith, Pubco or such Subsidiary issues or sells an equal number of shares of Class A Common Stock to another Person and (ii) the Company may not issue any other Equity Securities of the Company to Pubco or any of its Subsidiaries unless substantially simultaneously therewith, Pubco or such Subsidiary issues or sells, to another Person, an equal number of shares of a new class or series of Equity Securities of Pubco or such Subsidiary with substantially the same rights to dividends and distributions (including dividends and distributions upon liquidation) and other economic rights as those of such Equity Securities of the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60" w:top="274" w:right="439" w:bottom="1440" w:gutter="0" w:footer="0" w:header="0"/>
        </w:sectPr>
      </w:pPr>
    </w:p>
    <w:bookmarkStart w:id="383" w:name="page384"/>
    <w:bookmarkEnd w:id="383"/>
    <w:p>
      <w:pPr>
        <w:ind w:left="-20" w:firstLine="981"/>
        <w:spacing w:after="0" w:line="284" w:lineRule="auto"/>
        <w:tabs>
          <w:tab w:leader="none" w:pos="1225" w:val="left"/>
        </w:tabs>
        <w:numPr>
          <w:ilvl w:val="0"/>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determined by the Board in accordance with Section 4.02(d), (i) Pubco or any of its Subsidiaries may not redeem, repurchase or otherwise acquire any shares of Class A Common Stock unless substantially simultaneously therewith the Company redeems, repurchases or otherwise acquires from Pubco an equal number of Nonvoting Common Units for the same price per security (or, if Pubco uses funds received from prior distributions from the Company or other funds available to Pubco that were not provided by the Company or the net proceeds from an issuance of shares of Class A Common Stock to fund such redemption, repurchase or acquisition, then the Company shall cancel an equal number of Nonvoting Common Units for no consideration) and (ii) Pubco or any of its Subsidiaries may not redeem or repurchase any other Equity Securities of Pubco unless substantially simultaneously therewith, the Company redeems or repurchases from Pubco an equal number of Equity Securities of the Company of a corresponding class or series with substantially the same rights to dividends and distributions (including dividends and distributions upon liquidation) or other economic rights as those of such Equity Securities of Pubco for the same price per security (or, if Pubco uses funds received from distributions from the Company or the net proceeds from an issuance of Equity Securities other than Class A Common Stock to fund such redemption, repurchase or acquisition, then the Company shall cancel an equal number of its corresponding Equity Securities for no consideration). Except as otherwise determined by the Board in accordance with Section 4.02(d): (x) the Company may not redeem, repurchase or otherwise acquire Nonvoting Common Units from Pubco or any of its Subsidiaries unless substantially simultaneously therewith Pubco or such Subsidiary redeems, repurchases or otherwise acquires an equal number of shares of Class A Common Stock for the same price per security from holders thereof (except that if the Company cancels Nonvoting Common Units for no consideration as described in Section 4.02(b)(i), then the price per security need not be the same) and (y) the Company may not redeem, repurchase or otherwise acquire any other Equity Securities of the Company from Pubco or any of its Subsidiaries unless substantially simultaneously therewith Pubco or such Subsidiary redeems, repurchases or otherwise acquires for the same price per security an equal number of Equity Securities of Pubco of a corresponding class or series with substantially the same rights to dividends and distributions (including dividends and distributions upon liquidation) and other economic rights as those of such Equity Securities of Pubco (except that if the Company cancels Equity Securities for no consideration as described in Section 4.02(b)(ii), then the price per security need not be the same). Notwithstanding the immediately preceding sentence, if any consideration payable to Pubco in connection with the exercise of options or warrants issued for shares of Class A Common Stock consists (in whole or in part) of shares or other Equity Securities of Pubco (including, for the avoidance of doubt, in connection with the cashless or net exercise of an option or warrant), then the redemption or repurchase of the corresponding Nonvoting Common Units or other Equity Securities of the Company shall be effectuated in a substantially equivalent manner (except if the Company cancels Nonvoting Common Units or other Equity Securities for no consideration as described in this Section 4.02(b)).</w:t>
      </w:r>
    </w:p>
    <w:p>
      <w:pPr>
        <w:spacing w:after="0" w:line="60" w:lineRule="exact"/>
        <w:rPr>
          <w:rFonts w:ascii="Arial" w:cs="Arial" w:eastAsia="Arial" w:hAnsi="Arial"/>
          <w:sz w:val="16"/>
          <w:szCs w:val="16"/>
          <w:color w:val="auto"/>
        </w:rPr>
      </w:pPr>
    </w:p>
    <w:p>
      <w:pPr>
        <w:ind w:left="-20" w:right="20" w:firstLine="981"/>
        <w:spacing w:after="0" w:line="290" w:lineRule="auto"/>
        <w:tabs>
          <w:tab w:leader="none" w:pos="121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Company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Nonvoting Common Units unless accompanied by a substantively identical subdivision or combination, as applicable, of the outstanding Class A Common Stock, with corresponding changes made with respect to any other exchangeable or convertible securities. Pubco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Class A Common Stock unless accompanied by a substantively identical subdivision or combination of the outstanding Nonvoting Common Units, with corresponding changes made with respect to any other exchangeable or convertible securities.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80" w:top="273" w:right="459" w:bottom="1440" w:gutter="0" w:footer="0" w:header="0"/>
        </w:sectPr>
      </w:pPr>
    </w:p>
    <w:bookmarkStart w:id="384" w:name="page385"/>
    <w:bookmarkEnd w:id="384"/>
    <w:p>
      <w:pPr>
        <w:ind w:left="1240" w:hanging="259"/>
        <w:spacing w:after="0"/>
        <w:tabs>
          <w:tab w:leader="none" w:pos="12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this Article IV:</w:t>
      </w:r>
    </w:p>
    <w:p>
      <w:pPr>
        <w:spacing w:after="0" w:line="116" w:lineRule="exact"/>
        <w:rPr>
          <w:rFonts w:ascii="Arial" w:cs="Arial" w:eastAsia="Arial" w:hAnsi="Arial"/>
          <w:sz w:val="18"/>
          <w:szCs w:val="18"/>
          <w:color w:val="auto"/>
        </w:rPr>
      </w:pPr>
    </w:p>
    <w:p>
      <w:pPr>
        <w:ind w:right="20" w:firstLine="1421"/>
        <w:spacing w:after="0" w:line="255" w:lineRule="auto"/>
        <w:tabs>
          <w:tab w:leader="none" w:pos="164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if at any time the Board shall determine that any debt instrument of Pubco, the Company or its Subsidiaries shall not permit Pubco or the Company to comply with the provisions of Section 4.02(a) or Section 4.02(b) in connection with the issuance, redemption or repurchase of any shares of Class A Common Stock or other Equity Securities of Pubco or any of its Subsidiaries or any Units or other Equity Securities of the Company, then the Board may in good faith implement an economically equivalent alternative arrangement without complying with such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arrangement shall also be subject to the prior written consent (not to be unreasonably withheld) of Holdings, so long as it holds at least a 10% Economic Percentage Interest; and</w:t>
      </w:r>
    </w:p>
    <w:p>
      <w:pPr>
        <w:spacing w:after="0" w:line="83" w:lineRule="exact"/>
        <w:rPr>
          <w:rFonts w:ascii="Arial" w:cs="Arial" w:eastAsia="Arial" w:hAnsi="Arial"/>
          <w:sz w:val="18"/>
          <w:szCs w:val="18"/>
          <w:color w:val="auto"/>
        </w:rPr>
      </w:pPr>
    </w:p>
    <w:p>
      <w:pPr>
        <w:ind w:firstLine="1421"/>
        <w:spacing w:after="0" w:line="273" w:lineRule="auto"/>
        <w:tabs>
          <w:tab w:leader="none" w:pos="1696" w:val="left"/>
        </w:tabs>
        <w:numPr>
          <w:ilvl w:val="1"/>
          <w:numId w:val="295"/>
        </w:numPr>
        <w:rPr>
          <w:rFonts w:ascii="Arial" w:cs="Arial" w:eastAsia="Arial" w:hAnsi="Arial"/>
          <w:sz w:val="17"/>
          <w:szCs w:val="17"/>
          <w:color w:val="auto"/>
        </w:rPr>
      </w:pPr>
      <w:r>
        <w:rPr>
          <w:rFonts w:ascii="Arial" w:cs="Arial" w:eastAsia="Arial" w:hAnsi="Arial"/>
          <w:sz w:val="17"/>
          <w:szCs w:val="17"/>
          <w:color w:val="auto"/>
        </w:rPr>
        <w:t xml:space="preserve">if (x) Pubco incurs any indebtedness and desires to transfer the proceeds of such indebtedness to the Company and (y) Pubco is unable to lend the proceeds of such indebtedness to the Company on an equivalent basis because of restrictions in any debt instrument of Pubco, the Company or its Subsidiaries, then notwithstanding Section 4.02(a) or Section 4.02(b), the Board may in good faith implement an economically equivalent alternative arrangement in connection with the transfer of proceeds to the Company using non-participating preferred Equity Securities of the Company without complying with such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arrangement shall also be subject to the prior written consent (not to be unreasonably withheld) of Holdings, so long as it holds at least a 10% Economic Percentage Interest.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CONTRIBUTIONS; CAPITAL ACCOUNTS; DISTRIBUTIONS; ALLOCATIONS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w:t>
      </w:r>
    </w:p>
    <w:p>
      <w:pPr>
        <w:spacing w:after="0" w:line="117" w:lineRule="exact"/>
        <w:rPr>
          <w:sz w:val="20"/>
          <w:szCs w:val="20"/>
          <w:color w:val="auto"/>
        </w:rPr>
      </w:pPr>
    </w:p>
    <w:p>
      <w:pPr>
        <w:ind w:right="260" w:firstLine="981"/>
        <w:spacing w:after="0" w:line="277" w:lineRule="auto"/>
        <w:tabs>
          <w:tab w:leader="none" w:pos="12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From and after the date hereof, no Member shall have any obligation to the Company, to any other Member or to any creditor of the Company to make any further Capital Contribution, except as expressly provided in Section 4.01(a) or Section 9.02.</w:t>
      </w:r>
    </w:p>
    <w:p>
      <w:pPr>
        <w:spacing w:after="0" w:line="61" w:lineRule="exact"/>
        <w:rPr>
          <w:rFonts w:ascii="Arial" w:cs="Arial" w:eastAsia="Arial" w:hAnsi="Arial"/>
          <w:sz w:val="18"/>
          <w:szCs w:val="18"/>
          <w:color w:val="auto"/>
        </w:rPr>
      </w:pPr>
    </w:p>
    <w:p>
      <w:pPr>
        <w:ind w:right="360" w:firstLine="981"/>
        <w:spacing w:after="0" w:line="277" w:lineRule="auto"/>
        <w:tabs>
          <w:tab w:leader="none" w:pos="124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Except as expressly provided herein, no Member, in its capacity as a Member, shall have the right to receive any cash or any other property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 Accounts</w:t>
      </w:r>
      <w:r>
        <w:rPr>
          <w:rFonts w:ascii="Arial" w:cs="Arial" w:eastAsia="Arial" w:hAnsi="Arial"/>
          <w:sz w:val="18"/>
          <w:szCs w:val="18"/>
          <w:color w:val="auto"/>
        </w:rPr>
        <w:t>.</w:t>
      </w:r>
    </w:p>
    <w:p>
      <w:pPr>
        <w:spacing w:after="0" w:line="117" w:lineRule="exact"/>
        <w:rPr>
          <w:sz w:val="20"/>
          <w:szCs w:val="20"/>
          <w:color w:val="auto"/>
        </w:rPr>
      </w:pPr>
    </w:p>
    <w:p>
      <w:pPr>
        <w:jc w:val="both"/>
        <w:ind w:right="280" w:firstLine="981"/>
        <w:spacing w:after="0" w:line="263" w:lineRule="auto"/>
        <w:tabs>
          <w:tab w:leader="none" w:pos="1235"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Maintenance of Capital Accounts</w:t>
      </w:r>
      <w:r>
        <w:rPr>
          <w:rFonts w:ascii="Arial" w:cs="Arial" w:eastAsia="Arial" w:hAnsi="Arial"/>
          <w:sz w:val="18"/>
          <w:szCs w:val="18"/>
          <w:color w:val="auto"/>
        </w:rPr>
        <w:t>. The Company shall maintain a Capital Account for each Economic Member on the books of the Company in accordance with the provisions of Treasury Regulations Section 1.704-1(b)(2)(iv) and, to the extent consistent with such provisions, the following provisions:</w:t>
      </w:r>
    </w:p>
    <w:p>
      <w:pPr>
        <w:spacing w:after="0" w:line="74" w:lineRule="exact"/>
        <w:rPr>
          <w:rFonts w:ascii="Arial" w:cs="Arial" w:eastAsia="Arial" w:hAnsi="Arial"/>
          <w:sz w:val="18"/>
          <w:szCs w:val="18"/>
          <w:color w:val="auto"/>
        </w:rPr>
      </w:pPr>
    </w:p>
    <w:p>
      <w:pPr>
        <w:ind w:right="140" w:firstLine="1421"/>
        <w:spacing w:after="0" w:line="287" w:lineRule="auto"/>
        <w:tabs>
          <w:tab w:leader="none" w:pos="1646"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Each Economic Member listed on the Member Schedule shall be credited with the Formation Date Capital Account Balance set forth on the Member Schedule. The Member Schedule shall be amended after the closing of the IPO and from time to time (without the consent or approval of any Member) to reflect adjustments to the Economic Members’ Capital Accounts made in accordance with Section 5.02(a)(ii),</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5.02(a)(iii), Section 5.02(a)(iv), Section 5.02(c) or otherwise.</w:t>
      </w:r>
    </w:p>
    <w:p>
      <w:pPr>
        <w:spacing w:after="0" w:line="102" w:lineRule="exact"/>
        <w:rPr>
          <w:rFonts w:ascii="Arial" w:cs="Arial" w:eastAsia="Arial" w:hAnsi="Arial"/>
          <w:sz w:val="16"/>
          <w:szCs w:val="16"/>
          <w:color w:val="auto"/>
        </w:rPr>
      </w:pPr>
    </w:p>
    <w:p>
      <w:pPr>
        <w:ind w:right="20" w:firstLine="1421"/>
        <w:spacing w:after="0" w:line="259" w:lineRule="auto"/>
        <w:tabs>
          <w:tab w:leader="none" w:pos="169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To each Economic Member’s Capital Account there shall be credited: (A) such Economic Member’s Capital Contributions (without duplication for any amounts credited to such Member’s Capital Account under Section 5.02(a)(i)), (B) such Member’s distributive share of Net Income and any item in the nature of income or gain that is allocated pursuant to Section 5.04 and (C) the amount of any Company liabilities assumed by such Member or that are secured by any Property distributed to such Member.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385" w:name="page386"/>
    <w:bookmarkEnd w:id="385"/>
    <w:p>
      <w:pPr>
        <w:jc w:val="both"/>
        <w:ind w:right="200" w:firstLine="1421"/>
        <w:spacing w:after="0" w:line="279" w:lineRule="auto"/>
        <w:tabs>
          <w:tab w:leader="none" w:pos="1746" w:val="left"/>
        </w:tabs>
        <w:numPr>
          <w:ilvl w:val="0"/>
          <w:numId w:val="2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each Economic Member’s Capital Account there shall be debited: (A) the amount of money and the Carrying Value of any Property distributed to such Member pursuant to any provision of this Agreement, (B) such Member’s distributive share of Net Loss and any items in the nature of expenses or losses that are allocated to such Member pursuant to Section 5.04 and (C) the amount of any liabilities of such Member assumed by the Company or that are secured by any Property contributed by such Member to the Company.</w:t>
      </w:r>
    </w:p>
    <w:p>
      <w:pPr>
        <w:spacing w:after="0" w:line="62" w:lineRule="exact"/>
        <w:rPr>
          <w:rFonts w:ascii="Arial" w:cs="Arial" w:eastAsia="Arial" w:hAnsi="Arial"/>
          <w:sz w:val="17"/>
          <w:szCs w:val="17"/>
          <w:color w:val="auto"/>
        </w:rPr>
      </w:pPr>
    </w:p>
    <w:p>
      <w:pPr>
        <w:ind w:right="260" w:firstLine="1421"/>
        <w:spacing w:after="0" w:line="277" w:lineRule="auto"/>
        <w:tabs>
          <w:tab w:leader="none" w:pos="173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determining the amount of any liability for purposes of Section 5.02(a)(ii) and Section 5.02(a)(iii) there shall be taken into account Section 752(c) of the Code and any other applicable provisions of the Code and the Treasury Regulations.</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Board shall reasonably determine that it is prudent to modify the manner in which the Capital Accounts or any debits or credits thereto are maintained (including debits or credits relating to liabilities that are secured by contributed or distributed Property or that are assumed by the Company or the Members), the Board may make such modification so long as such modification will not have any effect on the amounts distributed to any Person pursuant to Article XI upon the dissolution of the Company. The Board also shall (i) make any adjustments that are necessary or appropriate to maintain equality between Capital Accounts of the Members and the amount of capital reflected on the Company’s balance sheet, as computed for book purposes, in accordance with Treasury Regulations Section 1.704-1(b)(2)(iv)(g), and (ii) make any appropriate modifications in the event unanticipated events might otherwise cause this Agreement not to comply with Treasury Regulations Section 1.704-1(b).</w:t>
      </w:r>
    </w:p>
    <w:p>
      <w:pPr>
        <w:spacing w:after="0" w:line="56" w:lineRule="exact"/>
        <w:rPr>
          <w:sz w:val="20"/>
          <w:szCs w:val="20"/>
          <w:color w:val="auto"/>
        </w:rPr>
      </w:pPr>
    </w:p>
    <w:p>
      <w:pPr>
        <w:ind w:right="180" w:firstLine="981"/>
        <w:spacing w:after="0" w:line="263" w:lineRule="auto"/>
        <w:tabs>
          <w:tab w:leader="none" w:pos="124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Succession to Capital Accounts</w:t>
      </w:r>
      <w:r>
        <w:rPr>
          <w:rFonts w:ascii="Arial" w:cs="Arial" w:eastAsia="Arial" w:hAnsi="Arial"/>
          <w:sz w:val="18"/>
          <w:szCs w:val="18"/>
          <w:color w:val="auto"/>
        </w:rPr>
        <w:t>. In the event any Person becomes a Substitute Member in accordance with the provisions of this Agreement, such Substitute Member shall succeed to the Capital Account of the former Member (the “</w:t>
      </w:r>
      <w:r>
        <w:rPr>
          <w:rFonts w:ascii="Arial" w:cs="Arial" w:eastAsia="Arial" w:hAnsi="Arial"/>
          <w:sz w:val="18"/>
          <w:szCs w:val="18"/>
          <w:u w:val="single" w:color="auto"/>
          <w:color w:val="auto"/>
        </w:rPr>
        <w:t>Transferor Member</w:t>
      </w:r>
      <w:r>
        <w:rPr>
          <w:rFonts w:ascii="Arial" w:cs="Arial" w:eastAsia="Arial" w:hAnsi="Arial"/>
          <w:sz w:val="18"/>
          <w:szCs w:val="18"/>
          <w:color w:val="auto"/>
        </w:rPr>
        <w:t>”) to the extent such Capital Account relates to the Transferred Units.</w:t>
      </w:r>
    </w:p>
    <w:p>
      <w:pPr>
        <w:spacing w:after="0" w:line="74" w:lineRule="exact"/>
        <w:rPr>
          <w:rFonts w:ascii="Arial" w:cs="Arial" w:eastAsia="Arial" w:hAnsi="Arial"/>
          <w:sz w:val="18"/>
          <w:szCs w:val="18"/>
          <w:color w:val="auto"/>
        </w:rPr>
      </w:pPr>
    </w:p>
    <w:p>
      <w:pPr>
        <w:ind w:right="100" w:firstLine="981"/>
        <w:spacing w:after="0" w:line="271" w:lineRule="auto"/>
        <w:tabs>
          <w:tab w:leader="none" w:pos="1235"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Adjustments of Capital Accounts</w:t>
      </w:r>
      <w:r>
        <w:rPr>
          <w:rFonts w:ascii="Arial" w:cs="Arial" w:eastAsia="Arial" w:hAnsi="Arial"/>
          <w:sz w:val="17"/>
          <w:szCs w:val="17"/>
          <w:color w:val="auto"/>
        </w:rPr>
        <w:t>. The Company shall revalue the Capital Accounts of the Members in accordance with Treasury Regulations Section 1.704-1(b)(2)(iv)(f) (a “</w:t>
      </w:r>
      <w:r>
        <w:rPr>
          <w:rFonts w:ascii="Arial" w:cs="Arial" w:eastAsia="Arial" w:hAnsi="Arial"/>
          <w:sz w:val="17"/>
          <w:szCs w:val="17"/>
          <w:u w:val="single" w:color="auto"/>
          <w:color w:val="auto"/>
        </w:rPr>
        <w:t>Revaluation</w:t>
      </w:r>
      <w:r>
        <w:rPr>
          <w:rFonts w:ascii="Arial" w:cs="Arial" w:eastAsia="Arial" w:hAnsi="Arial"/>
          <w:sz w:val="17"/>
          <w:szCs w:val="17"/>
          <w:color w:val="auto"/>
        </w:rPr>
        <w:t xml:space="preserve">”) at the following times: (i) immediately prior to the contribution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money or other property to the Company by a new or existing Member as consideration for one or more Units; (ii) the distribution by the Company to a Member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property in respect of one or more Units; (iii) the issuance by the Company of more than a </w:t>
      </w:r>
      <w:r>
        <w:rPr>
          <w:rFonts w:ascii="Arial" w:cs="Arial" w:eastAsia="Arial" w:hAnsi="Arial"/>
          <w:sz w:val="17"/>
          <w:szCs w:val="17"/>
          <w:i w:val="1"/>
          <w:iCs w:val="1"/>
          <w:color w:val="auto"/>
        </w:rPr>
        <w:t xml:space="preserve">de minimis </w:t>
      </w:r>
      <w:r>
        <w:rPr>
          <w:rFonts w:ascii="Arial" w:cs="Arial" w:eastAsia="Arial" w:hAnsi="Arial"/>
          <w:sz w:val="17"/>
          <w:szCs w:val="17"/>
          <w:color w:val="auto"/>
        </w:rPr>
        <w:t>amount of Units as consideration for the provision of services to or for the benefit of the Company (as described in Treasury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1.704-1(b)(2)(iv)(f)(5)(iii)) and (iv) the liquidation of the Company within the meaning of Treasury Regulations Section 1.704-1(b)(2)(ii)(g);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adjustments pursuant to clauses (i), (ii) and (iii) above shall be made only if the Board reasonably determines that such adjustments are necessary or appropriate to reflect the relative economic interest of the Members.</w:t>
      </w:r>
    </w:p>
    <w:p>
      <w:pPr>
        <w:spacing w:after="0" w:line="68" w:lineRule="exact"/>
        <w:rPr>
          <w:rFonts w:ascii="Arial" w:cs="Arial" w:eastAsia="Arial" w:hAnsi="Arial"/>
          <w:sz w:val="17"/>
          <w:szCs w:val="17"/>
          <w:color w:val="auto"/>
        </w:rPr>
      </w:pPr>
    </w:p>
    <w:p>
      <w:pPr>
        <w:jc w:val="both"/>
        <w:ind w:right="240" w:firstLine="981"/>
        <w:spacing w:after="0" w:line="259" w:lineRule="auto"/>
        <w:tabs>
          <w:tab w:leader="none" w:pos="124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Withdrawal/Distribution Limitations</w:t>
      </w:r>
      <w:r>
        <w:rPr>
          <w:rFonts w:ascii="Arial" w:cs="Arial" w:eastAsia="Arial" w:hAnsi="Arial"/>
          <w:sz w:val="18"/>
          <w:szCs w:val="18"/>
          <w:color w:val="auto"/>
        </w:rPr>
        <w:t>. No Member shall be entitled to withdraw capital or receive distributions except as specifically provided herein. A Member shall have no obligation to the Company, to any other Member or to any creditor of the Company to restore any negative balance in the Capital Account of such Member. Except as expressly provided elsewhere herein, no interest shall be paid on the balance in any Member’s Capital Account.</w:t>
      </w:r>
    </w:p>
    <w:p>
      <w:pPr>
        <w:spacing w:after="0" w:line="77" w:lineRule="exact"/>
        <w:rPr>
          <w:rFonts w:ascii="Arial" w:cs="Arial" w:eastAsia="Arial" w:hAnsi="Arial"/>
          <w:sz w:val="18"/>
          <w:szCs w:val="18"/>
          <w:color w:val="auto"/>
        </w:rPr>
      </w:pPr>
    </w:p>
    <w:p>
      <w:pPr>
        <w:ind w:right="60" w:firstLine="981"/>
        <w:spacing w:after="0" w:line="263" w:lineRule="auto"/>
        <w:tabs>
          <w:tab w:leader="none" w:pos="123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Per Unit Determination</w:t>
      </w:r>
      <w:r>
        <w:rPr>
          <w:rFonts w:ascii="Arial" w:cs="Arial" w:eastAsia="Arial" w:hAnsi="Arial"/>
          <w:sz w:val="18"/>
          <w:szCs w:val="18"/>
          <w:color w:val="auto"/>
        </w:rPr>
        <w:t>. Whenever it is necessary for purposes of this Agreement to determine a Member’s Capital Account on a per Unit basis, such amount shall be determined by dividing the Capital Account of such Member attributable to the applicable class of Units held of record by such Member by the number of Units of such class held of record by such Member.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386" w:name="page387"/>
    <w:bookmarkEnd w:id="3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5.03. </w:t>
      </w:r>
      <w:r>
        <w:rPr>
          <w:rFonts w:ascii="Arial" w:cs="Arial" w:eastAsia="Arial" w:hAnsi="Arial"/>
          <w:sz w:val="18"/>
          <w:szCs w:val="18"/>
          <w:u w:val="single" w:color="auto"/>
          <w:color w:val="auto"/>
        </w:rPr>
        <w:t>Amounts and Priority of Distributions</w:t>
      </w:r>
      <w:r>
        <w:rPr>
          <w:rFonts w:ascii="Arial" w:cs="Arial" w:eastAsia="Arial" w:hAnsi="Arial"/>
          <w:sz w:val="18"/>
          <w:szCs w:val="18"/>
          <w:color w:val="auto"/>
        </w:rPr>
        <w:t>.</w:t>
      </w:r>
    </w:p>
    <w:p>
      <w:pPr>
        <w:spacing w:after="0" w:line="117" w:lineRule="exact"/>
        <w:rPr>
          <w:sz w:val="20"/>
          <w:szCs w:val="20"/>
          <w:color w:val="auto"/>
        </w:rPr>
      </w:pPr>
    </w:p>
    <w:p>
      <w:pPr>
        <w:ind w:right="80" w:firstLine="981"/>
        <w:spacing w:after="0" w:line="275" w:lineRule="auto"/>
        <w:tabs>
          <w:tab w:leader="none" w:pos="1235"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Distributions Generally</w:t>
      </w:r>
      <w:r>
        <w:rPr>
          <w:rFonts w:ascii="Arial" w:cs="Arial" w:eastAsia="Arial" w:hAnsi="Arial"/>
          <w:sz w:val="17"/>
          <w:szCs w:val="17"/>
          <w:color w:val="auto"/>
        </w:rPr>
        <w:t xml:space="preserve">. Except as otherwise provided in Section 11.02, distributions shall be made to the Economic Members as set forth in this Section 5.03, at such times and in such amounts as the Board, in its sole discretion,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distribution will be made hereunder to the extent such distribution would have the effect of rendering the Company insolvent. For purposes of the foregoing sentence, “insolvent” means the inability of the Company to pay its debts as they become due in the usual course of business. For the avoidance of doubt, the Voting Member shall not be entitled to receive any distributions hereunder in its capacity as Voting Member.</w:t>
      </w:r>
    </w:p>
    <w:p>
      <w:pPr>
        <w:spacing w:after="0" w:line="67" w:lineRule="exact"/>
        <w:rPr>
          <w:rFonts w:ascii="Arial" w:cs="Arial" w:eastAsia="Arial" w:hAnsi="Arial"/>
          <w:sz w:val="17"/>
          <w:szCs w:val="17"/>
          <w:color w:val="auto"/>
        </w:rPr>
      </w:pPr>
    </w:p>
    <w:p>
      <w:pPr>
        <w:ind w:right="220" w:firstLine="981"/>
        <w:spacing w:after="0" w:line="341" w:lineRule="auto"/>
        <w:tabs>
          <w:tab w:leader="none" w:pos="1245"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Distributions to the Members</w:t>
      </w:r>
      <w:r>
        <w:rPr>
          <w:rFonts w:ascii="Arial" w:cs="Arial" w:eastAsia="Arial" w:hAnsi="Arial"/>
          <w:sz w:val="16"/>
          <w:szCs w:val="16"/>
          <w:color w:val="auto"/>
        </w:rPr>
        <w:t>. Subject to Section 5.03(e), at such times and in such amounts as the Board, in its sole discretion, shall determine, distributions shall be made to the Economic Members in proportion to their respective Economic Percentage Interests.</w:t>
      </w:r>
    </w:p>
    <w:p>
      <w:pPr>
        <w:spacing w:after="0" w:line="16" w:lineRule="exact"/>
        <w:rPr>
          <w:rFonts w:ascii="Arial" w:cs="Arial" w:eastAsia="Arial" w:hAnsi="Arial"/>
          <w:sz w:val="16"/>
          <w:szCs w:val="16"/>
          <w:color w:val="auto"/>
        </w:rPr>
      </w:pPr>
    </w:p>
    <w:p>
      <w:pPr>
        <w:ind w:firstLine="981"/>
        <w:spacing w:after="0" w:line="286" w:lineRule="auto"/>
        <w:tabs>
          <w:tab w:leader="none" w:pos="1235"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Pubco Distributions.</w:t>
      </w:r>
      <w:r>
        <w:rPr>
          <w:rFonts w:ascii="Arial" w:cs="Arial" w:eastAsia="Arial" w:hAnsi="Arial"/>
          <w:sz w:val="16"/>
          <w:szCs w:val="16"/>
          <w:color w:val="auto"/>
        </w:rPr>
        <w:t xml:space="preserve"> Notwithstanding the provisions of Section 5.03(b), the Board, in its sole discretion, may authorize that cash be paid to Pubco (which payment shall be made without pro rata distributions to the other Members) in exchange for the redemption, repurchase or other acquisition of Nonvoting Common Units held by Pubco to the extent that such cash payment is used to redeem, repurchase or otherwise acquire an equal number of shares of Class A Common Stock in accordance with Section 4.02(b). For the avoidance of doubt, distributions made under this</w:t>
      </w:r>
    </w:p>
    <w:p>
      <w:pPr>
        <w:ind w:right="420"/>
        <w:spacing w:after="0" w:line="260" w:lineRule="auto"/>
        <w:rPr>
          <w:rFonts w:ascii="Arial" w:cs="Arial" w:eastAsia="Arial" w:hAnsi="Arial"/>
          <w:sz w:val="16"/>
          <w:szCs w:val="16"/>
          <w:color w:val="auto"/>
        </w:rPr>
      </w:pPr>
      <w:r>
        <w:rPr>
          <w:rFonts w:ascii="Arial" w:cs="Arial" w:eastAsia="Arial" w:hAnsi="Arial"/>
          <w:sz w:val="18"/>
          <w:szCs w:val="18"/>
          <w:color w:val="auto"/>
        </w:rPr>
        <w:t>Section 5.03(c) may not be used to pay or facilitate dividends or distributions on the Pubco Common Stock and must be used solely for the express purpose set forth under this Section 5.03(c).</w:t>
      </w:r>
    </w:p>
    <w:p>
      <w:pPr>
        <w:spacing w:after="0" w:line="76" w:lineRule="exact"/>
        <w:rPr>
          <w:rFonts w:ascii="Arial" w:cs="Arial" w:eastAsia="Arial" w:hAnsi="Arial"/>
          <w:sz w:val="16"/>
          <w:szCs w:val="16"/>
          <w:color w:val="auto"/>
        </w:rPr>
      </w:pPr>
    </w:p>
    <w:p>
      <w:pPr>
        <w:ind w:right="120" w:firstLine="981"/>
        <w:spacing w:after="0" w:line="256" w:lineRule="auto"/>
        <w:tabs>
          <w:tab w:leader="none" w:pos="1245"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Distributions in Kind</w:t>
      </w:r>
      <w:r>
        <w:rPr>
          <w:rFonts w:ascii="Arial" w:cs="Arial" w:eastAsia="Arial" w:hAnsi="Arial"/>
          <w:sz w:val="18"/>
          <w:szCs w:val="18"/>
          <w:color w:val="auto"/>
        </w:rPr>
        <w:t>. Any distributions to the Economic Members in kind shall be made at such times and in such amounts as the Board, in its sole discretion, shall determine based on their fair market value, as determined by the Board, in the same proportions as if distributed in accordance with Section 5.03(b), with all Economic Members participating in proportion to their respective Economic Percentage Interests. If cash and property are to be distributed in kind simultaneously, the Company shall distribute such cash and property in kind in the same proportion to each Economic Member.</w:t>
      </w:r>
    </w:p>
    <w:p>
      <w:pPr>
        <w:spacing w:after="0" w:line="83" w:lineRule="exact"/>
        <w:rPr>
          <w:rFonts w:ascii="Arial" w:cs="Arial" w:eastAsia="Arial" w:hAnsi="Arial"/>
          <w:sz w:val="18"/>
          <w:szCs w:val="18"/>
          <w:color w:val="auto"/>
        </w:rPr>
      </w:pPr>
    </w:p>
    <w:p>
      <w:pPr>
        <w:ind w:firstLine="981"/>
        <w:spacing w:after="0" w:line="287" w:lineRule="auto"/>
        <w:tabs>
          <w:tab w:leader="none" w:pos="1235"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Tax Distributions</w:t>
      </w:r>
      <w:r>
        <w:rPr>
          <w:rFonts w:ascii="Arial" w:cs="Arial" w:eastAsia="Arial" w:hAnsi="Arial"/>
          <w:sz w:val="16"/>
          <w:szCs w:val="16"/>
          <w:color w:val="auto"/>
        </w:rPr>
        <w:t xml:space="preserve">. Notwithstanding any other provision of this Section 5.03 to the contrary, to the extent permitted by Applicable Law and consistent with the Company’s obligations to its creditors as reasonably determined by the Board, the Company, subject to availability of sufficient cash, shall make quarterly cash distributions by wire transfer of immediately available funds pursuant to this Section 5.03(e) to each Economic Member pro rata, in accordance with the Member’s Economic Percentage Interest, at least two Business Days prior to the date on which any U.S. federal corporate estimated tax payments are due, until each Member has received an amount at least equal to its Assumed Tax Liability, if any, less the amounts previously distributed under Section 5.03 in the then-current taxable year (or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the Board or any Manager, officer or employee of the Company shall have any liability to any Member in connection with any underpayment of estimated taxes, so long as cash distributions are made in accordance with this Section 5.03(e) and the Assumed Tax Liability is determined as provided in the definition of Assumed Tax Liability. For the avoidance of doubt, Tax Distributions shall be made to all Members on a pro rata basis in accordance with their Economic Percentage Interests, notwithstanding the differing actual tax liabilities of such Members. If, on a Tax Distribution date, there are insufficient funds on hand to distribute to the Members the full amount of the Tax Distributions to which such Members 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387" w:name="page388"/>
    <w:bookmarkEnd w:id="387"/>
    <w:p>
      <w:pPr>
        <w:ind w:left="1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entitled, Tax Distributions pursuant to this Section 5.03(e) shall be made to the Members to the extent of available funds in proportion to the amounts that would be otherwise distributable under this Section 5.03(e), and the Company shall make future Tax Distributions as soon as funds become available sufficient to pay the remaining portion of the Tax Distributions to which such Members are otherwise entitled.</w:t>
      </w:r>
    </w:p>
    <w:p>
      <w:pPr>
        <w:spacing w:after="0" w:line="57" w:lineRule="exact"/>
        <w:rPr>
          <w:sz w:val="20"/>
          <w:szCs w:val="20"/>
          <w:color w:val="auto"/>
        </w:rPr>
      </w:pPr>
    </w:p>
    <w:p>
      <w:pPr>
        <w:ind w:left="10" w:right="320" w:firstLine="981"/>
        <w:spacing w:after="0" w:line="263" w:lineRule="auto"/>
        <w:tabs>
          <w:tab w:leader="none" w:pos="1225"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Holdings shall have the right to assign to any Transferee of Nonvoting Common Units, pursuant to a Transfer made in compliance with this Agreement, the right to receive any portion of the amounts distributable or otherwise payable to Holdings pursuant to Section 5.03(b).</w:t>
      </w:r>
    </w:p>
    <w:p>
      <w:pPr>
        <w:spacing w:after="0" w:line="18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Allocations</w:t>
      </w:r>
      <w:r>
        <w:rPr>
          <w:rFonts w:ascii="Arial" w:cs="Arial" w:eastAsia="Arial" w:hAnsi="Arial"/>
          <w:sz w:val="18"/>
          <w:szCs w:val="18"/>
          <w:color w:val="auto"/>
        </w:rPr>
        <w:t>.</w:t>
      </w:r>
    </w:p>
    <w:p>
      <w:pPr>
        <w:spacing w:after="0" w:line="117" w:lineRule="exact"/>
        <w:rPr>
          <w:sz w:val="20"/>
          <w:szCs w:val="20"/>
          <w:color w:val="auto"/>
        </w:rPr>
      </w:pPr>
    </w:p>
    <w:p>
      <w:pPr>
        <w:ind w:left="10" w:firstLine="981"/>
        <w:spacing w:after="0" w:line="284" w:lineRule="auto"/>
        <w:tabs>
          <w:tab w:leader="none" w:pos="1245"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Net Income and Net Loss</w:t>
      </w:r>
      <w:r>
        <w:rPr>
          <w:rFonts w:ascii="Arial" w:cs="Arial" w:eastAsia="Arial" w:hAnsi="Arial"/>
          <w:sz w:val="16"/>
          <w:szCs w:val="16"/>
          <w:color w:val="auto"/>
        </w:rPr>
        <w:t>. Except as otherwise provided in this Agreement, and after giving effect to the special allocations set forth in Section 5.04(b), Section 5.04(c) and Section 5.04(d), Net Income and Net Loss (and, to the extent necessary, individual items of income, gain, loss, deduction or credit) of the Company shall be allocated among the Economic Members in a manner such that the Capital Account of each Economic Member, immediately after making such allocation, is, as nearly as possible, equal to (i) the distributions that would be made to such Economic Member pursuant to Section 5.03(b)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in accordance with Section 5.03(b), to the Economic Members immediately after making such allocation minus</w:t>
      </w:r>
    </w:p>
    <w:p>
      <w:pPr>
        <w:spacing w:after="0" w:line="1" w:lineRule="exact"/>
        <w:rPr>
          <w:rFonts w:ascii="Arial" w:cs="Arial" w:eastAsia="Arial" w:hAnsi="Arial"/>
          <w:sz w:val="16"/>
          <w:szCs w:val="16"/>
          <w:color w:val="auto"/>
        </w:rPr>
      </w:pPr>
    </w:p>
    <w:p>
      <w:pPr>
        <w:ind w:left="10" w:right="260" w:hanging="10"/>
        <w:spacing w:after="0" w:line="260" w:lineRule="auto"/>
        <w:tabs>
          <w:tab w:leader="none" w:pos="2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such Economic Member’s share of Company Minimum Gain and Member Nonrecourse Debt Minimum Gain, computed immediately prior to the hypothetical sale of assets.</w:t>
      </w:r>
    </w:p>
    <w:p>
      <w:pPr>
        <w:spacing w:after="0" w:line="76" w:lineRule="exact"/>
        <w:rPr>
          <w:rFonts w:ascii="Arial" w:cs="Arial" w:eastAsia="Arial" w:hAnsi="Arial"/>
          <w:sz w:val="18"/>
          <w:szCs w:val="18"/>
          <w:color w:val="auto"/>
        </w:rPr>
      </w:pPr>
    </w:p>
    <w:p>
      <w:pPr>
        <w:ind w:left="1250" w:hanging="259"/>
        <w:spacing w:after="0"/>
        <w:tabs>
          <w:tab w:leader="none" w:pos="1250"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Special Allocations</w:t>
      </w:r>
      <w:r>
        <w:rPr>
          <w:rFonts w:ascii="Arial" w:cs="Arial" w:eastAsia="Arial" w:hAnsi="Arial"/>
          <w:sz w:val="18"/>
          <w:szCs w:val="18"/>
          <w:color w:val="auto"/>
        </w:rPr>
        <w:t>. The following special allocations shall be made in the following order:</w:t>
      </w:r>
    </w:p>
    <w:p>
      <w:pPr>
        <w:spacing w:after="0" w:line="116" w:lineRule="exact"/>
        <w:rPr>
          <w:rFonts w:ascii="Arial" w:cs="Arial" w:eastAsia="Arial" w:hAnsi="Arial"/>
          <w:sz w:val="18"/>
          <w:szCs w:val="18"/>
          <w:color w:val="auto"/>
        </w:rPr>
      </w:pPr>
    </w:p>
    <w:p>
      <w:pPr>
        <w:ind w:left="10" w:right="20" w:firstLine="1421"/>
        <w:spacing w:after="0" w:line="290" w:lineRule="auto"/>
        <w:tabs>
          <w:tab w:leader="none" w:pos="1655" w:val="left"/>
        </w:tabs>
        <w:numPr>
          <w:ilvl w:val="2"/>
          <w:numId w:val="303"/>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Except as otherwise provided in Treasury Regulations Section 1.704-2(f), notwithstanding any other provision of this Article V, if there is a net decrease in Company Minimum Gain during any Fiscal Year, each Economic Member shall be specially allocated items of Company income and gain for such Fiscal Year (and, if necessary, subsequent Fiscal Years) in an amount equal to such Economic Member’s share of the net decrease in Company Minimum Gain, determined in accordance with Treasury Regulations Section 1.704-2(g). Allocations pursuant to the immediately preceding sentence shall be made in proportion to the respective amounts required to be allocated to each Economic Member pursuant thereto, and shall be calculated so as to result in the smallest and non-duplicative minimum gain chargebacks. The items to be so allocated shall be determined in accordance with Treasury Regulations Section 1.704-2(f)(6) and 1.704-2(j)(2). This Section 5.04(b)(i) is intended to comply with the minimum gain chargeback requirement in Treasury Regulations Section 1.704-2(f) and shall be interpreted consistently therewith.</w:t>
      </w:r>
    </w:p>
    <w:p>
      <w:pPr>
        <w:spacing w:after="0" w:line="56" w:lineRule="exact"/>
        <w:rPr>
          <w:rFonts w:ascii="Arial" w:cs="Arial" w:eastAsia="Arial" w:hAnsi="Arial"/>
          <w:sz w:val="16"/>
          <w:szCs w:val="16"/>
          <w:color w:val="auto"/>
        </w:rPr>
      </w:pPr>
    </w:p>
    <w:p>
      <w:pPr>
        <w:ind w:left="10" w:firstLine="1421"/>
        <w:spacing w:after="0" w:line="254" w:lineRule="auto"/>
        <w:tabs>
          <w:tab w:leader="none" w:pos="1705" w:val="left"/>
        </w:tabs>
        <w:numPr>
          <w:ilvl w:val="2"/>
          <w:numId w:val="303"/>
        </w:numPr>
        <w:rPr>
          <w:rFonts w:ascii="Arial" w:cs="Arial" w:eastAsia="Arial" w:hAnsi="Arial"/>
          <w:sz w:val="18"/>
          <w:szCs w:val="18"/>
          <w:color w:val="auto"/>
        </w:rPr>
      </w:pPr>
      <w:r>
        <w:rPr>
          <w:rFonts w:ascii="Arial" w:cs="Arial" w:eastAsia="Arial" w:hAnsi="Arial"/>
          <w:sz w:val="18"/>
          <w:szCs w:val="18"/>
          <w:u w:val="single" w:color="auto"/>
          <w:color w:val="auto"/>
        </w:rPr>
        <w:t>Member Minimum Gain Chargeback</w:t>
      </w:r>
      <w:r>
        <w:rPr>
          <w:rFonts w:ascii="Arial" w:cs="Arial" w:eastAsia="Arial" w:hAnsi="Arial"/>
          <w:sz w:val="18"/>
          <w:szCs w:val="18"/>
          <w:color w:val="auto"/>
        </w:rPr>
        <w:t>. Except as otherwise provided in Treasury Regulations Section 1.704-2(i)(4), notwithstanding any other provision of this Article V, if there is a net decrease in Member Nonrecourse Debt Minimum Gain attributable to a Member Nonrecourse Debt during any Fiscal Year, each Economic Member who has a share of the Member Nonrecourse Debt Minimum Gain attributable to such Member Nonrecourse Debt, determined in accordance with Treasury Regulations Section 1.704-2(i)(5), shall be specially allocated items of Company income and gain for such Fiscal Year (and, if necessary, subsequent Fiscal Years) in an amount equal to such Economic Member’s share of the net decrease in Member Nonrecourse Debt Minimum Gain attributable to such Member Nonrecourse Debt, determined in accordance with Treasury Regulations Section 1.704-2(i)(4).</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0"/>
          </w:cols>
          <w:pgMar w:left="450" w:top="273" w:right="459" w:bottom="1440" w:gutter="0" w:footer="0" w:header="0"/>
        </w:sectPr>
      </w:pPr>
    </w:p>
    <w:bookmarkStart w:id="388" w:name="page389"/>
    <w:bookmarkEnd w:id="38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Allocations pursuant to the previous sentence shall be made in proportion to the respective amounts required to be allocated to each Economic Member pursuant thereto. The items to be so allocated shall be determined in accordance with Treasury Regulations Sections 1.704-2(i)(4) and 1.704-2(j)(2). This Section 5.04(b)(ii) is intended to comply with the minimum gain chargeback requirement in Treasury Regulations Section 1.704-2(i)(4) and shall be interpreted consistently therewith.</w:t>
      </w:r>
    </w:p>
    <w:p>
      <w:pPr>
        <w:spacing w:after="0" w:line="78" w:lineRule="exact"/>
        <w:rPr>
          <w:sz w:val="20"/>
          <w:szCs w:val="20"/>
          <w:color w:val="auto"/>
        </w:rPr>
      </w:pPr>
    </w:p>
    <w:p>
      <w:pPr>
        <w:ind w:right="400" w:firstLine="1421"/>
        <w:spacing w:after="0" w:line="254" w:lineRule="auto"/>
        <w:tabs>
          <w:tab w:leader="none" w:pos="1745"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xml:space="preserve">. In the event any Economic Member unexpectedly receives any adjustments, allocations or distributions described in Treasury Regulations Sections 1.704-1(b)(2)(ii)(d)(4), 1.704-1(b)(2)(ii)(d)(5) or Section 1.704-1(b)(2)(ii)(d)(6), items of Company income and gain shall be specially allocated to such Economic Member in an amount and manner sufficient to eliminate, to the extent required by the Treasury Regulations, the Adjusted Capital Account Deficit of the Economic Member as promptly as possible;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allocation pursuant to this Section 5.04(b)(iii) shall be made only if and to the extent that the Economic Member would have an Adjusted Capital Account Deficit after all other allocations provided for in this Article V have been tentatively made as if this Section 5.04(b)(iii) were not in this Agreement.</w:t>
      </w:r>
    </w:p>
    <w:p>
      <w:pPr>
        <w:spacing w:after="0" w:line="85" w:lineRule="exact"/>
        <w:rPr>
          <w:rFonts w:ascii="Arial" w:cs="Arial" w:eastAsia="Arial" w:hAnsi="Arial"/>
          <w:sz w:val="18"/>
          <w:szCs w:val="18"/>
          <w:color w:val="auto"/>
        </w:rPr>
      </w:pPr>
    </w:p>
    <w:p>
      <w:pPr>
        <w:ind w:right="80" w:firstLine="1421"/>
        <w:spacing w:after="0" w:line="277" w:lineRule="auto"/>
        <w:tabs>
          <w:tab w:leader="none" w:pos="1735"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Nonrecourse Deductions for any Fiscal Year shall be specially allocated to the Members in a manner determined by the Board consistent with Treasury Regulations Sections 1.704-2(b) and 1.704-2(c).</w:t>
      </w:r>
    </w:p>
    <w:p>
      <w:pPr>
        <w:spacing w:after="0" w:line="61" w:lineRule="exact"/>
        <w:rPr>
          <w:rFonts w:ascii="Arial" w:cs="Arial" w:eastAsia="Arial" w:hAnsi="Arial"/>
          <w:sz w:val="18"/>
          <w:szCs w:val="18"/>
          <w:color w:val="auto"/>
        </w:rPr>
      </w:pPr>
    </w:p>
    <w:p>
      <w:pPr>
        <w:ind w:right="20" w:firstLine="1421"/>
        <w:spacing w:after="0" w:line="263" w:lineRule="auto"/>
        <w:tabs>
          <w:tab w:leader="none" w:pos="1685"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Any Member Nonrecourse Deductions for any Fiscal Year shall be specially allocated to the Economic Member who bears the economic risk of loss with respect to the Member Nonrecourse Debt to which such Member Nonrecourse Deductions are attributable in accordance with Treasury Regulations Sections 1.704-2(i)(1) and 1.704-2(j)(1).</w:t>
      </w:r>
    </w:p>
    <w:p>
      <w:pPr>
        <w:spacing w:after="0" w:line="74" w:lineRule="exact"/>
        <w:rPr>
          <w:rFonts w:ascii="Arial" w:cs="Arial" w:eastAsia="Arial" w:hAnsi="Arial"/>
          <w:sz w:val="18"/>
          <w:szCs w:val="18"/>
          <w:color w:val="auto"/>
        </w:rPr>
      </w:pPr>
    </w:p>
    <w:p>
      <w:pPr>
        <w:ind w:left="1720" w:hanging="299"/>
        <w:spacing w:after="0"/>
        <w:tabs>
          <w:tab w:leader="none" w:pos="1720"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Section 754 Adjustments</w:t>
      </w:r>
      <w:r>
        <w:rPr>
          <w:rFonts w:ascii="Arial" w:cs="Arial" w:eastAsia="Arial" w:hAnsi="Arial"/>
          <w:sz w:val="17"/>
          <w:szCs w:val="17"/>
          <w:color w:val="auto"/>
        </w:rPr>
        <w:t>. (A) To the extent an adjustment to the adjusted tax basis of any Company asset pursuant to</w:t>
      </w:r>
    </w:p>
    <w:p>
      <w:pPr>
        <w:spacing w:after="0" w:line="3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Sections 734(b) or 743(b) of the Code is required pursuant to Treasury Regulations Section 1.704-1(b)(2)(iv)(m)(4) to be taken into account in determining Capital Accounts as a result of a distribution other than in liquidation of an Economic Member’s interest in the Company, the amount of such adjustment shall be treated as an item of gain (if the adjustment increases the basis of such asset) or loss (if the adjustment decreases the basis of such asset) from the disposition of the asset and shall be taken into account for purposes of computing Net Income and Net Loss. (B) To the extent an adjustment to the adjusted tax basis of any Company asset pursuant to Sections 734(b) or 743(b) of the Code is required, pursuant to Treasury Regulations Sections 1.704-1(b)(2)(iv)(m)(2) or 1.704-1(b)(2)(iv)(m)(4), to be taken into account in determining Capital Accounts as the result of a distribution to an Economic Member in complete liquidation of such Economic Member’s interest in the Company, the amount of such adjustment to Capital Accounts shall be treated as an item of gain (if the adjustment increases the basis of the asset) or loss (if the adjustment decreases such basis) and such gain or loss shall be specially allocated to such Economic Members in accordance with their interests in the Company in the event Treasury Regulations Section 1.704-1(b)(2)(iv)(m)(2) applies, or to the Economic Member to whom such distribution was made in the event Treasury Regulations Section 1.704-1(b)(2)(iv)(m)(4) applies.</w:t>
      </w:r>
    </w:p>
    <w:p>
      <w:pPr>
        <w:spacing w:after="0" w:line="76" w:lineRule="exact"/>
        <w:rPr>
          <w:sz w:val="20"/>
          <w:szCs w:val="20"/>
          <w:color w:val="auto"/>
        </w:rPr>
      </w:pPr>
    </w:p>
    <w:p>
      <w:pPr>
        <w:ind w:firstLine="981"/>
        <w:spacing w:after="0" w:line="275" w:lineRule="auto"/>
        <w:tabs>
          <w:tab w:leader="none" w:pos="1235"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Curative Allocations</w:t>
      </w:r>
      <w:r>
        <w:rPr>
          <w:rFonts w:ascii="Arial" w:cs="Arial" w:eastAsia="Arial" w:hAnsi="Arial"/>
          <w:sz w:val="17"/>
          <w:szCs w:val="17"/>
          <w:color w:val="auto"/>
        </w:rPr>
        <w:t>. The allocations set forth in Section 5.04(b)(i) through Section 5.04(b)(vi) and Section 5.04(d) (the “</w:t>
      </w:r>
      <w:r>
        <w:rPr>
          <w:rFonts w:ascii="Arial" w:cs="Arial" w:eastAsia="Arial" w:hAnsi="Arial"/>
          <w:sz w:val="17"/>
          <w:szCs w:val="17"/>
          <w:u w:val="single" w:color="auto"/>
          <w:color w:val="auto"/>
        </w:rPr>
        <w:t>Regulatory</w:t>
      </w:r>
      <w:r>
        <w:rPr>
          <w:rFonts w:ascii="Arial" w:cs="Arial" w:eastAsia="Arial" w:hAnsi="Arial"/>
          <w:sz w:val="17"/>
          <w:szCs w:val="17"/>
          <w:color w:val="auto"/>
        </w:rPr>
        <w:t xml:space="preserve"> </w:t>
      </w:r>
      <w:r>
        <w:rPr>
          <w:rFonts w:ascii="Arial" w:cs="Arial" w:eastAsia="Arial" w:hAnsi="Arial"/>
          <w:sz w:val="17"/>
          <w:szCs w:val="17"/>
          <w:u w:val="single" w:color="auto"/>
          <w:color w:val="auto"/>
        </w:rPr>
        <w:t>Allocations</w:t>
      </w:r>
      <w:r>
        <w:rPr>
          <w:rFonts w:ascii="Arial" w:cs="Arial" w:eastAsia="Arial" w:hAnsi="Arial"/>
          <w:sz w:val="17"/>
          <w:szCs w:val="17"/>
          <w:color w:val="auto"/>
        </w:rPr>
        <w:t>”) are intended to comply with certain requirements of the Treasury Regulations. It is the intent of the Economic Members that, to the extent possible, all Regulatory Allocations shall be offset either with other Regulatory Allocations or with special allocations of other items of Company income, gain, loss or deduction pursuant to this Section 5.04(c). Therefore, notwithstanding any other provision of this Article V (other than the Regulatory Allocations), the Board shall make such offsetting special allocations of Company income,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60" w:top="274" w:right="519" w:bottom="1440" w:gutter="0" w:footer="0" w:header="0"/>
        </w:sectPr>
      </w:pPr>
    </w:p>
    <w:bookmarkStart w:id="389" w:name="page390"/>
    <w:bookmarkEnd w:id="389"/>
    <w:p>
      <w:pPr>
        <w:jc w:val="both"/>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gain, loss or deduction in whatever manner it determines appropriate so that, after such offsetting allocations are made, each Economic Member’s Capital Account balance is, to the extent possible, equal to the Capital Account balance such Economic Member would have had if the Regulatory Allocations were not part of this Agreement and all Company items were allocated pursuant to Section 5.04(a).</w:t>
      </w:r>
    </w:p>
    <w:p>
      <w:pPr>
        <w:spacing w:after="0" w:line="57" w:lineRule="exact"/>
        <w:rPr>
          <w:sz w:val="20"/>
          <w:szCs w:val="20"/>
          <w:color w:val="auto"/>
        </w:rPr>
      </w:pPr>
    </w:p>
    <w:p>
      <w:pPr>
        <w:jc w:val="both"/>
        <w:ind w:firstLine="981"/>
        <w:spacing w:after="0" w:line="286" w:lineRule="auto"/>
        <w:tabs>
          <w:tab w:leader="none" w:pos="1245"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Loss Limitation</w:t>
      </w:r>
      <w:r>
        <w:rPr>
          <w:rFonts w:ascii="Arial" w:cs="Arial" w:eastAsia="Arial" w:hAnsi="Arial"/>
          <w:sz w:val="16"/>
          <w:szCs w:val="16"/>
          <w:color w:val="auto"/>
        </w:rPr>
        <w:t>. Net Loss (or individual items of loss or deduction) allocated pursuant to Section 5.04 shall not exceed the maximum amount of Net Loss (or individual items of loss or deduction) that can be allocated without causing any Economic Member to have an Adjusted Capital Account Deficit at the end of any Fiscal Year. In the event some but not all of the Economic Members would have Adjusted Capital Account Deficits as a consequence of an allocation of Net Loss (or individual items of loss or deduction) pursuant to Section 5.04, the limitation set forth in this</w:t>
      </w:r>
    </w:p>
    <w:p>
      <w:pPr>
        <w:ind w:right="140"/>
        <w:spacing w:after="0" w:line="281" w:lineRule="auto"/>
        <w:rPr>
          <w:rFonts w:ascii="Arial" w:cs="Arial" w:eastAsia="Arial" w:hAnsi="Arial"/>
          <w:sz w:val="16"/>
          <w:szCs w:val="16"/>
          <w:color w:val="auto"/>
        </w:rPr>
      </w:pPr>
      <w:r>
        <w:rPr>
          <w:rFonts w:ascii="Arial" w:cs="Arial" w:eastAsia="Arial" w:hAnsi="Arial"/>
          <w:sz w:val="16"/>
          <w:szCs w:val="16"/>
          <w:color w:val="auto"/>
        </w:rPr>
        <w:t>Section 5.04(d) shall be applied on a Member by Member basis and Net Loss (or individual items of loss or deduction) not allocable to any Economic Member as a result of such limitation shall be allocated to the other Economic Members in accordance with the positive balances in such Economic Members’ Capital Accounts so as to allocate the maximum permissible Net Loss to each Economic Member under Treasury Regulations</w:t>
      </w:r>
    </w:p>
    <w:p>
      <w:pPr>
        <w:spacing w:after="0" w:line="1" w:lineRule="exact"/>
        <w:rPr>
          <w:rFonts w:ascii="Arial" w:cs="Arial" w:eastAsia="Arial" w:hAnsi="Arial"/>
          <w:sz w:val="16"/>
          <w:szCs w:val="16"/>
          <w:color w:val="auto"/>
        </w:rPr>
      </w:pPr>
    </w:p>
    <w:p>
      <w:pPr>
        <w:ind w:right="520"/>
        <w:spacing w:after="0" w:line="260" w:lineRule="auto"/>
        <w:rPr>
          <w:rFonts w:ascii="Arial" w:cs="Arial" w:eastAsia="Arial" w:hAnsi="Arial"/>
          <w:sz w:val="16"/>
          <w:szCs w:val="16"/>
          <w:color w:val="auto"/>
        </w:rPr>
      </w:pPr>
      <w:r>
        <w:rPr>
          <w:rFonts w:ascii="Arial" w:cs="Arial" w:eastAsia="Arial" w:hAnsi="Arial"/>
          <w:sz w:val="18"/>
          <w:szCs w:val="18"/>
          <w:color w:val="auto"/>
        </w:rPr>
        <w:t>Section 1.704-1(b)(2)(ii)(d). Any reallocation of Net Loss pursuant to this Section 5.04(d) shall be subject to chargeback pursuant to the curative allocation provision of Section 5.04(c).</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Other Allocation Rules</w:t>
      </w:r>
      <w:r>
        <w:rPr>
          <w:rFonts w:ascii="Arial" w:cs="Arial" w:eastAsia="Arial" w:hAnsi="Arial"/>
          <w:sz w:val="18"/>
          <w:szCs w:val="18"/>
          <w:color w:val="auto"/>
        </w:rPr>
        <w:t>.</w:t>
      </w:r>
    </w:p>
    <w:p>
      <w:pPr>
        <w:spacing w:after="0" w:line="117" w:lineRule="exact"/>
        <w:rPr>
          <w:sz w:val="20"/>
          <w:szCs w:val="20"/>
          <w:color w:val="auto"/>
        </w:rPr>
      </w:pPr>
    </w:p>
    <w:p>
      <w:pPr>
        <w:ind w:right="20" w:firstLine="981"/>
        <w:spacing w:after="0" w:line="289" w:lineRule="auto"/>
        <w:tabs>
          <w:tab w:leader="none" w:pos="1235"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Interim Allocations Due to Percentage Adjustment</w:t>
      </w:r>
      <w:r>
        <w:rPr>
          <w:rFonts w:ascii="Arial" w:cs="Arial" w:eastAsia="Arial" w:hAnsi="Arial"/>
          <w:sz w:val="16"/>
          <w:szCs w:val="16"/>
          <w:color w:val="auto"/>
        </w:rPr>
        <w:t>. If an Economic Percentage Interest is the subject of a Transfer or the Economic Members’ interests in the Company change pursuant to the terms of this Agreement during any Fiscal Year, the amount of Net Income and Net Loss (or items thereof) to be allocated to the Economic Members for such entire Fiscal Year shall be allocated to the portion of such Fiscal Year which precedes the date of such Transfer or change (and if there shall have been a prior Transfer or change in such Fiscal Year, which commences on the date of such prior Transfer or change) and to the portion of such Fiscal Year which occurs on and after the date of such Transfer or change (and if there shall be a subsequent Transfer or change in such Fiscal Year, which precedes the date of such subsequent Transfer or change) in accordance with Section 706 of the Code and the Treasury Regulations promulgated thereunder as determined by the Board and the amounts of the items so allocated to each such portion shall be credited or charged to the Members, with the consent of Holdings (so long as it remains a Member), in accordance with Section 5.04 as in effect during each such portion of the Fiscal Year in question.</w:t>
      </w:r>
    </w:p>
    <w:p>
      <w:pPr>
        <w:spacing w:after="0" w:line="56" w:lineRule="exact"/>
        <w:rPr>
          <w:rFonts w:ascii="Arial" w:cs="Arial" w:eastAsia="Arial" w:hAnsi="Arial"/>
          <w:sz w:val="16"/>
          <w:szCs w:val="16"/>
          <w:color w:val="auto"/>
        </w:rPr>
      </w:pPr>
    </w:p>
    <w:p>
      <w:pPr>
        <w:ind w:firstLine="981"/>
        <w:spacing w:after="0" w:line="270" w:lineRule="auto"/>
        <w:tabs>
          <w:tab w:leader="none" w:pos="124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Tax Allocations</w:t>
      </w:r>
      <w:r>
        <w:rPr>
          <w:rFonts w:ascii="Arial" w:cs="Arial" w:eastAsia="Arial" w:hAnsi="Arial"/>
          <w:sz w:val="17"/>
          <w:szCs w:val="17"/>
          <w:color w:val="auto"/>
        </w:rPr>
        <w:t>. In accordance with Section 704(c) of the Code and the Treasury Regulations promulgated thereunder, income, gain, loss and deduction with respect to any Property contributed to the capital of the Company and with respect to reverse Code Section 704(c) allocations described in Treasury Regulations Section 1.704-3(a)(6) shall, solely for tax purposes, be allocated among the Members so as to take account of any variation between the adjusted basis of such Property to the Company for federal income tax purposes and its initial Carrying Value or its Carrying Value determined pursuant to Treasury Regulations Section 1.704-1(b)(2)(iv)(f) (computed in accordance with the definition of Carrying Value) using the traditional allocation method under Treasury Regulations Section 1.704-3(b). The Company shall make curative allocations of the resulting tax gain or loss from the sale or disposition of any Property in a manner that is intended to offset the effect of the cumulative amount of any “ceiling rule limitations” with respect to allocations of depreciation or amortization deductions in respect of such Property in the current and all prior Fiscal Years, as outlined in Treasury Regulations Section 1.704-3(c)(3).</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60" w:top="273" w:right="519" w:bottom="1440" w:gutter="0" w:footer="0" w:header="0"/>
        </w:sectPr>
      </w:pPr>
    </w:p>
    <w:bookmarkStart w:id="390" w:name="page391"/>
    <w:bookmarkEnd w:id="390"/>
    <w:p>
      <w:pPr>
        <w:ind w:left="10" w:right="120" w:firstLine="981"/>
        <w:spacing w:after="0" w:line="284" w:lineRule="auto"/>
        <w:tabs>
          <w:tab w:leader="none" w:pos="1245" w:val="left"/>
        </w:tabs>
        <w:numPr>
          <w:ilvl w:val="0"/>
          <w:numId w:val="3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elections or other decisions relating to such allocations shall be made by the Board in any manner that reasonably reflects the purpose and intention of this Agreement. Allocations pursuant to this Section 5.05(b), Section 704(c) of the Code (and the principles thereof) and Treasury Regulations Section 1.704-1(b)(4)(i) are solely for purposes of federal, state and local taxes and shall not affect, or in any way be taken into account in computing, any Economic Member’s Capital Account or share of Net Income, Net Loss, other items or distributions pursuant to any provision of this Agreement. To the extent permissible under Applicable Law, the Board shall allocate the “nonrecourse liabilities” of the Company for purposes of Treasury Regulations Section 1.752-3(a) in a manner that avoids the recognition by the Economic Members of gain pursuant to</w:t>
      </w:r>
    </w:p>
    <w:p>
      <w:pPr>
        <w:spacing w:after="0" w:line="3" w:lineRule="exact"/>
        <w:rPr>
          <w:rFonts w:ascii="Arial" w:cs="Arial" w:eastAsia="Arial" w:hAnsi="Arial"/>
          <w:sz w:val="16"/>
          <w:szCs w:val="16"/>
          <w:color w:val="auto"/>
        </w:rPr>
      </w:pPr>
    </w:p>
    <w:p>
      <w:pPr>
        <w:ind w:left="10" w:right="80"/>
        <w:spacing w:after="0" w:line="289" w:lineRule="auto"/>
        <w:rPr>
          <w:rFonts w:ascii="Arial" w:cs="Arial" w:eastAsia="Arial" w:hAnsi="Arial"/>
          <w:sz w:val="16"/>
          <w:szCs w:val="16"/>
          <w:color w:val="auto"/>
        </w:rPr>
      </w:pPr>
      <w:r>
        <w:rPr>
          <w:rFonts w:ascii="Arial" w:cs="Arial" w:eastAsia="Arial" w:hAnsi="Arial"/>
          <w:sz w:val="17"/>
          <w:szCs w:val="17"/>
          <w:color w:val="auto"/>
        </w:rPr>
        <w:t xml:space="preserve">Section 731(a) of the Code or reduces the aggregate recognition of such gain by the Economic Members for the relevant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allocation shall be subject to the approval of Holdings (such approval not to be unreasonably withheld, conditioned or delayed).</w:t>
      </w:r>
    </w:p>
    <w:p>
      <w:pPr>
        <w:spacing w:after="0" w:line="16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Tax Withholding; Withholding Advances</w:t>
      </w:r>
      <w:r>
        <w:rPr>
          <w:rFonts w:ascii="Arial" w:cs="Arial" w:eastAsia="Arial" w:hAnsi="Arial"/>
          <w:sz w:val="18"/>
          <w:szCs w:val="18"/>
          <w:color w:val="auto"/>
        </w:rPr>
        <w:t>.</w:t>
      </w:r>
    </w:p>
    <w:p>
      <w:pPr>
        <w:spacing w:after="0" w:line="117" w:lineRule="exact"/>
        <w:rPr>
          <w:sz w:val="20"/>
          <w:szCs w:val="20"/>
          <w:color w:val="auto"/>
        </w:rPr>
      </w:pPr>
    </w:p>
    <w:p>
      <w:pPr>
        <w:ind w:left="1230" w:hanging="239"/>
        <w:spacing w:after="0"/>
        <w:tabs>
          <w:tab w:leader="none" w:pos="1230"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60" w:firstLine="1421"/>
        <w:spacing w:after="0" w:line="287" w:lineRule="auto"/>
        <w:tabs>
          <w:tab w:leader="none" w:pos="1655" w:val="left"/>
        </w:tabs>
        <w:numPr>
          <w:ilvl w:val="2"/>
          <w:numId w:val="309"/>
        </w:numPr>
        <w:rPr>
          <w:rFonts w:ascii="Arial" w:cs="Arial" w:eastAsia="Arial" w:hAnsi="Arial"/>
          <w:sz w:val="16"/>
          <w:szCs w:val="16"/>
          <w:color w:val="auto"/>
        </w:rPr>
      </w:pPr>
      <w:r>
        <w:rPr>
          <w:rFonts w:ascii="Arial" w:cs="Arial" w:eastAsia="Arial" w:hAnsi="Arial"/>
          <w:sz w:val="16"/>
          <w:szCs w:val="16"/>
          <w:color w:val="auto"/>
        </w:rPr>
        <w:t>If requested by the Company, each Economic Member shall, if able to do so, deliver to the Company: (A) an affidavit, in a form satisfactory to the Company, that the applicable Economic Member (or its partners, as the case may be) is not subject to withholding under the provisions of any federal, state, local, foreign or other law (including under the Centralized Partnership Audit Regime and Section 1446(f) of the Code);</w:t>
      </w:r>
    </w:p>
    <w:p>
      <w:pPr>
        <w:spacing w:after="0" w:line="1" w:lineRule="exact"/>
        <w:rPr>
          <w:rFonts w:ascii="Arial" w:cs="Arial" w:eastAsia="Arial" w:hAnsi="Arial"/>
          <w:sz w:val="16"/>
          <w:szCs w:val="16"/>
          <w:color w:val="auto"/>
        </w:rPr>
      </w:pPr>
    </w:p>
    <w:p>
      <w:pPr>
        <w:ind w:left="10" w:hanging="10"/>
        <w:spacing w:after="0" w:line="253" w:lineRule="auto"/>
        <w:tabs>
          <w:tab w:leader="none" w:pos="29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certificate that the Company may reasonably request with respect to any such laws; and/or (C) any other form or instrument reasonably requested by the Company relating to any Economic Member’s status under such law. In the event that an Economic Member fails or is unable to deliver to the Company an affidavit described in subclause (A) of this clause (i), the Company may withhold amounts from such Economic Member in accordance with Section 5.06(b).</w:t>
      </w:r>
    </w:p>
    <w:p>
      <w:pPr>
        <w:spacing w:after="0" w:line="84" w:lineRule="exact"/>
        <w:rPr>
          <w:rFonts w:ascii="Arial" w:cs="Arial" w:eastAsia="Arial" w:hAnsi="Arial"/>
          <w:sz w:val="18"/>
          <w:szCs w:val="18"/>
          <w:color w:val="auto"/>
        </w:rPr>
      </w:pPr>
    </w:p>
    <w:p>
      <w:pPr>
        <w:ind w:left="10" w:right="60" w:firstLine="1421"/>
        <w:spacing w:after="0" w:line="270" w:lineRule="auto"/>
        <w:tabs>
          <w:tab w:leader="none" w:pos="1705" w:val="left"/>
        </w:tabs>
        <w:numPr>
          <w:ilvl w:val="2"/>
          <w:numId w:val="310"/>
        </w:numPr>
        <w:rPr>
          <w:rFonts w:ascii="Arial" w:cs="Arial" w:eastAsia="Arial" w:hAnsi="Arial"/>
          <w:sz w:val="17"/>
          <w:szCs w:val="17"/>
          <w:color w:val="auto"/>
        </w:rPr>
      </w:pPr>
      <w:r>
        <w:rPr>
          <w:rFonts w:ascii="Arial" w:cs="Arial" w:eastAsia="Arial" w:hAnsi="Arial"/>
          <w:sz w:val="17"/>
          <w:szCs w:val="17"/>
          <w:color w:val="auto"/>
        </w:rPr>
        <w:t xml:space="preserve">After receipt of a written request of any Economic Member, the Company shall provide such information to such Economic Member and take such other action as may be reasonably necessary to assist such Economic Member in making any necessary filings, applications or elections to obtain any available exemption from, or any available refund of, any withholding imposed by any taxing authority with respect to amounts distributable or items of income allocable to such Economic Member hereunder to the extent not adverse to the Company or any Member. In addition, the Company shall, at the request of any Economic Member, make or cause to be made any such filings, applications or elections referred to in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requesting Economic Member shall cooperate with the Company with respect to any such filing, application or election to the extent reasonably determined by the Company and that any filing fees, taxes or other out-of-pocket expenses reasonably incurred and related thereto shall be paid and borne by such requesting Economic Member or, if there is more than one requesting Economic Member, by such requesting Economic Members in accordance with their Relative Percentage Interests.</w:t>
      </w:r>
    </w:p>
    <w:p>
      <w:pPr>
        <w:spacing w:after="0" w:line="71" w:lineRule="exact"/>
        <w:rPr>
          <w:rFonts w:ascii="Arial" w:cs="Arial" w:eastAsia="Arial" w:hAnsi="Arial"/>
          <w:sz w:val="17"/>
          <w:szCs w:val="17"/>
          <w:color w:val="auto"/>
        </w:rPr>
      </w:pPr>
    </w:p>
    <w:p>
      <w:pPr>
        <w:ind w:left="10" w:right="80" w:firstLine="981"/>
        <w:spacing w:after="0" w:line="256" w:lineRule="auto"/>
        <w:tabs>
          <w:tab w:leader="none" w:pos="1255"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Withholding Advances</w:t>
      </w:r>
      <w:r>
        <w:rPr>
          <w:rFonts w:ascii="Arial" w:cs="Arial" w:eastAsia="Arial" w:hAnsi="Arial"/>
          <w:sz w:val="18"/>
          <w:szCs w:val="18"/>
          <w:color w:val="auto"/>
        </w:rPr>
        <w:t>. To the extent the Company is required by Applicable Law to withhold or to otherwise make tax payments on behalf of or with respect to any Economic Member (e.g., backup withholding, or withholding (or deduction from amounts otherwise due to such Member under this Agreement) of amounts due under the Centralized Partnership Audit Regime or Section 1446(f) of the Code)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Advances</w:t>
      </w:r>
      <w:r>
        <w:rPr>
          <w:rFonts w:ascii="Arial" w:cs="Arial" w:eastAsia="Arial" w:hAnsi="Arial"/>
          <w:sz w:val="18"/>
          <w:szCs w:val="18"/>
          <w:color w:val="auto"/>
        </w:rPr>
        <w:t>”), the Company may withhold or deduct from amounts otherwise due under this Agreement such amounts and make such tax payments as so required.</w:t>
      </w:r>
    </w:p>
    <w:p>
      <w:pPr>
        <w:spacing w:after="0" w:line="83" w:lineRule="exact"/>
        <w:rPr>
          <w:rFonts w:ascii="Arial" w:cs="Arial" w:eastAsia="Arial" w:hAnsi="Arial"/>
          <w:sz w:val="18"/>
          <w:szCs w:val="18"/>
          <w:color w:val="auto"/>
        </w:rPr>
      </w:pPr>
    </w:p>
    <w:p>
      <w:pPr>
        <w:jc w:val="both"/>
        <w:ind w:left="10" w:right="140" w:firstLine="981"/>
        <w:spacing w:after="0" w:line="259" w:lineRule="auto"/>
        <w:tabs>
          <w:tab w:leader="none" w:pos="1245"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Repayment of Withholding Advances</w:t>
      </w:r>
      <w:r>
        <w:rPr>
          <w:rFonts w:ascii="Arial" w:cs="Arial" w:eastAsia="Arial" w:hAnsi="Arial"/>
          <w:sz w:val="18"/>
          <w:szCs w:val="18"/>
          <w:color w:val="auto"/>
        </w:rPr>
        <w:t>. All Withholding Advances made on behalf of an Economic Member, plus interest thereon at a rate equal to the Prime Rate as of the date of such Withholding Advances plus 2.0% per annum, shall (i) be paid on demand by the Economic Member on whose behalf such Withholding Advances were made (it being understood that no such payment shall increase such Member’s Capital Account), or (ii) with the consent of the Board, be repaid by reducing the</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90"/>
          </w:cols>
          <w:pgMar w:left="450" w:top="274" w:right="459" w:bottom="1440" w:gutter="0" w:footer="0" w:header="0"/>
        </w:sectPr>
      </w:pPr>
    </w:p>
    <w:bookmarkStart w:id="391" w:name="page392"/>
    <w:bookmarkEnd w:id="391"/>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the current or next succeeding distribution or distributions that would otherwise have been made to such Economic Member or, if such distributions are not sufficient for that purpose, by so reducing the proceeds of liquidation otherwise payable to such Economic Member. Whenever repayment of a Withholding Advance by an Economic Member is made as described in clause (ii) of this Section 5.06(c), for all other purposes of this Agreement, such Economic Member shall be treated as having received all distributions (whether before or upon any Dissolution Event) unreduced by the amount of such Withholding Advance and interest thereon.</w:t>
      </w:r>
    </w:p>
    <w:p>
      <w:pPr>
        <w:spacing w:after="0" w:line="83" w:lineRule="exact"/>
        <w:rPr>
          <w:sz w:val="20"/>
          <w:szCs w:val="20"/>
          <w:color w:val="auto"/>
        </w:rPr>
      </w:pPr>
    </w:p>
    <w:p>
      <w:pPr>
        <w:jc w:val="both"/>
        <w:ind w:right="280" w:firstLine="981"/>
        <w:spacing w:after="0" w:line="263" w:lineRule="auto"/>
        <w:tabs>
          <w:tab w:leader="none" w:pos="1245"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Withholding Advances — Reimbursement of Liabilities</w:t>
      </w:r>
      <w:r>
        <w:rPr>
          <w:rFonts w:ascii="Arial" w:cs="Arial" w:eastAsia="Arial" w:hAnsi="Arial"/>
          <w:sz w:val="18"/>
          <w:szCs w:val="18"/>
          <w:color w:val="auto"/>
        </w:rPr>
        <w:t>. Each Economic Member hereby agrees to reimburse the Company for any liability with respect to Withholding Advances (including interest thereon) required or made on behalf of or with respect to such Economic Member (including penalties imposed with respect thereto).</w:t>
      </w:r>
    </w:p>
    <w:p>
      <w:pPr>
        <w:spacing w:after="0" w:line="74" w:lineRule="exact"/>
        <w:rPr>
          <w:rFonts w:ascii="Arial" w:cs="Arial" w:eastAsia="Arial" w:hAnsi="Arial"/>
          <w:sz w:val="18"/>
          <w:szCs w:val="18"/>
          <w:color w:val="auto"/>
        </w:rPr>
      </w:pPr>
    </w:p>
    <w:p>
      <w:pPr>
        <w:ind w:right="20" w:firstLine="981"/>
        <w:spacing w:after="0" w:line="277" w:lineRule="auto"/>
        <w:tabs>
          <w:tab w:leader="none" w:pos="1235"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Section 5.06, including any obligations arising therefrom, shall survive the dissolution of the Company or the termination of the Member’s interest in the Company and shall remain binding on the Member.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TAX MATTERS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77" w:lineRule="auto"/>
        <w:tabs>
          <w:tab w:leader="none" w:pos="1235"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Initial Partnership Representative</w:t>
      </w:r>
      <w:r>
        <w:rPr>
          <w:rFonts w:ascii="Arial" w:cs="Arial" w:eastAsia="Arial" w:hAnsi="Arial"/>
          <w:sz w:val="18"/>
          <w:szCs w:val="18"/>
          <w:color w:val="auto"/>
        </w:rPr>
        <w:t>. The Board shall designate the Partnership Representative (and if the Partnership Representative is an entity, an individual to serve as the Designated Individual) of the Company.</w:t>
      </w:r>
    </w:p>
    <w:p>
      <w:pPr>
        <w:spacing w:after="0" w:line="61" w:lineRule="exact"/>
        <w:rPr>
          <w:rFonts w:ascii="Arial" w:cs="Arial" w:eastAsia="Arial" w:hAnsi="Arial"/>
          <w:sz w:val="18"/>
          <w:szCs w:val="18"/>
          <w:color w:val="auto"/>
        </w:rPr>
      </w:pPr>
    </w:p>
    <w:p>
      <w:pPr>
        <w:ind w:firstLine="981"/>
        <w:spacing w:after="0" w:line="287" w:lineRule="auto"/>
        <w:tabs>
          <w:tab w:leader="none" w:pos="1245"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Notwithstanding anything to the contrary herein, all decisions and all actions, including the making of (and decision not to make) elections, that the Partnership Representative is authorized to make or do under the Centralized Partnership Audit Regime or this Agreement may be made by the Partnership Representative only as directed by the Board. The Partnership Representative shall keep the Board fully and timely informed by written notice of any pending or threatened tax action, investigation, claim, controversy or other proceedings involving the Company (each, an “</w:t>
      </w:r>
      <w:r>
        <w:rPr>
          <w:rFonts w:ascii="Arial" w:cs="Arial" w:eastAsia="Arial" w:hAnsi="Arial"/>
          <w:sz w:val="16"/>
          <w:szCs w:val="16"/>
          <w:u w:val="single" w:color="auto"/>
          <w:color w:val="auto"/>
        </w:rPr>
        <w:t>Audit</w:t>
      </w:r>
      <w:r>
        <w:rPr>
          <w:rFonts w:ascii="Arial" w:cs="Arial" w:eastAsia="Arial" w:hAnsi="Arial"/>
          <w:sz w:val="16"/>
          <w:szCs w:val="16"/>
          <w:color w:val="auto"/>
        </w:rPr>
        <w:t xml:space="preserve">”), as well as the commencement of any Audit, the current developments and status of any Audit and the availability of elections, options and different possible actions involving any Audit. Each Member shall fully and timely cooperate with the Partnership Representative for purposes of carrying out the Partnership Representative’s duties as set forth under the Centralized Partnership Audit Regime. The Partnership Representative shall keep each Member informed of all administrative and judicial tax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Partnership Representative settle any Audit (i) that could reasonably be expected to have a significant adverse effect on Pubco without the consent (not to be unreasonably withheld) of Pubco and (ii) without the consent of Holdings if such settlement relates to the treatment of Holdings’ transfer of assets and liabilities to the Company. In addition, the Company shall, upon reasonable request by the Members, cooperate and provide information and access to books and records as is necessary or desirable to assist Members in connection with any Audit related to income of the Company.</w:t>
      </w:r>
    </w:p>
    <w:p>
      <w:pPr>
        <w:spacing w:after="0" w:line="57" w:lineRule="exact"/>
        <w:rPr>
          <w:rFonts w:ascii="Arial" w:cs="Arial" w:eastAsia="Arial" w:hAnsi="Arial"/>
          <w:sz w:val="16"/>
          <w:szCs w:val="16"/>
          <w:color w:val="auto"/>
        </w:rPr>
      </w:pPr>
    </w:p>
    <w:p>
      <w:pPr>
        <w:ind w:right="240" w:firstLine="981"/>
        <w:spacing w:after="0" w:line="275" w:lineRule="auto"/>
        <w:tabs>
          <w:tab w:leader="none" w:pos="1235"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Elections/Adjustments</w:t>
      </w:r>
      <w:r>
        <w:rPr>
          <w:rFonts w:ascii="Arial" w:cs="Arial" w:eastAsia="Arial" w:hAnsi="Arial"/>
          <w:sz w:val="17"/>
          <w:szCs w:val="17"/>
          <w:color w:val="auto"/>
        </w:rPr>
        <w:t>. The Partnership Representative shall have the right to make an annual election under Section 6221(b) of the Code (if eligible) on the Company’s tax return or in connection with an audit, an election under Section 6226 of the Code. If an election under Section 6226 of the Code is made, the Partnership Representative shall furnish to each Member for the year under Audit a statement of the Member’s share of the Member’s assessment as set forth in the Notice of Final Partnership Administrative Adjustment, and each Member shall take such adjustment into account as required under Section 6226(b) of the Code. If the Partnership Representative elects to apply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392" w:name="page393"/>
    <w:bookmarkEnd w:id="392"/>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procedures set forth in Section 6225(c)(2)(A) of the Code (the “amended return option”) or Section 6225(c)(2)(B) of the Code (the “pull in option”), each Member agrees (i) to cooperate with, and to provide on a timely basis to the Partnership Representative, all information required to comply with either the amended return option or the pull in option, and (ii) upon the request of the Partnership Representative, to file any amended U.S. federal income tax return and pay any tax due in connection with such tax return in accordance with Section 6225(c) of the Code (as determined in the Board’s reasonable discretion, taking into account relevant factors) within ten calendar days prior to the date the amount is owed to the IRS (which amount shall not be treated as a Capital Contribution);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Holdings or Pubco be required to file any such amended U.S. federal income tax return without its prior written consent.</w:t>
      </w:r>
    </w:p>
    <w:p>
      <w:pPr>
        <w:spacing w:after="0" w:line="85" w:lineRule="exact"/>
        <w:rPr>
          <w:sz w:val="20"/>
          <w:szCs w:val="20"/>
          <w:color w:val="auto"/>
        </w:rPr>
      </w:pPr>
    </w:p>
    <w:p>
      <w:pPr>
        <w:ind w:right="200" w:firstLine="981"/>
        <w:spacing w:after="0" w:line="277" w:lineRule="auto"/>
        <w:tabs>
          <w:tab w:leader="none" w:pos="1245"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Any direct or indirect cost incurred by the Partnership Representative, acting in its capacity as such, shall be deemed costs and expenses of the Company, and the Company shall reimburse the Partnership Representative for such amounts.</w:t>
      </w:r>
    </w:p>
    <w:p>
      <w:pPr>
        <w:spacing w:after="0" w:line="61" w:lineRule="exact"/>
        <w:rPr>
          <w:rFonts w:ascii="Arial" w:cs="Arial" w:eastAsia="Arial" w:hAnsi="Arial"/>
          <w:sz w:val="18"/>
          <w:szCs w:val="18"/>
          <w:color w:val="auto"/>
        </w:rPr>
      </w:pPr>
    </w:p>
    <w:p>
      <w:pPr>
        <w:jc w:val="both"/>
        <w:ind w:firstLine="981"/>
        <w:spacing w:after="0" w:line="259" w:lineRule="auto"/>
        <w:tabs>
          <w:tab w:leader="none" w:pos="1235"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Section 6.01, including any obligations arising therefrom, shall survive the termination of the Company or the termination of the Member’s interest in the Company and shall remain binding on the Member, the Board, and the Company for the period of time necessary to resolve with the IRS or other federal, state or applicable local tax agency any and all tax matters relating to the Company for taxable years that are subject to the Centralized Partnership Audit Regime.</w:t>
      </w:r>
    </w:p>
    <w:p>
      <w:pPr>
        <w:spacing w:after="0" w:line="18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Section 754 Election</w:t>
      </w:r>
      <w:r>
        <w:rPr>
          <w:rFonts w:ascii="Arial" w:cs="Arial" w:eastAsia="Arial" w:hAnsi="Arial"/>
          <w:sz w:val="18"/>
          <w:szCs w:val="18"/>
          <w:color w:val="auto"/>
        </w:rPr>
        <w:t>. The Company and each of its Subsidiaries that is treated as a partnership for U.S. federal income tax purposes shall have in effect an election under Section 754 of the Code (and a corresponding election under state and local law, as applicable) for each taxable year, and the Board shall not take any action to revoke such election.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OF THE COMPANY</w:t>
      </w:r>
    </w:p>
    <w:p>
      <w:pPr>
        <w:spacing w:after="0" w:line="210"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Establishment of the Board</w:t>
      </w:r>
      <w:r>
        <w:rPr>
          <w:rFonts w:ascii="Arial" w:cs="Arial" w:eastAsia="Arial" w:hAnsi="Arial"/>
          <w:sz w:val="17"/>
          <w:szCs w:val="17"/>
          <w:color w:val="auto"/>
        </w:rPr>
        <w:t>. A board of managers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established and shall be comprised of natural Persons (each, a “</w:t>
      </w:r>
      <w:r>
        <w:rPr>
          <w:rFonts w:ascii="Arial" w:cs="Arial" w:eastAsia="Arial" w:hAnsi="Arial"/>
          <w:sz w:val="17"/>
          <w:szCs w:val="17"/>
          <w:u w:val="single" w:color="auto"/>
          <w:color w:val="auto"/>
        </w:rPr>
        <w:t>Manager</w:t>
      </w:r>
      <w:r>
        <w:rPr>
          <w:rFonts w:ascii="Arial" w:cs="Arial" w:eastAsia="Arial" w:hAnsi="Arial"/>
          <w:sz w:val="17"/>
          <w:szCs w:val="17"/>
          <w:color w:val="auto"/>
        </w:rPr>
        <w:t>”) who shall be appointed in accordance with the provisions of Section 7.02. No Manager need be a Member. Except as otherwise specifically set forth in this Agreement, each member of the Board shall be deemed to be a “manager” for purposes of applying the Delaware LLC Act. Except as expressly provided in this Agreement or the Delaware LLC Act, none of the Members shall have management authority or rights over the Company or its Subsidiaries. The Board and the Officers of the Company are, to the extent of their respective rights and powers set forth in this Agreement, agents of the Company for the purpose of the Company’s and its Subsidiaries’ business, and the actions of the Board and the Officers of the Company, taken in accordance with such rights and powers shall bind the Company (and none of the Members shall have such right). The Board shall be responsible for the oversight of the Company’s operations and overall performance and strategy, while the management of the day-to-day operations of the business of the Company and the execution of business strategy shall be the responsibility of the Officers and employees of the Company and the officers and employees of its Subsidiaries. Except as expressly provided in this Agreement, the Board shall have all necessary powers to carry out the purposes, business and objectives of the Company and its Subsidiaries. The Board may delegate to Members, employees, Officers or agents of the Company or any Subsidiary in its discretion the authority to sign agreements and other documents on behalf of the Company or any Subsidiary.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3" w:right="439" w:bottom="1440" w:gutter="0" w:footer="0" w:header="0"/>
        </w:sectPr>
      </w:pPr>
    </w:p>
    <w:bookmarkStart w:id="393" w:name="page394"/>
    <w:bookmarkEnd w:id="3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Board Composition; Vacancies</w:t>
      </w:r>
      <w:r>
        <w:rPr>
          <w:rFonts w:ascii="Arial" w:cs="Arial" w:eastAsia="Arial" w:hAnsi="Arial"/>
          <w:sz w:val="18"/>
          <w:szCs w:val="18"/>
          <w:color w:val="auto"/>
        </w:rPr>
        <w:t>.</w:t>
      </w:r>
    </w:p>
    <w:p>
      <w:pPr>
        <w:spacing w:after="0" w:line="117" w:lineRule="exact"/>
        <w:rPr>
          <w:sz w:val="20"/>
          <w:szCs w:val="20"/>
          <w:color w:val="auto"/>
        </w:rPr>
      </w:pPr>
    </w:p>
    <w:p>
      <w:pPr>
        <w:ind w:right="120" w:firstLine="981"/>
        <w:spacing w:after="0" w:line="263" w:lineRule="auto"/>
        <w:tabs>
          <w:tab w:leader="none" w:pos="123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number of Managers constituting the Board shall be fixed by the Voting Member from time to time, but shall not be less than five nor more than twelve members. Any vacancies in the Board that occur for any reason, including vacancies that occur by reason of an increase in the number of Managers, may be filled only by the Voting Member.</w:t>
      </w:r>
    </w:p>
    <w:p>
      <w:pPr>
        <w:spacing w:after="0" w:line="74" w:lineRule="exact"/>
        <w:rPr>
          <w:rFonts w:ascii="Arial" w:cs="Arial" w:eastAsia="Arial" w:hAnsi="Arial"/>
          <w:sz w:val="18"/>
          <w:szCs w:val="18"/>
          <w:color w:val="auto"/>
        </w:rPr>
      </w:pPr>
    </w:p>
    <w:p>
      <w:pPr>
        <w:ind w:firstLine="981"/>
        <w:spacing w:after="0" w:line="263" w:lineRule="auto"/>
        <w:tabs>
          <w:tab w:leader="none" w:pos="124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Managers shall elect one of the members of the Board to be chairperson of the Board. The chairperson shall preside at all meetings of the Board, unless absent from such meeting, in which case, if there is a quorum, the Managers present may elect another Manager to preside at such meeting.</w:t>
      </w:r>
    </w:p>
    <w:p>
      <w:pPr>
        <w:spacing w:after="0" w:line="183"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 Manager may be removed at any time, with or without cause, by the Voting Member. A Manager may resign at any time from the Board by delivering his or her written resignation to the Board. Any such resignation shall be effective upon receipt thereof unless it is specified to be effective at some other time or upon the occurrence of some other event. The Board’s acceptance of a resignation shall not be necessary to make it effective.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Meetings</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69" w:lineRule="auto"/>
        <w:tabs>
          <w:tab w:leader="none" w:pos="123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Regular meetings of the Board shall be held on such days and at such times and places either within or without the State of Delaware as shall from time to time be fixed by the chairperson of the Board. Notice of such regular meetings need not be given. Special meetings of the Board may be held at any day, time and place, within or without the State of Delaware, upon the call of the chairperson of the Board or the president or other chief executive officer of the Company, by oral, written, e-mail or other electronically transmitted notice duly given, sent or mailed to each Manager, at such Manager’s last known address, not less than twenty-four hours before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Manager may, at any time, in writing or by e-mail or other electronic transmission, waive notice of any meeting at which he or she may not be or may not have been present. Attendance of a Manager at any meeting shall constitute a waiver of notice of the meeting, except where a Manager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75" w:lineRule="exact"/>
        <w:rPr>
          <w:rFonts w:ascii="Arial" w:cs="Arial" w:eastAsia="Arial" w:hAnsi="Arial"/>
          <w:sz w:val="17"/>
          <w:szCs w:val="17"/>
          <w:color w:val="auto"/>
        </w:rPr>
      </w:pPr>
    </w:p>
    <w:p>
      <w:pPr>
        <w:jc w:val="both"/>
        <w:ind w:right="60" w:firstLine="981"/>
        <w:spacing w:after="0" w:line="263" w:lineRule="auto"/>
        <w:tabs>
          <w:tab w:leader="none" w:pos="124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similar communications equipment whereby all persons participating in the meeting can hear each other, and participation in a meeting in this manner shall constitute presence in person at the meeting.</w:t>
      </w:r>
    </w:p>
    <w:p>
      <w:pPr>
        <w:spacing w:after="0" w:line="74" w:lineRule="exact"/>
        <w:rPr>
          <w:rFonts w:ascii="Arial" w:cs="Arial" w:eastAsia="Arial" w:hAnsi="Arial"/>
          <w:sz w:val="18"/>
          <w:szCs w:val="18"/>
          <w:color w:val="auto"/>
        </w:rPr>
      </w:pPr>
    </w:p>
    <w:p>
      <w:pPr>
        <w:ind w:left="1220" w:hanging="239"/>
        <w:spacing w:after="0"/>
        <w:tabs>
          <w:tab w:leader="none" w:pos="12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Manager shall have one vote on all matters submitted to the Board or any committee thereof.</w:t>
      </w:r>
    </w:p>
    <w:p>
      <w:pPr>
        <w:spacing w:after="0" w:line="225"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Notwithstanding anything herein to the contrary, any action required or permitted to be taken at any meeting of the Board or of any committee thereof may be taken without a meeting if a majority of the Managers or the majority of the members of such committee, as the case may be, execute a consent thereto in writing, or by electronic transmission, setting forth the action so taken. Such consent shall have the same force and effect as a vote at a meeting where a quorum was present and shall be filed with the minutes of proceedings of the Board or such committee, as applicable.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394" w:name="page395"/>
    <w:bookmarkEnd w:id="394"/>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Board then in office shall constitute a quorum at all meetings of the Board, and the act of the majority of the Managers present at any meeting at which a quorum is present shall be the act of the Board, unless a greater number of Managers is required by the Company’s Certificate of Formation, this Agreement or by Applicable Law. At any meeting of Managers, whether or not a quorum is present, the Managers present thereat may adjourn the same from time to time without notice other than announcement at the meeting. A Manager who may be disqualified, by reason of personal interest, from voting on any particular matter before a meeting of the Board may nevertheless be counted for the purpose of constituting a quorum of the Board.</w:t>
      </w:r>
    </w:p>
    <w:p>
      <w:pPr>
        <w:spacing w:after="0" w:line="19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The Board may, by resolution passed by a majority of the Board, fix the terms and amount of compensation payable to any Person for his or her services as Manager, if he or she is not otherwise compensated for services rendered as an Officer or employee of the Company, as an officer or employee of any Subsidiary of the Company, as an officer or employee of Holdings or any Subsidiary of Holdings or as a director of Pubco;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Manager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Managers also may be allowed compensation and expenses similarly incurred. Nothing herein contained shall be construed to preclude any Manager from serving the Company, any Subsidiary of the Company, Holdings, any Subsidiary of Holdings (other than the Company and its Subsidiaries), Pubco or any of their respective Affiliates in any other capacity and receiving compensation therefor.</w:t>
      </w:r>
    </w:p>
    <w:p>
      <w:pPr>
        <w:spacing w:after="0" w:line="17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may, by resolution passed by a majority of the entire Board, designate two or more Managers to constitute an executive committee of the Board which shall have and exercise all of the authority of the Board in the management of the Company, in the intervals between meetings of the Board. In addition, the Board may appoint any other committee or committees, with such members, functions and powers as the Board may designate. The Board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Manager who may be disqualified, by reason of personal interest, from voting on any particular matter before a meeting of a committee may nevertheless be counted for the purpose of constituting a quorum of the committee.</w:t>
      </w:r>
    </w:p>
    <w:p>
      <w:pPr>
        <w:spacing w:after="0" w:line="16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Decisions by the Members</w:t>
      </w:r>
      <w:r>
        <w:rPr>
          <w:rFonts w:ascii="Arial" w:cs="Arial" w:eastAsia="Arial" w:hAnsi="Arial"/>
          <w:sz w:val="18"/>
          <w:szCs w:val="18"/>
          <w:color w:val="auto"/>
        </w:rPr>
        <w:t>. Except as expressly provided herein (including with respect to any special approval rights granted to Holdings hereunder), no Members nor any class of Members shall have any voting rights nor the power or authority to vote, approve or consent to any matter or action taken by the Company. Except as otherwise provided herein, any proposed matter or action subject to the vote, approval or consent of the Members shall require the approval of the Board.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341" w:lineRule="auto"/>
        <w:tabs>
          <w:tab w:leader="none" w:pos="123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Appointment of Officers</w:t>
      </w:r>
      <w:r>
        <w:rPr>
          <w:rFonts w:ascii="Arial" w:cs="Arial" w:eastAsia="Arial" w:hAnsi="Arial"/>
          <w:sz w:val="16"/>
          <w:szCs w:val="16"/>
          <w:color w:val="auto"/>
        </w:rPr>
        <w:t>. The Board may appoint individuals as officers (“</w:t>
      </w:r>
      <w:r>
        <w:rPr>
          <w:rFonts w:ascii="Arial" w:cs="Arial" w:eastAsia="Arial" w:hAnsi="Arial"/>
          <w:sz w:val="16"/>
          <w:szCs w:val="16"/>
          <w:u w:val="single" w:color="auto"/>
          <w:color w:val="auto"/>
        </w:rPr>
        <w:t>Officers</w:t>
      </w:r>
      <w:r>
        <w:rPr>
          <w:rFonts w:ascii="Arial" w:cs="Arial" w:eastAsia="Arial" w:hAnsi="Arial"/>
          <w:sz w:val="16"/>
          <w:szCs w:val="16"/>
          <w:color w:val="auto"/>
        </w:rPr>
        <w:t>”) of the Company, which may include such officers as the Board determines are necessary and appropriate. No Officer need be a Member. An individual may be appointed to more than one office.</w:t>
      </w:r>
    </w:p>
    <w:p>
      <w:pPr>
        <w:spacing w:after="0" w:line="16" w:lineRule="exact"/>
        <w:rPr>
          <w:rFonts w:ascii="Arial" w:cs="Arial" w:eastAsia="Arial" w:hAnsi="Arial"/>
          <w:sz w:val="16"/>
          <w:szCs w:val="16"/>
          <w:color w:val="auto"/>
        </w:rPr>
      </w:pPr>
    </w:p>
    <w:p>
      <w:pPr>
        <w:jc w:val="both"/>
        <w:ind w:right="40" w:firstLine="981"/>
        <w:spacing w:after="0" w:line="263" w:lineRule="auto"/>
        <w:tabs>
          <w:tab w:leader="none" w:pos="1245"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Authority of Officers</w:t>
      </w:r>
      <w:r>
        <w:rPr>
          <w:rFonts w:ascii="Arial" w:cs="Arial" w:eastAsia="Arial" w:hAnsi="Arial"/>
          <w:sz w:val="18"/>
          <w:szCs w:val="18"/>
          <w:color w:val="auto"/>
        </w:rPr>
        <w:t>. The Officers shall have the duties, rights, powers and authority as may be prescribed by the Board from time to time, and shall be responsible for carrying out the Company’s business and affairs on a day-to-day basis, including the execution of business strategy of the Company and its Subsidiaries.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60" w:top="273" w:right="499" w:bottom="1440" w:gutter="0" w:footer="0" w:header="0"/>
        </w:sectPr>
      </w:pPr>
    </w:p>
    <w:bookmarkStart w:id="395" w:name="page396"/>
    <w:bookmarkEnd w:id="395"/>
    <w:p>
      <w:pPr>
        <w:ind w:right="40" w:firstLine="981"/>
        <w:spacing w:after="0" w:line="275" w:lineRule="auto"/>
        <w:tabs>
          <w:tab w:leader="none" w:pos="1235"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Removal, Resignation and Filling of Vacancy of Officers</w:t>
      </w:r>
      <w:r>
        <w:rPr>
          <w:rFonts w:ascii="Arial" w:cs="Arial" w:eastAsia="Arial" w:hAnsi="Arial"/>
          <w:sz w:val="17"/>
          <w:szCs w:val="17"/>
          <w:color w:val="auto"/>
        </w:rPr>
        <w:t xml:space="preserve">. The Board may remove any Officer, for any reason or for no reason, at any time. Any Officer may resign at any time by giving written notice to the Company, and such resignation shall take effect at the date of the receipt of that notice or any later time specified in that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by the Board.</w:t>
      </w:r>
    </w:p>
    <w:p>
      <w:pPr>
        <w:spacing w:after="0" w:line="17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Reimbursement for Expenses</w:t>
      </w:r>
      <w:r>
        <w:rPr>
          <w:rFonts w:ascii="Arial" w:cs="Arial" w:eastAsia="Arial" w:hAnsi="Arial"/>
          <w:sz w:val="16"/>
          <w:szCs w:val="16"/>
          <w:color w:val="auto"/>
        </w:rPr>
        <w:t>. The Members acknowledge and agree that, upon consummation of the IPO, Pubco’s Class A Common Stock is and will continue to be publicly traded and therefore Pubco will have access to the public capital markets and that such status and the services performed by Pubco will inure to the benefit of the Company and all Members; therefore, Pubco shall be reimbursed by the Company for any reasonable out-of-pocket expenses incurred on behalf of the Company, including all fees, expenses and costs of Pubco associated with being a public company (including public reporting obligations, proxy statements, stockholder meetings, stock exchange fees, transfer agent fees, SEC and FINRA filing fees and offering expenses) and maintaining its corporate existence. To the extent practicable, expenses incurred by Pubco on behalf of or for the benefit of the Company shall be billed directly to and paid by the Company and, if and to the extent any reimbursements to Pubco or any of its Affiliates by the Company pursuant to this Section 7.11 constitute gross income to such Person (as opposed to the repayment of advances made by such Person on behalf of the Company), such amounts shall be treated as “guaranteed payments” within the meaning of Code Section 707(c) and shall not be treated as distributions for purposes of computing the Members’ Capital Accounts. Notwithstanding the foregoing, the Company shall not bear any income tax obligations of Pubco or any payments made pursuant to the Tax Matters Agreement or Tax Receivable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TRANSFERS OF INTERESTS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Restrictions on Transfers</w:t>
      </w:r>
      <w:r>
        <w:rPr>
          <w:rFonts w:ascii="Arial" w:cs="Arial" w:eastAsia="Arial" w:hAnsi="Arial"/>
          <w:sz w:val="18"/>
          <w:szCs w:val="18"/>
          <w:color w:val="auto"/>
        </w:rPr>
        <w:t>.</w:t>
      </w:r>
    </w:p>
    <w:p>
      <w:pPr>
        <w:spacing w:after="0" w:line="117" w:lineRule="exact"/>
        <w:rPr>
          <w:sz w:val="20"/>
          <w:szCs w:val="20"/>
          <w:color w:val="auto"/>
        </w:rPr>
      </w:pPr>
    </w:p>
    <w:p>
      <w:pPr>
        <w:ind w:right="20" w:firstLine="981"/>
        <w:spacing w:after="0" w:line="254" w:lineRule="auto"/>
        <w:tabs>
          <w:tab w:leader="none" w:pos="123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as expressly permitted by Section 8.02, and subject to Section 8.01(b), Section 8.01(c), Section 8.01(d) and Section 8.04, any underwriter lock-up agreement applicable to such Member and/or any other agreement between such Member and the Company, Pubco or any of their controlled Affiliates, without the prior written approval of the Board, no Member shall directly or indirectly Transfer all or any part of its Units or any right or economic interest pertaining thereto, including the right to vote or consent on any matter or to receive or have any economic interest in distributions or advances from the Company pursuant thereto. Any such Transfer which is not in compliance with the provisions of this Agreement shall be deemed a Transfer by such Member of Units in violation of this Agreement (and a breach of this Agreement by such Member) and shall be null and void ab initio.</w:t>
      </w:r>
    </w:p>
    <w:p>
      <w:pPr>
        <w:spacing w:after="0" w:line="85" w:lineRule="exact"/>
        <w:rPr>
          <w:rFonts w:ascii="Arial" w:cs="Arial" w:eastAsia="Arial" w:hAnsi="Arial"/>
          <w:sz w:val="18"/>
          <w:szCs w:val="18"/>
          <w:color w:val="auto"/>
        </w:rPr>
      </w:pPr>
    </w:p>
    <w:p>
      <w:pPr>
        <w:ind w:right="500" w:firstLine="981"/>
        <w:spacing w:after="0" w:line="277" w:lineRule="auto"/>
        <w:tabs>
          <w:tab w:leader="none" w:pos="124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as otherwise expressly provided herein, it shall be a condition precedent to any Transfer otherwise permitted or approved pursuant to this Article VIII that:</w:t>
      </w:r>
    </w:p>
    <w:p>
      <w:pPr>
        <w:spacing w:after="0" w:line="61" w:lineRule="exact"/>
        <w:rPr>
          <w:rFonts w:ascii="Arial" w:cs="Arial" w:eastAsia="Arial" w:hAnsi="Arial"/>
          <w:sz w:val="18"/>
          <w:szCs w:val="18"/>
          <w:color w:val="auto"/>
        </w:rPr>
      </w:pPr>
    </w:p>
    <w:p>
      <w:pPr>
        <w:ind w:left="1640" w:hanging="219"/>
        <w:spacing w:after="0"/>
        <w:tabs>
          <w:tab w:leader="none" w:pos="16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Transferor shall have provided to the Company prior written notice of such Transfer; and</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Transfer shall comply with all Applicable Laws.</w:t>
      </w:r>
    </w:p>
    <w:p>
      <w:pPr>
        <w:spacing w:after="0" w:line="116" w:lineRule="exact"/>
        <w:rPr>
          <w:rFonts w:ascii="Arial" w:cs="Arial" w:eastAsia="Arial" w:hAnsi="Arial"/>
          <w:sz w:val="18"/>
          <w:szCs w:val="18"/>
          <w:color w:val="auto"/>
        </w:rPr>
      </w:pPr>
    </w:p>
    <w:p>
      <w:pPr>
        <w:jc w:val="both"/>
        <w:ind w:firstLine="981"/>
        <w:spacing w:after="0" w:line="311" w:lineRule="auto"/>
        <w:tabs>
          <w:tab w:leader="none" w:pos="123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no Member shall directly or indirectly Transfer all or any part of its Units or any right or economic interest pertaining thereto if such Transfer, in the reasonable discretion of the Board, would cause the Company to be classified as a “publicly traded partnership” as that term is defined in Section 7704 of the Code and the Treasury Regulations promulgated thereunder.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4" w:right="459" w:bottom="1440" w:gutter="0" w:footer="0" w:header="0"/>
        </w:sectPr>
      </w:pPr>
    </w:p>
    <w:bookmarkStart w:id="396" w:name="page397"/>
    <w:bookmarkEnd w:id="39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Any Transfer of Units pursuant to this Agreement, including this Article VIII, shall be subject to the provisions of Section 3.01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3.02.</w:t>
      </w:r>
    </w:p>
    <w:p>
      <w:pPr>
        <w:spacing w:after="0" w:line="21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Certain Permitted Transfers</w:t>
      </w:r>
      <w:r>
        <w:rPr>
          <w:rFonts w:ascii="Arial" w:cs="Arial" w:eastAsia="Arial" w:hAnsi="Arial"/>
          <w:sz w:val="18"/>
          <w:szCs w:val="18"/>
          <w:color w:val="auto"/>
        </w:rPr>
        <w:t>. Notwithstanding anything to the contrary herein, the following Transfers shall be permitted without the prior written consent of the Board pursuant to Section 8.01:</w:t>
      </w:r>
    </w:p>
    <w:p>
      <w:pPr>
        <w:spacing w:after="0" w:line="62" w:lineRule="exact"/>
        <w:rPr>
          <w:sz w:val="20"/>
          <w:szCs w:val="20"/>
          <w:color w:val="auto"/>
        </w:rPr>
      </w:pPr>
    </w:p>
    <w:p>
      <w:pPr>
        <w:ind w:left="1220" w:hanging="239"/>
        <w:spacing w:after="0"/>
        <w:tabs>
          <w:tab w:leader="none" w:pos="12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 by any Member of its Units pursuant to a Pubco Offer or Disposition Event;</w:t>
      </w:r>
    </w:p>
    <w:p>
      <w:pPr>
        <w:spacing w:after="0" w:line="116" w:lineRule="exact"/>
        <w:rPr>
          <w:rFonts w:ascii="Arial" w:cs="Arial" w:eastAsia="Arial" w:hAnsi="Arial"/>
          <w:sz w:val="18"/>
          <w:szCs w:val="18"/>
          <w:color w:val="auto"/>
        </w:rPr>
      </w:pPr>
    </w:p>
    <w:p>
      <w:pPr>
        <w:ind w:right="320" w:firstLine="981"/>
        <w:spacing w:after="0" w:line="286" w:lineRule="auto"/>
        <w:tabs>
          <w:tab w:leader="none" w:pos="124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Any Transfer of Units or other Equity Securities by Holdings or its Affiliates (other than Pubco or any of its Subsidiaries) 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Section 8.02(b) shall not apply to any Transfers otherwise described in Section 8.02(c), Section 8.02(d), Section 8.02(e) or Section 8.02(f);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Transfer in reliance on this Section 8.02(b) shall be subject to Section 8.04;</w:t>
      </w:r>
    </w:p>
    <w:p>
      <w:pPr>
        <w:spacing w:after="0" w:line="56" w:lineRule="exact"/>
        <w:rPr>
          <w:rFonts w:ascii="Arial" w:cs="Arial" w:eastAsia="Arial" w:hAnsi="Arial"/>
          <w:sz w:val="17"/>
          <w:szCs w:val="17"/>
          <w:color w:val="auto"/>
        </w:rPr>
      </w:pPr>
    </w:p>
    <w:p>
      <w:pPr>
        <w:ind w:left="1220" w:hanging="239"/>
        <w:spacing w:after="0"/>
        <w:tabs>
          <w:tab w:leader="none" w:pos="12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 by any Member of its Units in connection with a Redemption pursuant to Article IX;</w:t>
      </w:r>
    </w:p>
    <w:p>
      <w:pPr>
        <w:spacing w:after="0" w:line="116" w:lineRule="exact"/>
        <w:rPr>
          <w:rFonts w:ascii="Arial" w:cs="Arial" w:eastAsia="Arial" w:hAnsi="Arial"/>
          <w:sz w:val="18"/>
          <w:szCs w:val="18"/>
          <w:color w:val="auto"/>
        </w:rPr>
      </w:pPr>
    </w:p>
    <w:p>
      <w:pPr>
        <w:ind w:right="440" w:firstLine="981"/>
        <w:spacing w:after="0" w:line="277" w:lineRule="auto"/>
        <w:tabs>
          <w:tab w:leader="none" w:pos="124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 of Registrable Securities (as such term is defined in the Investor Rights Agreement) in accordance with the Investor Rights Agreement;</w:t>
      </w:r>
    </w:p>
    <w:p>
      <w:pPr>
        <w:spacing w:after="0" w:line="61" w:lineRule="exact"/>
        <w:rPr>
          <w:rFonts w:ascii="Arial" w:cs="Arial" w:eastAsia="Arial" w:hAnsi="Arial"/>
          <w:sz w:val="18"/>
          <w:szCs w:val="18"/>
          <w:color w:val="auto"/>
        </w:rPr>
      </w:pPr>
    </w:p>
    <w:p>
      <w:pPr>
        <w:ind w:firstLine="981"/>
        <w:spacing w:after="0" w:line="259" w:lineRule="auto"/>
        <w:tabs>
          <w:tab w:leader="none" w:pos="123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 by Holdings of Units or any other Equity Securities to the shareholders of Holdings in connection with any distribution of any direct or indirect interest of Holdings in the Company (including transfers to a Subsidiary of Holdings in connection with a transaction that is intended to satisfy the requirements of Section 355 or Section 368 of the Code (whether or not accompanied by a merger of such Subsidiary with Pubco or any of its Subsidiaries)); or</w:t>
      </w:r>
    </w:p>
    <w:p>
      <w:pPr>
        <w:spacing w:after="0" w:line="77" w:lineRule="exact"/>
        <w:rPr>
          <w:rFonts w:ascii="Arial" w:cs="Arial" w:eastAsia="Arial" w:hAnsi="Arial"/>
          <w:sz w:val="18"/>
          <w:szCs w:val="18"/>
          <w:color w:val="auto"/>
        </w:rPr>
      </w:pPr>
    </w:p>
    <w:p>
      <w:pPr>
        <w:ind w:left="1200" w:hanging="219"/>
        <w:spacing w:after="0"/>
        <w:tabs>
          <w:tab w:leader="none" w:pos="12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 of shares of Class A Common Stock.</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Registration of Transfers</w:t>
      </w:r>
      <w:r>
        <w:rPr>
          <w:rFonts w:ascii="Arial" w:cs="Arial" w:eastAsia="Arial" w:hAnsi="Arial"/>
          <w:sz w:val="18"/>
          <w:szCs w:val="18"/>
          <w:color w:val="auto"/>
        </w:rPr>
        <w:t>. When any Units are Transferred in accordance with the terms of this Agreement, the Company shall cause such Transfer to be registered on the books of the Company.</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Class B Common Stock Voting Rights</w:t>
      </w:r>
      <w:r>
        <w:rPr>
          <w:rFonts w:ascii="Arial" w:cs="Arial" w:eastAsia="Arial" w:hAnsi="Arial"/>
          <w:sz w:val="18"/>
          <w:szCs w:val="18"/>
          <w:color w:val="auto"/>
        </w:rPr>
        <w:t>. In connection with any (i) Transfer by Holdings or its Affiliates (other than Pubco or any of its Subsidiaries) of any Nonvoting Common Units to any Person other than Holdings, any Affiliates of Holdings or Pubco or any of its Subsidiaries (each, a “</w:t>
      </w:r>
      <w:r>
        <w:rPr>
          <w:rFonts w:ascii="Arial" w:cs="Arial" w:eastAsia="Arial" w:hAnsi="Arial"/>
          <w:sz w:val="18"/>
          <w:szCs w:val="18"/>
          <w:u w:val="single" w:color="auto"/>
          <w:color w:val="auto"/>
        </w:rPr>
        <w:t>Non-Affiliated Transferee</w:t>
      </w:r>
      <w:r>
        <w:rPr>
          <w:rFonts w:ascii="Arial" w:cs="Arial" w:eastAsia="Arial" w:hAnsi="Arial"/>
          <w:sz w:val="18"/>
          <w:szCs w:val="18"/>
          <w:color w:val="auto"/>
        </w:rPr>
        <w:t>”) in reliance on Section 8.02(b), or (ii) issuance of additional Nonvoting Common Units by the Company to any Non-Affiliated Transferee, in either case, the holder of the share of Class B Common Stock shall either grant to such Non-Affiliated Transferee a written proxy, or enter into a written voting agreement or other voting arrangement with such Non-Affiliated Transferee, in either case, which shall provide as follows:</w:t>
      </w:r>
    </w:p>
    <w:p>
      <w:pPr>
        <w:spacing w:after="0" w:line="83" w:lineRule="exact"/>
        <w:rPr>
          <w:sz w:val="20"/>
          <w:szCs w:val="20"/>
          <w:color w:val="auto"/>
        </w:rPr>
      </w:pPr>
    </w:p>
    <w:p>
      <w:pPr>
        <w:ind w:right="460" w:firstLine="981"/>
        <w:spacing w:after="0" w:line="277" w:lineRule="auto"/>
        <w:tabs>
          <w:tab w:leader="none" w:pos="123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specific number or percentage of votes to which the share of Class B Common Stock is entitled that is covered by such proxy, agreement or other arrangement;</w:t>
      </w:r>
    </w:p>
    <w:p>
      <w:pPr>
        <w:spacing w:after="0" w:line="61" w:lineRule="exact"/>
        <w:rPr>
          <w:rFonts w:ascii="Arial" w:cs="Arial" w:eastAsia="Arial" w:hAnsi="Arial"/>
          <w:sz w:val="18"/>
          <w:szCs w:val="18"/>
          <w:color w:val="auto"/>
        </w:rPr>
      </w:pPr>
    </w:p>
    <w:p>
      <w:pPr>
        <w:ind w:right="60" w:firstLine="981"/>
        <w:spacing w:after="0" w:line="255" w:lineRule="auto"/>
        <w:tabs>
          <w:tab w:leader="none" w:pos="124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so long as the holder of the share of Class B Common Stock and its Affiliates (other than Pubco or any of its Subsidiaries) hold in the aggregate more than fifty percent (50%) of the Nonvoting Common Units, such Non-Affiliated Transferee shall have the right, in its discretion, to direct the holder of the share of Class B Common Stock to cast a number of votes to which the outstanding share of Class B Common Stock is entitled on all matters on which stockholders in Pubco generally are entitled to vote (whether at a meeting of stockholders or by written consent) as set forth in such proxy, agreement or other arrangement, which, for the avoidance of doubt, need not provide for any such right until the occurrence of the event described in Section 8.04(c);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60" w:top="274" w:right="439" w:bottom="1440" w:gutter="0" w:footer="0" w:header="0"/>
        </w:sectPr>
      </w:pPr>
    </w:p>
    <w:bookmarkStart w:id="397" w:name="page398"/>
    <w:bookmarkEnd w:id="397"/>
    <w:p>
      <w:pPr>
        <w:ind w:firstLine="981"/>
        <w:spacing w:after="0" w:line="254" w:lineRule="auto"/>
        <w:tabs>
          <w:tab w:leader="none" w:pos="1235"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as of the record date for any meeting of the Pubco stockholders at which such stockholders are entitled to vote, the holder of the share of Class B Common Stock and its Affiliates (other than Pubco or any of its Subsidiaries) holds in the aggregate fifty percent (50%) or less of the Nonvoting Common Units outstanding as of such record date, such Non-Affiliated Transferee shall have the right, in its discretion, to direct the holder of the share of Class B Common Stock to cast a number of votes to which the outstanding share of Class B Common Stock is entitled on all matters on which stockholders in Pubco generally are entitled to vote equal to the number of Nonvoting Common Units held by such Non-Affiliated Transferee (and, for the avoidance of doubt, in the event no such direction is provided by such Non-Affiliated Transferee, the holder of the share of Class B Common Stock shall not otherwise have the right to cast such number of votes subject to such proxy, agreement or other arrangement for which no direction was provided); and</w:t>
      </w:r>
    </w:p>
    <w:p>
      <w:pPr>
        <w:spacing w:after="0" w:line="82" w:lineRule="exact"/>
        <w:rPr>
          <w:rFonts w:ascii="Arial" w:cs="Arial" w:eastAsia="Arial" w:hAnsi="Arial"/>
          <w:sz w:val="18"/>
          <w:szCs w:val="18"/>
          <w:color w:val="auto"/>
        </w:rPr>
      </w:pPr>
    </w:p>
    <w:p>
      <w:pPr>
        <w:ind w:right="80" w:firstLine="981"/>
        <w:spacing w:after="0" w:line="272" w:lineRule="auto"/>
        <w:tabs>
          <w:tab w:leader="none" w:pos="1245"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in the event of a subsequent Transfer by the Non-Affiliated Transferee of Nonvoting Common Units to another Person (which must be permitted by and pursuant to the terms of this Agreement), the Transferor’s rights under the proxy, agreement or other arrangement referenced in this Section 8.04 shall automatically be deemed assigned or transferred, in whole or in part, to such acquiring Person to the extent it acquires associated Nonvoting Common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rights shall not extend to any Affiliates of the holder of the share of Class B Common Stock, and the Transfer of any Nonvoting Common Units by any Non-Affiliated Transferee to the holder of the share of Class B Common Stock or any of its Affiliates (including, for the avoidance of doubt, Pubco or the Company) shall constitute a revocation of the rights granted under such proxy, agreement or other arrangement with respect to such Nonvoting Common Units.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Redemption Right of a Member</w:t>
      </w:r>
      <w:r>
        <w:rPr>
          <w:rFonts w:ascii="Arial" w:cs="Arial" w:eastAsia="Arial" w:hAnsi="Arial"/>
          <w:sz w:val="18"/>
          <w:szCs w:val="18"/>
          <w:color w:val="auto"/>
        </w:rPr>
        <w:t>.</w:t>
      </w:r>
    </w:p>
    <w:p>
      <w:pPr>
        <w:spacing w:after="0" w:line="117" w:lineRule="exact"/>
        <w:rPr>
          <w:sz w:val="20"/>
          <w:szCs w:val="20"/>
          <w:color w:val="auto"/>
        </w:rPr>
      </w:pPr>
    </w:p>
    <w:p>
      <w:pPr>
        <w:ind w:right="80" w:firstLine="981"/>
        <w:spacing w:after="0" w:line="286" w:lineRule="auto"/>
        <w:tabs>
          <w:tab w:leader="none" w:pos="123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the provisions set forth in this Section 9.01, each Member (other than Pubco) shall be entitled to cause the Company to redeem (a “</w:t>
      </w:r>
      <w:r>
        <w:rPr>
          <w:rFonts w:ascii="Arial" w:cs="Arial" w:eastAsia="Arial" w:hAnsi="Arial"/>
          <w:sz w:val="16"/>
          <w:szCs w:val="16"/>
          <w:u w:val="single" w:color="auto"/>
          <w:color w:val="auto"/>
        </w:rPr>
        <w:t>Redemption</w:t>
      </w:r>
      <w:r>
        <w:rPr>
          <w:rFonts w:ascii="Arial" w:cs="Arial" w:eastAsia="Arial" w:hAnsi="Arial"/>
          <w:sz w:val="16"/>
          <w:szCs w:val="16"/>
          <w:color w:val="auto"/>
        </w:rPr>
        <w:t>”) its Nonvoting Common Units (the “</w:t>
      </w:r>
      <w:r>
        <w:rPr>
          <w:rFonts w:ascii="Arial" w:cs="Arial" w:eastAsia="Arial" w:hAnsi="Arial"/>
          <w:sz w:val="16"/>
          <w:szCs w:val="16"/>
          <w:u w:val="single" w:color="auto"/>
          <w:color w:val="auto"/>
        </w:rPr>
        <w:t>Redemption Right</w:t>
      </w:r>
      <w:r>
        <w:rPr>
          <w:rFonts w:ascii="Arial" w:cs="Arial" w:eastAsia="Arial" w:hAnsi="Arial"/>
          <w:sz w:val="16"/>
          <w:szCs w:val="16"/>
          <w:color w:val="auto"/>
        </w:rPr>
        <w:t>”) at any time (subject to any applicable lock-up agreements). A Member desiring to exercise its Redemption Right (the “</w:t>
      </w:r>
      <w:r>
        <w:rPr>
          <w:rFonts w:ascii="Arial" w:cs="Arial" w:eastAsia="Arial" w:hAnsi="Arial"/>
          <w:sz w:val="16"/>
          <w:szCs w:val="16"/>
          <w:u w:val="single" w:color="auto"/>
          <w:color w:val="auto"/>
        </w:rPr>
        <w:t>Redeeming Member</w:t>
      </w:r>
      <w:r>
        <w:rPr>
          <w:rFonts w:ascii="Arial" w:cs="Arial" w:eastAsia="Arial" w:hAnsi="Arial"/>
          <w:sz w:val="16"/>
          <w:szCs w:val="16"/>
          <w:color w:val="auto"/>
        </w:rPr>
        <w:t>”) shall exercise such right by giving written notice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to the Company with a copy to Pubco. The Redemption Notice shall specify the number of Nonvoting Common Units (the “</w:t>
      </w:r>
      <w:r>
        <w:rPr>
          <w:rFonts w:ascii="Arial" w:cs="Arial" w:eastAsia="Arial" w:hAnsi="Arial"/>
          <w:sz w:val="16"/>
          <w:szCs w:val="16"/>
          <w:u w:val="single" w:color="auto"/>
          <w:color w:val="auto"/>
        </w:rPr>
        <w:t>Redeemed Units</w:t>
      </w:r>
      <w:r>
        <w:rPr>
          <w:rFonts w:ascii="Arial" w:cs="Arial" w:eastAsia="Arial" w:hAnsi="Arial"/>
          <w:sz w:val="16"/>
          <w:szCs w:val="16"/>
          <w:color w:val="auto"/>
        </w:rPr>
        <w:t>”) that the Redeeming Member intends to have the Company redeem and a date, not less than seven (7) Business Days nor more than ten (10) Business Days after delivery of such Redemption Notice (unless and to the extent that the Board in its sole discretion agrees in writing to waive such time periods), on which exercise of the Redemption Right shall be completed (the “</w:t>
      </w:r>
      <w:r>
        <w:rPr>
          <w:rFonts w:ascii="Arial" w:cs="Arial" w:eastAsia="Arial" w:hAnsi="Arial"/>
          <w:sz w:val="16"/>
          <w:szCs w:val="16"/>
          <w:u w:val="single" w:color="auto"/>
          <w:color w:val="auto"/>
        </w:rPr>
        <w:t>Redemption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Pubco and the Redeeming Member may change the number of Redeemed Units and/or the Redemption Date specified in such Redemption Notice to another number and/or date by mutual agreement signed in writing by each of them;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Redemption may be conditioned on (i) the Redeeming Member having entered into a valid and binding agreement with a third party for the sale of shares of Class A Common Stock that may be distributed to the Redeeming Member in connection with such proposed Redemption (whether in a tender or exchange offer, private sale or otherwise) and such agreement is subject to customary closing conditions for agreements of such kind and the delivery of the Class A Common Stock by the Redeeming Member to such third party, (ii) the closing of an announced merger, consolidation or other transaction in which the shares of Class A Common Stock that may be distributed to the Redeeming Member in connection with such proposed Redemption would be exchanged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60" w:top="273" w:right="439" w:bottom="1440" w:gutter="0" w:footer="0" w:header="0"/>
        </w:sectPr>
      </w:pPr>
    </w:p>
    <w:bookmarkStart w:id="398" w:name="page399"/>
    <w:bookmarkEnd w:id="39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converted or become exchangeable for or convertible into cash or other securities or property and/or (iii) the closing of an underwritten distribution of the shares of Class A Common Stock that may be distributed to the Redeeming Member in connection with such proposed Redemption. Unless the Redeeming Member timely has delivered a Retraction Notice as provided in Section 9.01(b) or has revoked or delayed a Redemption as provided in Section 9.01(c), on the Redemption Date (to be effective immediately prior to the close of business on the Redemption Date): (A) the Redeeming Member shall transfer and surrender the Redeemed Units to the Company, free and clear of all liens and encumbrances, and (B) the Company shall (x) cancel the Redeemed Units, (y) transfer to the Redeeming Member the consideration to which the Redeeming Member is entitled under</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9.01(b), and (z) if the Units are certificated, issue to the Redeeming Member a certificate for a number of Nonvoting Common Units equal to the difference (if any) between the number of Nonvoting Common Units evidenced by the certificate surrendered by the Redeeming Member pursuant to clause (A) of this Section 9.01(a) and the Redeemed Units.</w:t>
      </w:r>
    </w:p>
    <w:p>
      <w:pPr>
        <w:spacing w:after="0" w:line="81" w:lineRule="exact"/>
        <w:rPr>
          <w:sz w:val="20"/>
          <w:szCs w:val="20"/>
          <w:color w:val="auto"/>
        </w:rPr>
      </w:pPr>
    </w:p>
    <w:p>
      <w:pPr>
        <w:ind w:firstLine="981"/>
        <w:spacing w:after="0" w:line="283" w:lineRule="auto"/>
        <w:tabs>
          <w:tab w:leader="none" w:pos="124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In exercising its Redemption Right, a Redeeming Member shall be entitled to receive the Share Settlement or the Cash Settlement;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the option (as determined by the Board) as provided in Section 9.02 and subject to Section 9.01(d) to select whether the redemption payment is made by means of a Share Settlement or a Cash Settlement. Within three (3) Business Days of delivery of the Redemption Notice, the Company shall give written notice (the “</w:t>
      </w:r>
      <w:r>
        <w:rPr>
          <w:rFonts w:ascii="Arial" w:cs="Arial" w:eastAsia="Arial" w:hAnsi="Arial"/>
          <w:sz w:val="16"/>
          <w:szCs w:val="16"/>
          <w:u w:val="single" w:color="auto"/>
          <w:color w:val="auto"/>
        </w:rPr>
        <w:t>Contribution Notice</w:t>
      </w:r>
      <w:r>
        <w:rPr>
          <w:rFonts w:ascii="Arial" w:cs="Arial" w:eastAsia="Arial" w:hAnsi="Arial"/>
          <w:sz w:val="16"/>
          <w:szCs w:val="16"/>
          <w:color w:val="auto"/>
        </w:rPr>
        <w:t xml:space="preserve">”) to Pubco and to the Redeeming Member of its intended settlement method;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does not timely deliver a Contribution Notice, the Company shall be deemed to have elected the Share Settlement method. If the Company elects the Cash Settlement method, the Redeeming Member may retract its Redemption Notice by giving written notice (the “</w:t>
      </w:r>
      <w:r>
        <w:rPr>
          <w:rFonts w:ascii="Arial" w:cs="Arial" w:eastAsia="Arial" w:hAnsi="Arial"/>
          <w:sz w:val="16"/>
          <w:szCs w:val="16"/>
          <w:u w:val="single" w:color="auto"/>
          <w:color w:val="auto"/>
        </w:rPr>
        <w:t>Retraction Notice</w:t>
      </w:r>
      <w:r>
        <w:rPr>
          <w:rFonts w:ascii="Arial" w:cs="Arial" w:eastAsia="Arial" w:hAnsi="Arial"/>
          <w:sz w:val="16"/>
          <w:szCs w:val="16"/>
          <w:color w:val="auto"/>
        </w:rPr>
        <w:t>”) to the Company (with a copy to Pubco) within two (2) Business Days of delivery of the Contribution Notice. The timely delivery of a Retraction Notice shall terminate all of the Redeeming Member’s, the Company’s and Pubco’s rights and obligations under this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9.01 arising from the Redemption Notice.</w:t>
      </w:r>
    </w:p>
    <w:p>
      <w:pPr>
        <w:spacing w:after="0" w:line="102" w:lineRule="exact"/>
        <w:rPr>
          <w:rFonts w:ascii="Arial" w:cs="Arial" w:eastAsia="Arial" w:hAnsi="Arial"/>
          <w:sz w:val="16"/>
          <w:szCs w:val="16"/>
          <w:color w:val="auto"/>
        </w:rPr>
      </w:pPr>
    </w:p>
    <w:p>
      <w:pPr>
        <w:ind w:firstLine="981"/>
        <w:spacing w:after="0" w:line="285" w:lineRule="auto"/>
        <w:tabs>
          <w:tab w:leader="none" w:pos="123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In the event the Company elects a Share Settlement in connection with a Redemption, a Redeeming Member shall be entitled to revoke its Redemption Notice or delay the consummation of a Redemption if any of the following conditions exists: (i) 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 (ii) Pubco shall have failed to cause any related prospectus to be supplemented by any required prospectus supplement necessary to effect such Redemption; (iii) Pubco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(iv) Pubco shall have disclosed to such Redeeming Member any material non-public information concerning Pubco, the receipt of which could reasonably be determined to result in such Redeeming Member being prohibited or restricted from selling Class A Common Stock at or immediately following the Redemption without disclosure of such information, and Pubco does not permit such Redeeming Member to disclose such information; (v) any stop order relating to the registration statement pursuant to which the Class A Common Stock was to be registered by such Redeeming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Authority that restrains or prohibits the Redemption; (viii) Pubco shall have failed to comply in all material respects with its obligations under the Investor Rights Agreement, and such failure shall have affected the ability of such Redeeming Member to consummate the resale of the Class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60" w:top="274" w:right="459" w:bottom="1440" w:gutter="0" w:footer="0" w:header="0"/>
        </w:sectPr>
      </w:pPr>
    </w:p>
    <w:bookmarkStart w:id="399" w:name="page400"/>
    <w:bookmarkEnd w:id="399"/>
    <w:p>
      <w:pPr>
        <w:ind w:left="1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to be received upon such redemption pursuant to an effective registration statement or (ix) the Redemption Date would occur three</w:t>
      </w:r>
    </w:p>
    <w:p>
      <w:pPr>
        <w:spacing w:after="0" w:line="46" w:lineRule="exact"/>
        <w:rPr>
          <w:sz w:val="20"/>
          <w:szCs w:val="20"/>
          <w:color w:val="auto"/>
        </w:rPr>
      </w:pPr>
    </w:p>
    <w:p>
      <w:pPr>
        <w:ind w:left="10" w:right="40" w:hanging="10"/>
        <w:spacing w:after="0" w:line="269" w:lineRule="auto"/>
        <w:tabs>
          <w:tab w:leader="none" w:pos="26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Business Days or less prior to, or during, a Black-Out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Redeeming Member seek to revoke its Redemption Notice or delay the consummation of such Redemption in reliance on any of the matters contemplated in clauses (i) through (ix) above if the Redeeming Member shall have controlled or intentionally materially influenced any facts, circumstances or Persons in connection therewith (except in the good faith performance of his or her duties as an officer or director of Pubco) in order to provide such Redeeming Member with a basis for such delay or revocation. If a Redeeming Member delays the consummation of a Redemption pursuant to this Section 9.01(c), the Redemption Date shall occur on the fifth (5th) Business Day following the date on which the conditions giving rise to such delay cease to exist (or such earlier day as Pubco, the Company and such Redeeming Member may agree in writing).</w:t>
      </w:r>
    </w:p>
    <w:p>
      <w:pPr>
        <w:spacing w:after="0" w:line="70" w:lineRule="exact"/>
        <w:rPr>
          <w:rFonts w:ascii="Arial" w:cs="Arial" w:eastAsia="Arial" w:hAnsi="Arial"/>
          <w:sz w:val="17"/>
          <w:szCs w:val="17"/>
          <w:color w:val="auto"/>
        </w:rPr>
      </w:pPr>
    </w:p>
    <w:p>
      <w:pPr>
        <w:ind w:left="10" w:right="40" w:firstLine="981"/>
        <w:spacing w:after="0" w:line="253" w:lineRule="auto"/>
        <w:tabs>
          <w:tab w:leader="none" w:pos="125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The number of shares of Class A Common Stock or the Redeemed Units Equivalent that a Redeeming Member is entitled to receive under Section 9.01(b) shall not be adjusted on account of any distributions previously made with respect to the Redeemed Units or dividends previously paid with respect to Class A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however, that a Redeeming Member shall be entitled to receive any and all Tax Distributions that such Redeeming Member otherwise would have received in respect of income allocated to such Member for the portion of any Fiscal Year irrespective of whether such Tax Distribution(s) are declared or made after the Redemption Date.</w:t>
      </w:r>
    </w:p>
    <w:p>
      <w:pPr>
        <w:spacing w:after="0" w:line="86" w:lineRule="exact"/>
        <w:rPr>
          <w:rFonts w:ascii="Arial" w:cs="Arial" w:eastAsia="Arial" w:hAnsi="Arial"/>
          <w:sz w:val="18"/>
          <w:szCs w:val="18"/>
          <w:color w:val="auto"/>
        </w:rPr>
      </w:pPr>
    </w:p>
    <w:p>
      <w:pPr>
        <w:ind w:left="10" w:right="40" w:firstLine="981"/>
        <w:spacing w:after="0" w:line="254" w:lineRule="auto"/>
        <w:tabs>
          <w:tab w:leader="none" w:pos="124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In the event of a reclassification, reorganization, recapitalization or other similar transaction as a result of which the shares of Class A Common Stock are converted into another security, securities or other property, then in exercising its Redemption Right a Redeeming Member shall be entitled, in the case of a Redemption effected using the Share Settlement method, to receive the amount of such security, securities or other property that the Redeeming Member would have received if such Redemption Right had been exercised and the Redemption Date had occurred immediately prior to the record date of such reclassification, reorganization, recapitalization or other similar transaction. For the avoidance of doubt, if there is any reclassification, reorganization, recapitalization or other similar transaction as a result of which the shares of Class A Common Stock are converted into another security, securities or other property, this Section 9.01(e) shall continue to be applicable, mutatis mutandis, with respect to such security or other property.</w:t>
      </w:r>
    </w:p>
    <w:p>
      <w:pPr>
        <w:spacing w:after="0" w:line="82" w:lineRule="exact"/>
        <w:rPr>
          <w:rFonts w:ascii="Arial" w:cs="Arial" w:eastAsia="Arial" w:hAnsi="Arial"/>
          <w:sz w:val="18"/>
          <w:szCs w:val="18"/>
          <w:color w:val="auto"/>
        </w:rPr>
      </w:pPr>
    </w:p>
    <w:p>
      <w:pPr>
        <w:ind w:left="10" w:firstLine="981"/>
        <w:spacing w:after="0" w:line="269" w:lineRule="auto"/>
        <w:tabs>
          <w:tab w:leader="none" w:pos="1225" w:val="left"/>
        </w:tabs>
        <w:numPr>
          <w:ilvl w:val="1"/>
          <w:numId w:val="324"/>
        </w:numPr>
        <w:rPr>
          <w:rFonts w:ascii="Arial" w:cs="Arial" w:eastAsia="Arial" w:hAnsi="Arial"/>
          <w:sz w:val="17"/>
          <w:szCs w:val="17"/>
          <w:color w:val="auto"/>
        </w:rPr>
      </w:pPr>
      <w:r>
        <w:rPr>
          <w:rFonts w:ascii="Arial" w:cs="Arial" w:eastAsia="Arial" w:hAnsi="Arial"/>
          <w:sz w:val="17"/>
          <w:szCs w:val="17"/>
          <w:color w:val="auto"/>
        </w:rPr>
        <w:t>In the event that a tender offer, share exchange offer, issuer bid, take-over bid, recapitalization or similar transaction with respect to Class A Common Stock (a “</w:t>
      </w:r>
      <w:r>
        <w:rPr>
          <w:rFonts w:ascii="Arial" w:cs="Arial" w:eastAsia="Arial" w:hAnsi="Arial"/>
          <w:sz w:val="17"/>
          <w:szCs w:val="17"/>
          <w:u w:val="single" w:color="auto"/>
          <w:color w:val="auto"/>
        </w:rPr>
        <w:t>Pubco Offer</w:t>
      </w:r>
      <w:r>
        <w:rPr>
          <w:rFonts w:ascii="Arial" w:cs="Arial" w:eastAsia="Arial" w:hAnsi="Arial"/>
          <w:sz w:val="17"/>
          <w:szCs w:val="17"/>
          <w:color w:val="auto"/>
        </w:rPr>
        <w:t>”) is proposed by Pubco or is proposed to Pubco or its stockholders and approved by the board of directors of Pubco or is otherwise effected or to be effected with the consent or approval of the board of directors of Pubco, each Member (other than Pubco) shall be permitted to participate in such Pubco Offer by delivery of a Redemption Notice (which Redemption Notice shall be effective immediately prior to the consummation of such Pubco Offer (and, for the avoidance of doubt, shall be contingent upon such Pubco Offer and not be effective if such Pubco Offer is not consummated)). In the case of a Pubco Offer proposed by Pubco, Pubco shall use its reasonable best efforts expeditiously and in good faith to take all such actions and do all such things as are necessary or desirable to enable and permit the Economic Members to participate in such Pubco Offer to the same extent or on an economically equivalent basis as the holders of shares of Class A Common Stock without discrimination. For the avoidance of doubt (but subject to Section 9.01(g)), in no event shall the Members be entitled to receive in such Pubco Offer aggregate consideration for each Nonvoting Common Unit that is greater than the consideration payable in respect of each share of Class A Common Stock in connection with a Pubco Offer.</w:t>
      </w:r>
    </w:p>
    <w:p>
      <w:pPr>
        <w:spacing w:after="0" w:line="11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10"/>
          </w:cols>
          <w:pgMar w:left="450" w:top="274" w:right="439" w:bottom="1440" w:gutter="0" w:footer="0" w:header="0"/>
        </w:sectPr>
      </w:pPr>
    </w:p>
    <w:bookmarkStart w:id="400" w:name="page401"/>
    <w:bookmarkEnd w:id="400"/>
    <w:p>
      <w:pPr>
        <w:ind w:right="200" w:firstLine="981"/>
        <w:spacing w:after="0" w:line="263" w:lineRule="auto"/>
        <w:tabs>
          <w:tab w:leader="none" w:pos="1245"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herein, in Pubco Offer, payments under or in respect of the Tax Receivable Agreement shall not be considered part of the consideration payable in respect of any Nonvoting Common Unit or share of Class A Common Stock in connection with such Pubco Offer for the purposes of Section 9.01(f).</w:t>
      </w:r>
    </w:p>
    <w:p>
      <w:pPr>
        <w:spacing w:after="0" w:line="74" w:lineRule="exact"/>
        <w:rPr>
          <w:rFonts w:ascii="Arial" w:cs="Arial" w:eastAsia="Arial" w:hAnsi="Arial"/>
          <w:sz w:val="18"/>
          <w:szCs w:val="18"/>
          <w:color w:val="auto"/>
        </w:rPr>
      </w:pPr>
    </w:p>
    <w:p>
      <w:pPr>
        <w:ind w:right="640" w:firstLine="981"/>
        <w:spacing w:after="0" w:line="286" w:lineRule="auto"/>
        <w:tabs>
          <w:tab w:leader="none" w:pos="124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neither the Company nor Pubco shall be obligated to effectuate a Redemption if such Redemption could (as determined in the sole discretion of the Board) cause the Company to be treated as a “publicly traded partnership” or to be taxed as corporation pursuant Section 7704 of the Code or successor provisions of the Code.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Election and Contribution of Pubco</w:t>
      </w:r>
      <w:r>
        <w:rPr>
          <w:rFonts w:ascii="Arial" w:cs="Arial" w:eastAsia="Arial" w:hAnsi="Arial"/>
          <w:sz w:val="17"/>
          <w:szCs w:val="17"/>
          <w:color w:val="auto"/>
        </w:rPr>
        <w:t>. In connection with the exercise of a Redeeming Member’s Redemption Rights under</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9.01(a), Pubco shall contribute to the Company the consideration the Redeeming Member is entitled to receive under Section 9.01(b). Unless the Redeeming Member has timely delivered a Retraction Notice as provided in Section 9.01(b), or has revoked or delayed a Redemption as provided in Section 9.01(c), on the Redemption Date (to be effective immediately prior to the close of business on the Redemption Date) (i) Pubco shall make its Capital Contribution to the Company (in the form of the Share Settlement or the Cash Settlement) required under this Section 9.02, and (ii) in the event of a Share Settlement, the Company shall issue to Pubco a number of Nonvoting Common Units equal to the number of Redeemed Units surrendered by the Redeeming Member. Notwithstanding any other provisions of this Agreement to the contrary, in the event that the Company elects a Cash Settlement, Pubco shall be obligated to contribute to the Company only an amount in respect of such Cash Settlement equal to the net proceeds (after deduction of any underwriters’ discounts or commissions and brokers’ fees or commissions) from the sale by Pubco of a number of shares of Class A Common Stock equal to the number of Redeemed Units to be redeemed with such Cash Settlement, which in no event shall exceed the amount paid by the Company to the Redeeming Member as Cash Settlement;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if the Cash Settlement to which the Redeeming Member is entitled exceeds the amount that is contributed to the Company by Pubco, the Company shall still be required to pay the Redeeming Member the full amount of the Cash Settlement. The timely delivery of a Retraction Notice shall terminate all of the Company’s and Pubco’s rights and obligations under this Section 9.02 arising from the Redemption Notice.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Reservation of Shares of Class A Common Stock and other Procedures</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87" w:lineRule="auto"/>
        <w:tabs>
          <w:tab w:leader="none" w:pos="123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At all times Pubco shall reserve and keep available out of its authorized but unissued Class A Common Stock, solely for the purpose of issuance upon a Redemption, such number of shares of Class A Common Stock as shall be issuable upon any such Redemption pursuant to Share Settlements;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be construed to preclude Pubco from satisfying its obligations in respect of any such Redemption by delivery of purchased shares of Class A Common Stock (which may or may not be held in the treasury of Pubco) or the delivery of cash pursuant to a Cash Settlement. Pubco shall deliver shares of Class A Common Stock that have been registered under the Securities Act with respect to any Redemption to the extent a registration statement is effective and available for such shares. Pubco shall use its commercially reasonable efforts to list the shares of Class A Common Stock required to be delivered upon any such Redemption prior to such delivery upon each national securities exchange upon which the outstanding shares of Class A Common Stock are listed or quoted on at the time of such Redemption (it being understood that any such shares may be subject to transfer restrictions under applicable securities laws). Pubco covenants that all shares of Class A Common Stock issued upon a Redemption will, upon issuance, be validly issued, fully paid and non-assessable. The provisions of this Article IX shall be interpreted and applied in a manner consistent with the corresponding provisions of Pubco’s certificate of incorporation.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60" w:top="274" w:right="459" w:bottom="1440" w:gutter="0" w:footer="0" w:header="0"/>
        </w:sectPr>
      </w:pPr>
    </w:p>
    <w:bookmarkStart w:id="401" w:name="page402"/>
    <w:bookmarkEnd w:id="40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shares of Class A Common Stock issued upon a Redemption, if any, shall bear a legend in substantially the following form:</w:t>
      </w:r>
    </w:p>
    <w:p>
      <w:pPr>
        <w:spacing w:after="0" w:line="23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78" w:lineRule="exact"/>
        <w:rPr>
          <w:sz w:val="20"/>
          <w:szCs w:val="20"/>
          <w:color w:val="auto"/>
        </w:rPr>
      </w:pPr>
    </w:p>
    <w:p>
      <w:pPr>
        <w:ind w:right="20" w:firstLine="981"/>
        <w:spacing w:after="0" w:line="254" w:lineRule="auto"/>
        <w:tabs>
          <w:tab w:leader="none" w:pos="123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(i) any shares of Class A Common Stock may be sold pursuant to a registration statement that has been declared effective by the SEC, (ii) all of the applicable conditions of Rule 144 are met or (iii) the legend (or a portion thereof) otherwise ceases to be applicable, Pubco, as applicable, upon the written request of the Member thereof shall promptly provide such Member or its respective transferees, without any expense to such Persons (other than applicable transfer taxes and similar governmental charges, if any), with new certificates (or evidence of book-entry shares) for securities of like tenor not bearing the provisions of the legend with respect to which the restriction has terminated. In connection therewith, such Member shall provide Pubco with such information in its possession as Pubco may reasonably request in connection with the removal of any such legend.</w:t>
      </w:r>
    </w:p>
    <w:p>
      <w:pPr>
        <w:spacing w:after="0" w:line="193" w:lineRule="exact"/>
        <w:rPr>
          <w:rFonts w:ascii="Arial" w:cs="Arial" w:eastAsia="Arial" w:hAnsi="Arial"/>
          <w:sz w:val="18"/>
          <w:szCs w:val="18"/>
          <w:color w:val="auto"/>
        </w:rPr>
      </w:pPr>
    </w:p>
    <w:p>
      <w:pPr>
        <w:ind w:firstLine="981"/>
        <w:spacing w:after="0" w:line="272" w:lineRule="auto"/>
        <w:tabs>
          <w:tab w:leader="none" w:pos="124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Pubco shall bear all expenses in connection with the consummation of any Redemption, whether or not any such Redemption is ultimately consummated, including any transfer taxes, stamp taxes or duties or other similar taxes in connection with, or arising by reason of, any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shares of Class A Common Stock are to be delivered in a name other than that of the Member that requested the Redemption (or The Depository Trust Company or its nominee for the account of a participant of The Depository Trust Company that will hold the shares for the account of such Member), then such Member and/or the Person in whose name such shares are to be delivered shall pay to Pubco the amount of any transfer taxes, stamp taxes or duties or other similar taxes in connection with, or arising by reason of, such Redemption or shall establish to the reasonable satisfaction of Pubco that such tax has been paid or is not payable.</w:t>
      </w:r>
    </w:p>
    <w:p>
      <w:pPr>
        <w:spacing w:after="0" w:line="176"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Effect of Exercise of Redemption</w:t>
      </w:r>
      <w:r>
        <w:rPr>
          <w:rFonts w:ascii="Arial" w:cs="Arial" w:eastAsia="Arial" w:hAnsi="Arial"/>
          <w:sz w:val="16"/>
          <w:szCs w:val="16"/>
          <w:color w:val="auto"/>
        </w:rPr>
        <w:t>. This Agreement shall continue notwithstanding the consummation of a Redemption and all governance or other rights set forth herein shall be exercised by the remaining Members and the Redeeming Member (to the extent of such Redeeming Member’s remaining interest in the Company). No Redemption shall relieve such Redeeming Member of any prior breach of this Agreement.</w:t>
      </w:r>
    </w:p>
    <w:p>
      <w:pPr>
        <w:spacing w:after="0" w:line="14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Tax Treatment</w:t>
      </w:r>
      <w:r>
        <w:rPr>
          <w:rFonts w:ascii="Arial" w:cs="Arial" w:eastAsia="Arial" w:hAnsi="Arial"/>
          <w:sz w:val="18"/>
          <w:szCs w:val="18"/>
          <w:color w:val="auto"/>
        </w:rPr>
        <w:t>. The parties hereto acknowledge and agree that each Redemption pursuant to this Article IX shall be treated as a taxable sale of Units by the Redeeming Member from Pubco pursuant to Section 707(a)(2)(B) of the Code (or any similar provisions of applicable state, local or foreign tax law).</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4" w:right="479" w:bottom="1440" w:gutter="0" w:footer="0" w:header="0"/>
        </w:sectPr>
      </w:pPr>
    </w:p>
    <w:bookmarkStart w:id="402" w:name="page403"/>
    <w:bookmarkEnd w:id="402"/>
    <w:p>
      <w:pPr>
        <w:jc w:val="center"/>
        <w:ind w:right="-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LIMITATION ON LIABILITY, EXCULPATION AND INDEMNIFICATION</w:t>
      </w:r>
    </w:p>
    <w:p>
      <w:pPr>
        <w:spacing w:after="0" w:line="210" w:lineRule="exact"/>
        <w:rPr>
          <w:sz w:val="20"/>
          <w:szCs w:val="20"/>
          <w:color w:val="auto"/>
        </w:rPr>
      </w:pPr>
    </w:p>
    <w:p>
      <w:pPr>
        <w:jc w:val="both"/>
        <w:ind w:left="10" w:right="20" w:firstLine="440"/>
        <w:spacing w:after="0" w:line="286"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Limitation on Liability</w:t>
      </w:r>
      <w:r>
        <w:rPr>
          <w:rFonts w:ascii="Arial" w:cs="Arial" w:eastAsia="Arial" w:hAnsi="Arial"/>
          <w:sz w:val="17"/>
          <w:szCs w:val="17"/>
          <w:color w:val="auto"/>
        </w:rPr>
        <w:t xml:space="preserve">. The debts, obligations and liabilities of the Company, whether arising in contract, tort or otherwise, shall be solely the debts, obligations and liabilities of the Company, and no Covered Person shall be obligated personally for any such debt, obligation or liability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alter a Member’s obligation to return funds wrongfully distributed to it.</w:t>
      </w:r>
    </w:p>
    <w:p>
      <w:pPr>
        <w:spacing w:after="0" w:line="16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Exculpation and Indemnification</w:t>
      </w:r>
      <w:r>
        <w:rPr>
          <w:rFonts w:ascii="Arial" w:cs="Arial" w:eastAsia="Arial" w:hAnsi="Arial"/>
          <w:sz w:val="18"/>
          <w:szCs w:val="18"/>
          <w:color w:val="auto"/>
        </w:rPr>
        <w:t>.</w:t>
      </w:r>
    </w:p>
    <w:p>
      <w:pPr>
        <w:spacing w:after="0" w:line="117" w:lineRule="exact"/>
        <w:rPr>
          <w:sz w:val="20"/>
          <w:szCs w:val="20"/>
          <w:color w:val="auto"/>
        </w:rPr>
      </w:pPr>
    </w:p>
    <w:p>
      <w:pPr>
        <w:ind w:left="10" w:right="200" w:firstLine="981"/>
        <w:spacing w:after="0" w:line="259" w:lineRule="auto"/>
        <w:tabs>
          <w:tab w:leader="none" w:pos="124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 Covered Person shall be liable, including under any legal or equitable theory of fiduciary duty or other theory of liability, to the Company or to any other Covered Person for any losses, claims, damages or liabilities incurred by reason of any act or omission performed or omitted by the Board or such Covered Person in good faith on behalf of the Company. There shall be, and each Covered Person shall be entitled to, a presumption that such Covered Person acted in good faith.</w:t>
      </w:r>
    </w:p>
    <w:p>
      <w:pPr>
        <w:spacing w:after="0" w:line="77" w:lineRule="exact"/>
        <w:rPr>
          <w:rFonts w:ascii="Arial" w:cs="Arial" w:eastAsia="Arial" w:hAnsi="Arial"/>
          <w:sz w:val="18"/>
          <w:szCs w:val="18"/>
          <w:color w:val="auto"/>
        </w:rPr>
      </w:pPr>
    </w:p>
    <w:p>
      <w:pPr>
        <w:ind w:left="10" w:right="140" w:firstLine="981"/>
        <w:spacing w:after="0" w:line="263" w:lineRule="auto"/>
        <w:tabs>
          <w:tab w:leader="none" w:pos="125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Person’s professional or expert competence.</w:t>
      </w:r>
    </w:p>
    <w:p>
      <w:pPr>
        <w:spacing w:after="0" w:line="74" w:lineRule="exact"/>
        <w:rPr>
          <w:rFonts w:ascii="Arial" w:cs="Arial" w:eastAsia="Arial" w:hAnsi="Arial"/>
          <w:sz w:val="18"/>
          <w:szCs w:val="18"/>
          <w:color w:val="auto"/>
        </w:rPr>
      </w:pPr>
    </w:p>
    <w:p>
      <w:pPr>
        <w:ind w:left="10" w:right="20" w:firstLine="981"/>
        <w:spacing w:after="0" w:line="284" w:lineRule="auto"/>
        <w:tabs>
          <w:tab w:leader="none" w:pos="124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Company shall indemnify, defend and hold harmless each Covered Person against any losses, claims, damages, liabilities, expenses (including all reasonable out-of-pocket fees and expenses of outside counsel and other advisors), judgments, fines, settlements and other amounts arising from any and all claims, demands, actions, suits or proceedings in which such Covered Person may be involved or become subject to, in connection with any matter arising out of or in connection with the Company’s business or affairs, or this Agreement or any related document, unless such loss, claim, damage, liability, expense, judgment, fine, settlement or other amount (i) is as a result of a Covered Person not acting in good faith on behalf of the Company or arose as a result of the willful commission by such Covered Person of any act that is dishonest and materially injurious to the Company, (ii) results from its contractual obligations under any Formation Document to be performed in a capacity other than as a Covered Person or</w:t>
      </w:r>
    </w:p>
    <w:p>
      <w:pPr>
        <w:spacing w:after="0" w:line="1" w:lineRule="exact"/>
        <w:rPr>
          <w:rFonts w:ascii="Arial" w:cs="Arial" w:eastAsia="Arial" w:hAnsi="Arial"/>
          <w:sz w:val="16"/>
          <w:szCs w:val="16"/>
          <w:color w:val="auto"/>
        </w:rPr>
      </w:pPr>
    </w:p>
    <w:p>
      <w:pPr>
        <w:ind w:left="10" w:hanging="10"/>
        <w:spacing w:after="0" w:line="284" w:lineRule="auto"/>
        <w:tabs>
          <w:tab w:leader="none" w:pos="32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results from the breach by any Member (in such capacity) of its contractual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Company be required to indemnify a Member for any loss of such Member’s Capital Contribution or other investment loss or taxes imposed in connection with such Member’s interest in the Company. If any Covered Person becomes involved in any capacity in any action, suit, proceeding or investigation in connection with any matter arising out of or in connection with the Company’s business or affairs, or this Agreement or any related document (other than any Formation Document), other than by reason of any act or omission performed or omitted by such Covered Person that was not in good faith on behalf of the Company or constituted a willful commission by such Covered Person of an act that is dishonest and materially injurious to the Company, the Company shall reimburse such Covered Person for its reasonable outside counsel legal and other reasonable out-of-pocket expenses (including the cost of any investigation and preparation) as they are incurred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Covered Person shall promptly repay to the Company the amount of any such reimbursed expenses paid to it if it shall be finally judicially determined that such Covered Person was not entitled to indemnification by, or contribution from, the Company in connection with such action, suit, proceeding or investigation. If for any reason (other than the bad faith of a Covered Person or the willful commission by such Covered Person of an act that is dishonest and materially injurious to the Company) the foregoing indemnification is unavailable to such Covered Person, or insufficient to hold it harmless, then the Company shall contribute to the amount paid or payable by such Covered Person as a result of such loss, claim, damage, liability, expense, judgment, fine, settlement or other amount in such proportion as is appropriate to reflect any relevant equitable considerations. There shall be, and each Covered Person shall be entitled to, a rebuttable presumption that such Covered Person acted in good faith.</w:t>
      </w:r>
    </w:p>
    <w:p>
      <w:pPr>
        <w:spacing w:after="0" w:line="10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10"/>
          </w:cols>
          <w:pgMar w:left="450" w:top="273" w:right="439" w:bottom="1440" w:gutter="0" w:footer="0" w:header="0"/>
        </w:sectPr>
      </w:pPr>
    </w:p>
    <w:bookmarkStart w:id="403" w:name="page404"/>
    <w:bookmarkEnd w:id="403"/>
    <w:p>
      <w:pPr>
        <w:ind w:left="-20" w:right="160" w:firstLine="981"/>
        <w:spacing w:after="0" w:line="277" w:lineRule="auto"/>
        <w:tabs>
          <w:tab w:leader="none" w:pos="1225"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Company under Section 10.02(c) shall be satisfied solely out of and to the extent of the Company’s assets, and no Covered Person shall have any personal liability on account thereof.</w:t>
      </w:r>
    </w:p>
    <w:p>
      <w:pPr>
        <w:spacing w:after="0" w:line="61" w:lineRule="exact"/>
        <w:rPr>
          <w:rFonts w:ascii="Arial" w:cs="Arial" w:eastAsia="Arial" w:hAnsi="Arial"/>
          <w:sz w:val="18"/>
          <w:szCs w:val="18"/>
          <w:color w:val="auto"/>
        </w:rPr>
      </w:pPr>
    </w:p>
    <w:p>
      <w:pPr>
        <w:ind w:left="-20" w:firstLine="981"/>
        <w:spacing w:after="0" w:line="283" w:lineRule="auto"/>
        <w:tabs>
          <w:tab w:leader="none" w:pos="121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Given that certain Jointly Indemnifiable Claims may arise by reason of the service of a Covered Person to the Company and/or as a director, trustee, officer, partner, member, manager, employee, consultant, fiduciary or agent of other corporations, limited liability companies, partnerships, joint ventures, trusts, employee benefit plans or other enterprises controlled by the Company (collectively, the “</w:t>
      </w:r>
      <w:r>
        <w:rPr>
          <w:rFonts w:ascii="Arial" w:cs="Arial" w:eastAsia="Arial" w:hAnsi="Arial"/>
          <w:sz w:val="16"/>
          <w:szCs w:val="16"/>
          <w:u w:val="single" w:color="auto"/>
          <w:color w:val="auto"/>
        </w:rPr>
        <w:t>Controlled Entities</w:t>
      </w:r>
      <w:r>
        <w:rPr>
          <w:rFonts w:ascii="Arial" w:cs="Arial" w:eastAsia="Arial" w:hAnsi="Arial"/>
          <w:sz w:val="16"/>
          <w:szCs w:val="16"/>
          <w:color w:val="auto"/>
        </w:rPr>
        <w:t>”), or by reason of any action alleged to have been taken or omitted in any such capacity, the Company acknowledges and agrees that the Company shall, and to the extent applicable shall cause the Controlled Entities to, be fully and primarily responsible for the payment to the Covered Person in respect of indemnification or advancement of all out-of-pocket costs of any type or nature whatsoever (including, without limitation, all outside attorneys’ fees and related disbursements), in each case, actually and reasonably incurred by or on behalf of a Covered Person in connection with either the investigation, defense or appeal of a claim, demand, action, suit or proceeding or establishing or enforcing a right to indemnification under this Agreement or otherwise incurred in connection with a claim that is indemnifiable hereunder (collectively, “</w:t>
      </w:r>
      <w:r>
        <w:rPr>
          <w:rFonts w:ascii="Arial" w:cs="Arial" w:eastAsia="Arial" w:hAnsi="Arial"/>
          <w:sz w:val="16"/>
          <w:szCs w:val="16"/>
          <w:u w:val="single" w:color="auto"/>
          <w:color w:val="auto"/>
        </w:rPr>
        <w:t>Expenses</w:t>
      </w:r>
      <w:r>
        <w:rPr>
          <w:rFonts w:ascii="Arial" w:cs="Arial" w:eastAsia="Arial" w:hAnsi="Arial"/>
          <w:sz w:val="16"/>
          <w:szCs w:val="16"/>
          <w:color w:val="auto"/>
        </w:rPr>
        <w:t>”) in connection with any such Jointly Indemnifiable Claim, pursuant to and in accordance with (as applicable) the terms of (i) the Delaware LLC Act, (ii) this Agreement, (iii) any other agreement between the Company or any Controlled Entity and the Covered Person pursuant to which the Covered Person has rights to indemnification, advancement of expenses and/or insurance, (iv) the laws of the jurisdiction of incorporation or organization of any Controlled Entity and/or (v) the certificate of incorporation, certificate of organization, bylaws, partnership agreement, operating agreement, certificate of formation, certificate of limited partnership, certificate of qualification or other organizational or governing documents of any Controlled Entity ((i) through (v) collectively, the “</w:t>
      </w:r>
      <w:r>
        <w:rPr>
          <w:rFonts w:ascii="Arial" w:cs="Arial" w:eastAsia="Arial" w:hAnsi="Arial"/>
          <w:sz w:val="16"/>
          <w:szCs w:val="16"/>
          <w:u w:val="single" w:color="auto"/>
          <w:color w:val="auto"/>
        </w:rPr>
        <w:t>Indemnification Sources</w:t>
      </w:r>
      <w:r>
        <w:rPr>
          <w:rFonts w:ascii="Arial" w:cs="Arial" w:eastAsia="Arial" w:hAnsi="Arial"/>
          <w:sz w:val="16"/>
          <w:szCs w:val="16"/>
          <w:color w:val="auto"/>
        </w:rPr>
        <w:t>”), irrespective of any right of recovery the Covered Person may have from the Indemnitee- Related Entities. Under no circumstance shall the Company or any Controlled Entity be entitled to any right of subrogation or contribution by the Indemnitee-Related Entities and no right of advancement or recovery the Covered Person may have from the Indemnitee-Related Entities shall reduce or otherwise alter the rights of the Covered Person or the obligations of the Company or any Controlled Entity under the Indemnification Sources. In the event that any of the Indemnitee-Related Entities shall make any payment to the Covered Person in respect of indemnification or advancement of Expenses with respect to any Jointly Indemnifiable Claim, (i) the Company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Company and/or any Controlled Entity pursuant to clause (i), the Indemnitee-Related Entity making such payment shall be subrogated to the extent of the outstanding balance of such payment to all of the rights of recovery of the Covered Person against the Company and/or any Controlled Entity, as applicable, and (iii) the Covered Person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the Covered Person agree that each of the Indemnitee-Related Entities shall be third party beneficiaries with respect to this Section 10.02(e), entitled to enforce this Section 10.02(e) as though each such Indemnitee-Related Entity were a party to this Agreement. For the avoidance of doubt, the Company acknowledges and agrees that insurance policies carried by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80" w:top="274" w:right="459" w:bottom="1440" w:gutter="0" w:footer="0" w:header="0"/>
        </w:sectPr>
      </w:pPr>
    </w:p>
    <w:bookmarkStart w:id="404" w:name="page405"/>
    <w:bookmarkEnd w:id="404"/>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Indemnitee-Related Entities may have provisions reflecting the allocation of liability set forth in this Section 10.02(e). The Company shall cause each of the Controlled Entities to perform the terms and obligations of this Section 10.02(e) as though each such Controlled Entity was the “Company” under this Agreement. For purposes of this Section 10.02(e), the following terms shall have the following meanings:</w:t>
      </w:r>
    </w:p>
    <w:p>
      <w:pPr>
        <w:spacing w:after="0" w:line="75" w:lineRule="exact"/>
        <w:rPr>
          <w:sz w:val="20"/>
          <w:szCs w:val="20"/>
          <w:color w:val="auto"/>
        </w:rPr>
      </w:pPr>
    </w:p>
    <w:p>
      <w:pPr>
        <w:ind w:right="40" w:firstLine="1421"/>
        <w:spacing w:after="0" w:line="279" w:lineRule="auto"/>
        <w:tabs>
          <w:tab w:leader="none" w:pos="1646"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corporation, limited liability company, partnership, joint venture, trust, employee benefit plan or other enterprise (other than the Company, any Controlled Entity or the insurer under and pursuant to an insurance policy of the Company or any Controlled Entity) from whom a Covered Person may be entitled to indemnification or advancement of Expenses with respect to which, in whole or in part, the Company or any Controlled Entity also may have an indemnification or advancement obligation.</w:t>
      </w:r>
    </w:p>
    <w:p>
      <w:pPr>
        <w:spacing w:after="0" w:line="62" w:lineRule="exact"/>
        <w:rPr>
          <w:rFonts w:ascii="Arial" w:cs="Arial" w:eastAsia="Arial" w:hAnsi="Arial"/>
          <w:sz w:val="17"/>
          <w:szCs w:val="17"/>
          <w:color w:val="auto"/>
        </w:rPr>
      </w:pPr>
    </w:p>
    <w:p>
      <w:pPr>
        <w:ind w:firstLine="1421"/>
        <w:spacing w:after="0" w:line="254" w:lineRule="auto"/>
        <w:tabs>
          <w:tab w:leader="none" w:pos="169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claim, demand, action, suit or proceeding for which the Covered Person shall be entitled to indemnification or advancement of Expenses from both (i) the Company and/or any Controlled Entity pursuant to the Indemnification Sources, on the one hand, and (ii) any Indemnitee-Related Entity pursuant to any other agreement between any Indemnitee-Related Entity and the Covered Person pursuant to which the Covered Person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DISSOLUTION AND TERMINATION</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Dissolution</w:t>
      </w:r>
      <w:r>
        <w:rPr>
          <w:rFonts w:ascii="Arial" w:cs="Arial" w:eastAsia="Arial" w:hAnsi="Arial"/>
          <w:sz w:val="18"/>
          <w:szCs w:val="18"/>
          <w:color w:val="auto"/>
        </w:rPr>
        <w:t>.</w:t>
      </w:r>
    </w:p>
    <w:p>
      <w:pPr>
        <w:spacing w:after="0" w:line="117" w:lineRule="exact"/>
        <w:rPr>
          <w:sz w:val="20"/>
          <w:szCs w:val="20"/>
          <w:color w:val="auto"/>
        </w:rPr>
      </w:pPr>
    </w:p>
    <w:p>
      <w:pPr>
        <w:ind w:left="1220" w:hanging="239"/>
        <w:spacing w:after="0"/>
        <w:tabs>
          <w:tab w:leader="none" w:pos="12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Company shall not be dissolved by the admission of Additional Members or Substitute Members pursuant to Section 3.02.</w:t>
      </w:r>
    </w:p>
    <w:p>
      <w:pPr>
        <w:spacing w:after="0" w:line="128" w:lineRule="exact"/>
        <w:rPr>
          <w:rFonts w:ascii="Arial" w:cs="Arial" w:eastAsia="Arial" w:hAnsi="Arial"/>
          <w:sz w:val="17"/>
          <w:szCs w:val="17"/>
          <w:color w:val="auto"/>
        </w:rPr>
      </w:pPr>
    </w:p>
    <w:p>
      <w:pPr>
        <w:ind w:right="260" w:firstLine="981"/>
        <w:spacing w:after="0" w:line="275" w:lineRule="auto"/>
        <w:tabs>
          <w:tab w:leader="none" w:pos="124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 Member shall (i) resign from the Company prior to the dissolution and winding up of the Company except in connection with a Transfer of Units pursuant to the terms of this Agreement or (ii) take any action to dissolve, terminate or liquidate the Company or to require apportionment, appraisal or partition of the Company or any of its assets, or to file a bill for an accounting, except as specifically provided in this Agreement, and each Member, to the fullest extent permitted by Applicable Law, hereby waives any rights to take any such actions under Applicable Law, including any right to petition a court for judicial dissolution under Section 18-802 of the Delaware LLC Act.</w:t>
      </w:r>
    </w:p>
    <w:p>
      <w:pPr>
        <w:spacing w:after="0" w:line="67" w:lineRule="exact"/>
        <w:rPr>
          <w:rFonts w:ascii="Arial" w:cs="Arial" w:eastAsia="Arial" w:hAnsi="Arial"/>
          <w:sz w:val="17"/>
          <w:szCs w:val="17"/>
          <w:color w:val="auto"/>
        </w:rPr>
      </w:pPr>
    </w:p>
    <w:p>
      <w:pPr>
        <w:jc w:val="both"/>
        <w:ind w:right="160" w:firstLine="981"/>
        <w:spacing w:after="0" w:line="263" w:lineRule="auto"/>
        <w:tabs>
          <w:tab w:leader="none" w:pos="123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Company shall be dissolved and its business wound up only upon the earliest to occur of any one of the following events (each a “</w:t>
      </w:r>
      <w:r>
        <w:rPr>
          <w:rFonts w:ascii="Arial" w:cs="Arial" w:eastAsia="Arial" w:hAnsi="Arial"/>
          <w:sz w:val="18"/>
          <w:szCs w:val="18"/>
          <w:u w:val="single" w:color="auto"/>
          <w:color w:val="auto"/>
        </w:rPr>
        <w:t>Dissolution Event</w:t>
      </w:r>
      <w:r>
        <w:rPr>
          <w:rFonts w:ascii="Arial" w:cs="Arial" w:eastAsia="Arial" w:hAnsi="Arial"/>
          <w:sz w:val="18"/>
          <w:szCs w:val="18"/>
          <w:color w:val="auto"/>
        </w:rPr>
        <w:t>”): (i) the expiration of forty-five (45) days after the sale or other disposition of all or substantially all of the assets of the Company; or (ii) upon the approval of the Board.</w:t>
      </w:r>
    </w:p>
    <w:p>
      <w:pPr>
        <w:spacing w:after="0" w:line="74" w:lineRule="exact"/>
        <w:rPr>
          <w:rFonts w:ascii="Arial" w:cs="Arial" w:eastAsia="Arial" w:hAnsi="Arial"/>
          <w:sz w:val="18"/>
          <w:szCs w:val="18"/>
          <w:color w:val="auto"/>
        </w:rPr>
      </w:pPr>
    </w:p>
    <w:p>
      <w:pPr>
        <w:ind w:right="120" w:firstLine="981"/>
        <w:spacing w:after="0" w:line="307" w:lineRule="auto"/>
        <w:tabs>
          <w:tab w:leader="none" w:pos="124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death, retirement, resignation, expulsion, bankruptcy, insolvency or dissolution of a Member or the occurrence of any other event that terminates the continued membership of a Member of the Company shall not in and of itself cause dissolution of the Company.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Winding Up of the Company</w:t>
      </w:r>
      <w:r>
        <w:rPr>
          <w:rFonts w:ascii="Arial" w:cs="Arial" w:eastAsia="Arial" w:hAnsi="Arial"/>
          <w:sz w:val="18"/>
          <w:szCs w:val="18"/>
          <w:color w:val="auto"/>
        </w:rPr>
        <w:t>.</w:t>
      </w:r>
    </w:p>
    <w:p>
      <w:pPr>
        <w:spacing w:after="0" w:line="117" w:lineRule="exact"/>
        <w:rPr>
          <w:sz w:val="20"/>
          <w:szCs w:val="20"/>
          <w:color w:val="auto"/>
        </w:rPr>
      </w:pPr>
    </w:p>
    <w:p>
      <w:pPr>
        <w:jc w:val="both"/>
        <w:ind w:right="160" w:firstLine="981"/>
        <w:spacing w:after="0" w:line="301" w:lineRule="auto"/>
        <w:tabs>
          <w:tab w:leader="none" w:pos="12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Board shall promptly notify the other Members of any Dissolution Event. Upon dissolution, the Company’s business shall be liquidated in an orderly manner. The Board shall appoint a liquidating trustee to wind up the affairs of the Company pursuant to this Agreement. In performing its duties, the liquidating trustee is authorized to sell, distribute, exchange or otherwise dispose of the assets of the Company in accordance with the Delaware LLC Act and in any reasonable manner that the liquidating trustee shall determine to be in the best interest of the Members.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60" w:top="274" w:right="459" w:bottom="1440" w:gutter="0" w:footer="0" w:header="0"/>
        </w:sectPr>
      </w:pPr>
    </w:p>
    <w:bookmarkStart w:id="405" w:name="page406"/>
    <w:bookmarkEnd w:id="405"/>
    <w:p>
      <w:pPr>
        <w:ind w:left="1240" w:hanging="259"/>
        <w:spacing w:after="0"/>
        <w:tabs>
          <w:tab w:leader="none" w:pos="12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proceeds of the liquidation of the Company shall be distributed in the following order and priority:</w:t>
      </w:r>
    </w:p>
    <w:p>
      <w:pPr>
        <w:spacing w:after="0" w:line="116" w:lineRule="exact"/>
        <w:rPr>
          <w:rFonts w:ascii="Arial" w:cs="Arial" w:eastAsia="Arial" w:hAnsi="Arial"/>
          <w:sz w:val="18"/>
          <w:szCs w:val="18"/>
          <w:color w:val="auto"/>
        </w:rPr>
      </w:pPr>
    </w:p>
    <w:p>
      <w:pPr>
        <w:jc w:val="both"/>
        <w:ind w:right="20" w:firstLine="1421"/>
        <w:spacing w:after="0" w:line="263" w:lineRule="auto"/>
        <w:tabs>
          <w:tab w:leader="none" w:pos="1646"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creditors (including any Members or their respective Affiliates that are creditors) of the Company in satisfaction of all of the Company’s liabilities (whether by payment or by making reasonable provision for payment thereof, including the setting up of any reserves which are, in the judgment of the liquidating trustee, reasonably necessary therefor); and</w:t>
      </w:r>
    </w:p>
    <w:p>
      <w:pPr>
        <w:spacing w:after="0" w:line="74" w:lineRule="exact"/>
        <w:rPr>
          <w:rFonts w:ascii="Arial" w:cs="Arial" w:eastAsia="Arial" w:hAnsi="Arial"/>
          <w:sz w:val="18"/>
          <w:szCs w:val="18"/>
          <w:color w:val="auto"/>
        </w:rPr>
      </w:pPr>
    </w:p>
    <w:p>
      <w:pPr>
        <w:ind w:left="1680" w:hanging="259"/>
        <w:spacing w:after="0"/>
        <w:tabs>
          <w:tab w:leader="none" w:pos="1680"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the Economic Members in the same manner as distributions under Section 5.03(b), subject to Section 5.03(e).</w:t>
      </w:r>
    </w:p>
    <w:p>
      <w:pPr>
        <w:spacing w:after="0" w:line="128" w:lineRule="exact"/>
        <w:rPr>
          <w:rFonts w:ascii="Arial" w:cs="Arial" w:eastAsia="Arial" w:hAnsi="Arial"/>
          <w:sz w:val="17"/>
          <w:szCs w:val="17"/>
          <w:color w:val="auto"/>
        </w:rPr>
      </w:pPr>
    </w:p>
    <w:p>
      <w:pPr>
        <w:ind w:firstLine="981"/>
        <w:spacing w:after="0" w:line="273" w:lineRule="auto"/>
        <w:tabs>
          <w:tab w:leader="none" w:pos="1235"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Distribution of Property</w:t>
      </w:r>
      <w:r>
        <w:rPr>
          <w:rFonts w:ascii="Arial" w:cs="Arial" w:eastAsia="Arial" w:hAnsi="Arial"/>
          <w:sz w:val="17"/>
          <w:szCs w:val="17"/>
          <w:color w:val="auto"/>
        </w:rPr>
        <w:t>. In the event it becomes necessary in connection with the liquidation of the Company to make a distribution of Property in-kind, subject to the priority set forth in Section 11.02, the liquidating trustee shall have the right to compel each Economic Member to accept a distribution of any Property in-kind (with such Property, as a percentage of the total liquidating distributions to such Economic Member, corresponding as nearly as possible to such Economic Member’s Economic Percentage Interest), with such distribution being based upon the amount of cash that would be distributed to such Members if such Property were sold for an amount of cash equal to the fair market value of such Property, as determined by the liquidating trustee in good faith, subject to the last sentence of Section 5.03(d).</w:t>
      </w:r>
    </w:p>
    <w:p>
      <w:pPr>
        <w:spacing w:after="0" w:line="17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Termination</w:t>
      </w:r>
      <w:r>
        <w:rPr>
          <w:rFonts w:ascii="Arial" w:cs="Arial" w:eastAsia="Arial" w:hAnsi="Arial"/>
          <w:sz w:val="17"/>
          <w:szCs w:val="17"/>
          <w:color w:val="auto"/>
        </w:rPr>
        <w:t>. The Company shall terminate when all of the assets of the Company, after payment of or reasonable provision for the payment of all debts and liabilities of the Company shall have been distributed to the Members in the manner provided for in this Article XI, and the certificate of formation of the Company shall have been cancelled in the manner required by the Delaware LLC Act.</w:t>
      </w:r>
    </w:p>
    <w:p>
      <w:pPr>
        <w:spacing w:after="0" w:line="16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Survival</w:t>
      </w:r>
      <w:r>
        <w:rPr>
          <w:rFonts w:ascii="Arial" w:cs="Arial" w:eastAsia="Arial" w:hAnsi="Arial"/>
          <w:sz w:val="18"/>
          <w:szCs w:val="18"/>
          <w:color w:val="auto"/>
        </w:rPr>
        <w:t>. Termination, dissolution, liquidation or winding up of the Company for any reason shall not release any party from any liability which at the time of such termination, dissolution, liquidation or winding up already had accrued to any other party or which thereafter may accrue in respect to any act or omission prior to such termination, dissolution, liquidation or winding up.</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0" w:lineRule="exact"/>
        <w:rPr>
          <w:sz w:val="20"/>
          <w:szCs w:val="20"/>
          <w:color w:val="auto"/>
        </w:rPr>
      </w:pPr>
    </w:p>
    <w:p>
      <w:pPr>
        <w:ind w:right="100" w:firstLine="440"/>
        <w:spacing w:after="0" w:line="307"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Expenses</w:t>
      </w:r>
      <w:r>
        <w:rPr>
          <w:rFonts w:ascii="Arial" w:cs="Arial" w:eastAsia="Arial" w:hAnsi="Arial"/>
          <w:sz w:val="17"/>
          <w:szCs w:val="17"/>
          <w:color w:val="auto"/>
        </w:rPr>
        <w:t>. Subject to the terms and conditions of the Master Transaction Agreement, all costs and expenses incurred in connection with this Agreement and the transactions contemplated hereby shall be paid by the party incurring such cost or expense.</w:t>
      </w:r>
    </w:p>
    <w:p>
      <w:pPr>
        <w:spacing w:after="0" w:line="14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Member agrees to execute, acknowledge, deliver, file and record such further certificates, amendments, instruments and documents, and to do all such other acts and things, as may be required by Applicable Law or as, in the reasonable judgment of the Board, may be necessary or advisable to carry out the intent and purposes of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in writing (including electronic mail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e-mail</w:t>
      </w:r>
      <w:r>
        <w:rPr>
          <w:rFonts w:ascii="Arial" w:cs="Arial" w:eastAsia="Arial" w:hAnsi="Arial"/>
          <w:sz w:val="16"/>
          <w:szCs w:val="16"/>
          <w:color w:val="auto"/>
        </w:rPr>
        <w:t>”) transmission, so long as a receipt of such e-mail is requested and received) and shall be given to such party at the address or e-mail address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specified for such party on the Member Schedule hereto, or to such other address or e-mail address as such party may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60" w:top="274" w:right="459" w:bottom="1440" w:gutter="0" w:footer="0" w:header="0"/>
        </w:sectPr>
      </w:pPr>
    </w:p>
    <w:bookmarkStart w:id="406" w:name="page407"/>
    <w:bookmarkEnd w:id="406"/>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Binding Effect; Benefit; Assignment</w:t>
      </w:r>
      <w:r>
        <w:rPr>
          <w:rFonts w:ascii="Arial" w:cs="Arial" w:eastAsia="Arial" w:hAnsi="Arial"/>
          <w:sz w:val="18"/>
          <w:szCs w:val="18"/>
          <w:color w:val="auto"/>
        </w:rPr>
        <w:t>.</w:t>
      </w:r>
    </w:p>
    <w:p>
      <w:pPr>
        <w:spacing w:after="0" w:line="117" w:lineRule="exact"/>
        <w:rPr>
          <w:sz w:val="20"/>
          <w:szCs w:val="20"/>
          <w:color w:val="auto"/>
        </w:rPr>
      </w:pPr>
    </w:p>
    <w:p>
      <w:pPr>
        <w:ind w:right="20" w:firstLine="981"/>
        <w:spacing w:after="0" w:line="256" w:lineRule="auto"/>
        <w:tabs>
          <w:tab w:leader="none" w:pos="12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shall inure to the benefit of the parties hereto and their respective successors and assigns. No provision of this Agreement is intended to confer any rights, benefits, remedies, obligations or liabilities hereunder upon any Person other than the parties hereto and their respective successors and assigns, except to the extent provided herein with respect to Indemnitee-Related Entities and Covered Parties, each of whom are intended third party beneficiaries of those provisions that specifically relate to them with the right to enforce such provisions as if they were a party hereto.</w:t>
      </w:r>
    </w:p>
    <w:p>
      <w:pPr>
        <w:spacing w:after="0" w:line="83" w:lineRule="exact"/>
        <w:rPr>
          <w:rFonts w:ascii="Arial" w:cs="Arial" w:eastAsia="Arial" w:hAnsi="Arial"/>
          <w:sz w:val="18"/>
          <w:szCs w:val="18"/>
          <w:color w:val="auto"/>
        </w:rPr>
      </w:pPr>
    </w:p>
    <w:p>
      <w:pPr>
        <w:ind w:right="300" w:firstLine="981"/>
        <w:spacing w:after="0" w:line="277" w:lineRule="auto"/>
        <w:tabs>
          <w:tab w:leader="none" w:pos="124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Except as provided in Article VIII, no Member may assign, delegate or otherwise transfer any of its rights or obligations under this Agreement without the consent of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Jurisdiction</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89"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Court of Chancery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12.03 shall be deemed effective service of process on such party.</w:t>
      </w:r>
    </w:p>
    <w:p>
      <w:pPr>
        <w:spacing w:after="0" w:line="56" w:lineRule="exact"/>
        <w:rPr>
          <w:rFonts w:ascii="Arial" w:cs="Arial" w:eastAsia="Arial" w:hAnsi="Arial"/>
          <w:sz w:val="16"/>
          <w:szCs w:val="16"/>
          <w:color w:val="auto"/>
        </w:rPr>
      </w:pPr>
    </w:p>
    <w:p>
      <w:pPr>
        <w:ind w:right="20" w:firstLine="981"/>
        <w:spacing w:after="0" w:line="268" w:lineRule="auto"/>
        <w:tabs>
          <w:tab w:leader="none" w:pos="124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EACH OF THE COMPANY AND THE MEMBERS HEREBY IRREVOCABLY DESIGNATES CORPORATION SERVICE COMPANY (IN SUCH CAPACITY, THE “</w:t>
      </w:r>
      <w:r>
        <w:rPr>
          <w:rFonts w:ascii="Arial" w:cs="Arial" w:eastAsia="Arial" w:hAnsi="Arial"/>
          <w:sz w:val="17"/>
          <w:szCs w:val="17"/>
          <w:u w:val="single" w:color="auto"/>
          <w:color w:val="auto"/>
        </w:rPr>
        <w:t>PROCESS AGENT</w:t>
      </w:r>
      <w:r>
        <w:rPr>
          <w:rFonts w:ascii="Arial" w:cs="Arial" w:eastAsia="Arial" w:hAnsi="Arial"/>
          <w:sz w:val="17"/>
          <w:szCs w:val="17"/>
          <w:color w:val="auto"/>
        </w:rPr>
        <w:t xml:space="preserve">”), WITH AN OFFICE AT 251 LITTLE FALLS DRIVE, WILMINGTON, NEW CASTLE COUNTY, DELAWARE 19808, AS ITS DESIGNEE, APPOINTEE AND AGENT TO RECEIVE, FOR AND ON ITS BEHALF, SERVICE OF PROCESS IN SUCH JURISDICTION IN ANY LEGAL ACTION OR PROCEEDINGS WITH RESPECT TO THIS AGREEMENT, AND SUCH SERVICE SHALL BE DEEMED COMPLETE UPON DELIVERY THEREOF TO THE PROCESS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SUCH SERVICE UPON THE PROCESS AGENT, THE PARTY EFFECTING SUCH SERVICE SHALL ALSO DELIVER A COPY THEREOF TO EACH OTHER SUCH PARTY IN THE MANNER PROVIDED IN SECTION 12.03 OF THIS AGREEMENT. EACH PARTY SHALL TAKE ALL SUCH ACTION AS MAY BE NECESSARY TO CONTINUE SAID APPOINTMENT IN FULL FORCE AND EFFECT OR TO APPOINT ANOTHER AGENT SO THAT SUCH PARTY SHALL AT ALL TIMES HAVE AN AGENT FOR SERVICE OF PROCESS FOR THE ABOVE PURPOSES IN WILMINGTON, DELAWARE. NOTHING HEREIN SHALL AFFECT THE RIGHT OF ANY PARTY TO SERVE PROCESS IN ANY MANNER PERMITTED BY APPLICABLE LAW. EACH PARTY EXPRESSLY ACKNOWLEDGES THAT THE FOREGOING WAIVER IS INTENDED TO BE IRREVOCABLE UNDER THE LAWS OF THE STATE OF DELAWARE AND OF THE UNITED STATES OF AMERICA.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60" w:top="274" w:right="479" w:bottom="1440" w:gutter="0" w:footer="0" w:header="0"/>
        </w:sectPr>
      </w:pPr>
    </w:p>
    <w:bookmarkStart w:id="407" w:name="page408"/>
    <w:bookmarkEnd w:id="407"/>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3"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6"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Formation Documents constitute the entire agreement between the parties with respect to the subject matter of this Agreement and supersede all prior agreements and understandings, both oral and written, among the parties with respect to the subject matter of this Agreement. Nothing in this Agreement shall create any third party beneficiary rights in favor of any Person or other party, except to the extent provided herein with respect to Indemnitee-Related Entities and Covered Parties, each of whom are intended third party beneficiaries of those provisions that specifically relate to them with the right to enforce such provisions as if they were a party hereto.</w:t>
      </w:r>
    </w:p>
    <w:p>
      <w:pPr>
        <w:spacing w:after="0" w:line="1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12.09.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are consummated as originally contemplated to the fullest extent possible.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17" w:lineRule="exact"/>
        <w:rPr>
          <w:sz w:val="20"/>
          <w:szCs w:val="20"/>
          <w:color w:val="auto"/>
        </w:rPr>
      </w:pPr>
    </w:p>
    <w:p>
      <w:pPr>
        <w:ind w:right="160" w:firstLine="981"/>
        <w:spacing w:after="0" w:line="277"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Except as set forth in Section 12.10(b), no amendment to this Agreement may be made without the prior written consent of the Board and a majority in interest of the Economic Members.</w:t>
      </w:r>
    </w:p>
    <w:p>
      <w:pPr>
        <w:spacing w:after="0" w:line="61" w:lineRule="exact"/>
        <w:rPr>
          <w:rFonts w:ascii="Arial" w:cs="Arial" w:eastAsia="Arial" w:hAnsi="Arial"/>
          <w:sz w:val="18"/>
          <w:szCs w:val="18"/>
          <w:color w:val="auto"/>
        </w:rPr>
      </w:pPr>
    </w:p>
    <w:p>
      <w:pPr>
        <w:ind w:right="20" w:firstLine="981"/>
        <w:spacing w:after="0" w:line="256" w:lineRule="auto"/>
        <w:tabs>
          <w:tab w:leader="none" w:pos="124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Notwithstanding Section 12.10(a), this Agreement, including the Member Schedule, can be amended at any time and from time to time by the Board, acting alone: (i) to reflect the admission of new Members or Transfers of Units, each as provided by and in accordance with the terms of this Agreement, (ii) to effect any subdivisions or combinations of Units made in compliance with Section 4.02(c) and (iii) to issue additional Nonvoting Common Units or any new class of Units (whether or not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Nonvoting Common Units) in accordance with the terms of this Agreement.</w:t>
      </w:r>
    </w:p>
    <w:p>
      <w:pPr>
        <w:spacing w:after="0" w:line="83" w:lineRule="exact"/>
        <w:rPr>
          <w:rFonts w:ascii="Arial" w:cs="Arial" w:eastAsia="Arial" w:hAnsi="Arial"/>
          <w:sz w:val="18"/>
          <w:szCs w:val="18"/>
          <w:color w:val="auto"/>
        </w:rPr>
      </w:pPr>
    </w:p>
    <w:p>
      <w:pPr>
        <w:ind w:firstLine="981"/>
        <w:spacing w:after="0" w:line="263"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waiver of any provision or default under, nor consent to any exception to, the terms of this Agreement or any agreement contemplated hereby shall be effective unless in writing and signed by the party to be bound and then only to the specific purpose, extent and instance so provided.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60" w:top="274" w:right="459" w:bottom="1440" w:gutter="0" w:footer="0" w:header="0"/>
        </w:sectPr>
      </w:pPr>
    </w:p>
    <w:bookmarkStart w:id="408" w:name="page409"/>
    <w:bookmarkEnd w:id="4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12.11.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80" w:firstLine="981"/>
        <w:spacing w:after="0" w:line="255" w:lineRule="auto"/>
        <w:tabs>
          <w:tab w:leader="none" w:pos="12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Member shall, and shall direct those of its Affiliates and their respective directors, officers, members, managers, stockholders, partners, employees, attorneys, accountants, consultants, trustees and other advisors (the “</w:t>
      </w:r>
      <w:r>
        <w:rPr>
          <w:rFonts w:ascii="Arial" w:cs="Arial" w:eastAsia="Arial" w:hAnsi="Arial"/>
          <w:sz w:val="18"/>
          <w:szCs w:val="18"/>
          <w:u w:val="single" w:color="auto"/>
          <w:color w:val="auto"/>
        </w:rPr>
        <w:t>Member Parties</w:t>
      </w:r>
      <w:r>
        <w:rPr>
          <w:rFonts w:ascii="Arial" w:cs="Arial" w:eastAsia="Arial" w:hAnsi="Arial"/>
          <w:sz w:val="18"/>
          <w:szCs w:val="18"/>
          <w:color w:val="auto"/>
        </w:rPr>
        <w:t>”) who have access to Confidential Information to, keep confidential and not disclose any Confidential Information to any Person other than a Member Party who agrees to keep such Confidential Information confidential in accordance with this Section 12.11, in each case without the express consent, in the case of Confidential Information acquired from the Company, of the Company or, in the case of Confidential Information acquired from another Member, such other Member, unless:</w:t>
      </w:r>
    </w:p>
    <w:p>
      <w:pPr>
        <w:spacing w:after="0" w:line="83" w:lineRule="exact"/>
        <w:rPr>
          <w:rFonts w:ascii="Arial" w:cs="Arial" w:eastAsia="Arial" w:hAnsi="Arial"/>
          <w:sz w:val="18"/>
          <w:szCs w:val="18"/>
          <w:color w:val="auto"/>
        </w:rPr>
      </w:pPr>
    </w:p>
    <w:p>
      <w:pPr>
        <w:ind w:left="1640" w:hanging="219"/>
        <w:spacing w:after="0"/>
        <w:tabs>
          <w:tab w:leader="none" w:pos="164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such disclosure shall be required by Applicable Law;</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such disclosure is reasonably required in connection with any Audit involving the Company or any Member or its Affiliates;</w:t>
      </w:r>
    </w:p>
    <w:p>
      <w:pPr>
        <w:spacing w:after="0" w:line="128" w:lineRule="exact"/>
        <w:rPr>
          <w:rFonts w:ascii="Arial" w:cs="Arial" w:eastAsia="Arial" w:hAnsi="Arial"/>
          <w:sz w:val="17"/>
          <w:szCs w:val="17"/>
          <w:color w:val="auto"/>
        </w:rPr>
      </w:pPr>
    </w:p>
    <w:p>
      <w:pPr>
        <w:ind w:left="1740" w:hanging="319"/>
        <w:spacing w:after="0"/>
        <w:tabs>
          <w:tab w:leader="none" w:pos="174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such disclosure is reasonably required in connection with any litigation against or involving the Company or any Member;</w:t>
      </w:r>
    </w:p>
    <w:p>
      <w:pPr>
        <w:spacing w:after="0" w:line="128" w:lineRule="exact"/>
        <w:rPr>
          <w:rFonts w:ascii="Arial" w:cs="Arial" w:eastAsia="Arial" w:hAnsi="Arial"/>
          <w:sz w:val="17"/>
          <w:szCs w:val="17"/>
          <w:color w:val="auto"/>
        </w:rPr>
      </w:pPr>
    </w:p>
    <w:p>
      <w:pPr>
        <w:ind w:left="1720" w:hanging="299"/>
        <w:spacing w:after="0"/>
        <w:tabs>
          <w:tab w:leader="none" w:pos="172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such information is publicly disclosed in connection with or as part of Holdings’ or Pubco’s ordinary course investor relations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activities; or</w:t>
      </w:r>
    </w:p>
    <w:p>
      <w:pPr>
        <w:spacing w:after="0" w:line="102" w:lineRule="exact"/>
        <w:rPr>
          <w:rFonts w:ascii="Arial" w:cs="Arial" w:eastAsia="Arial" w:hAnsi="Arial"/>
          <w:sz w:val="16"/>
          <w:szCs w:val="16"/>
          <w:color w:val="auto"/>
        </w:rPr>
      </w:pPr>
    </w:p>
    <w:p>
      <w:pPr>
        <w:ind w:right="60" w:firstLine="1421"/>
        <w:spacing w:after="0" w:line="279" w:lineRule="auto"/>
        <w:tabs>
          <w:tab w:leader="none" w:pos="1686"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such disclosure is reasonably required in connection with any proposed Transfer of all or any part of such Member’s Units in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use of any Confidential Information referred to in this clause (v), advance notice must be given to the Company so that it may require any proposed Transferee that is not a Member to enter into a confidentiality agreement with terms substantially similar to the terms of this Section 12.11 (excluding this clause (v)) prior to the disclosure of such Confidential Information.</w:t>
      </w:r>
    </w:p>
    <w:p>
      <w:pPr>
        <w:spacing w:after="0" w:line="62" w:lineRule="exact"/>
        <w:rPr>
          <w:rFonts w:ascii="Arial" w:cs="Arial" w:eastAsia="Arial" w:hAnsi="Arial"/>
          <w:sz w:val="17"/>
          <w:szCs w:val="17"/>
          <w:color w:val="auto"/>
        </w:rPr>
      </w:pPr>
    </w:p>
    <w:p>
      <w:pPr>
        <w:ind w:firstLine="981"/>
        <w:spacing w:after="0" w:line="253" w:lineRule="auto"/>
        <w:tabs>
          <w:tab w:leader="none" w:pos="124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any information related to the activities of the Company, the Members and their respective Affiliates that a Member may acquire from the Company or the Members, other than information that (i) is already available through publicly available sources of information (other than as a result of disclosure by such Member in violation of this Agreement or any other applicable agreement containing confidentiality provisions signed by such Member), (ii) was available to a Member on a non-confidential basis prior to its disclosure to such Member by the Company, or (iii) becomes available to a Member on a non-confidential basis from a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third party is not known by such Member, after reasonable inquiry, to be bound by this Agreement or another confidentiality agreement with the Company. Such Confidential Information may include information that pertains or relates to the business and affairs of any other Member or any other Company matters. Confidential Information may be used by a Member and its Member Parties only in connection with Company matters and in connection with the maintenance of its interest in the Company.</w:t>
      </w:r>
    </w:p>
    <w:p>
      <w:pPr>
        <w:spacing w:after="0" w:line="86" w:lineRule="exact"/>
        <w:rPr>
          <w:rFonts w:ascii="Arial" w:cs="Arial" w:eastAsia="Arial" w:hAnsi="Arial"/>
          <w:sz w:val="18"/>
          <w:szCs w:val="18"/>
          <w:color w:val="auto"/>
        </w:rPr>
      </w:pPr>
    </w:p>
    <w:p>
      <w:pPr>
        <w:ind w:right="40" w:firstLine="981"/>
        <w:spacing w:after="0" w:line="272" w:lineRule="auto"/>
        <w:tabs>
          <w:tab w:leader="none" w:pos="123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the event that any Member or any Member Parties of such Member is required to disclose any of the Confidential Information, such Member shall use reasonable efforts to provide the Company with prompt written notice so that the Company may seek a protective order or other appropriate remedy and/or waive compliance with the provisions of this Agreement, and such Member shall use reasonable efforts to cooperate with the Company in any effort any such Person undertakes to obtain a protective order or other remedy. In the event that such protective order or other remedy is not obtained, or that the Company waives compliance with the provisions of this Section 12.11, such Member and its Member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60" w:top="273" w:right="459" w:bottom="1440" w:gutter="0" w:footer="0" w:header="0"/>
        </w:sectPr>
      </w:pPr>
    </w:p>
    <w:bookmarkStart w:id="409" w:name="page410"/>
    <w:bookmarkEnd w:id="409"/>
    <w:p>
      <w:pPr>
        <w:ind w:right="120" w:firstLine="1421"/>
        <w:spacing w:after="0" w:line="259" w:lineRule="auto"/>
        <w:tabs>
          <w:tab w:leader="none" w:pos="1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Agreement to the contrary, each Member may disclose to any persons the U.S. federal income tax treatment and tax structure of the Company and the transactions set out in the Master Transaction Agreement. For this purpose, “tax structure” is limited to any facts relevant to the U.S. federal income tax treatment of the Company and does not include information relating to the identity of the Company or any Member.</w:t>
      </w:r>
    </w:p>
    <w:p>
      <w:pPr>
        <w:spacing w:after="0" w:line="18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 that would result in the application of the laws of any other State.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60" w:top="274" w:right="479" w:bottom="1440" w:gutter="0" w:footer="0" w:header="0"/>
        </w:sectPr>
      </w:pPr>
    </w:p>
    <w:bookmarkStart w:id="410" w:name="page411"/>
    <w:bookmarkEnd w:id="4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Amended and Restated Limited Liability Company Agreement to be duly executed as of the day and year first written above.</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BELLRING BRANDS, LLC,</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Delaware limited liability company</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14605</wp:posOffset>
            </wp:positionV>
            <wp:extent cx="25609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Delaware corporation</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14605</wp:posOffset>
            </wp:positionV>
            <wp:extent cx="25609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POST HOLDINGS, INC.,</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Missouri corporation</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14605</wp:posOffset>
            </wp:positionV>
            <wp:extent cx="25609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L</w:t>
      </w:r>
      <w:r>
        <w:rPr>
          <w:rFonts w:ascii="Arial" w:cs="Arial" w:eastAsia="Arial" w:hAnsi="Arial"/>
          <w:sz w:val="14"/>
          <w:szCs w:val="14"/>
          <w:color w:val="auto"/>
        </w:rPr>
        <w:t>IMITED</w:t>
      </w:r>
      <w:r>
        <w:rPr>
          <w:rFonts w:ascii="Arial" w:cs="Arial" w:eastAsia="Arial" w:hAnsi="Arial"/>
          <w:sz w:val="18"/>
          <w:szCs w:val="18"/>
          <w:color w:val="auto"/>
        </w:rPr>
        <w:t xml:space="preserve"> L</w:t>
      </w:r>
      <w:r>
        <w:rPr>
          <w:rFonts w:ascii="Arial" w:cs="Arial" w:eastAsia="Arial" w:hAnsi="Arial"/>
          <w:sz w:val="14"/>
          <w:szCs w:val="14"/>
          <w:color w:val="auto"/>
        </w:rPr>
        <w:t>IABILITY</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920"/>
          </w:cols>
          <w:pgMar w:left="460" w:top="274" w:right="519" w:bottom="1440" w:gutter="0" w:footer="0" w:header="0"/>
        </w:sectPr>
      </w:pPr>
    </w:p>
    <w:bookmarkStart w:id="411" w:name="page412"/>
    <w:bookmarkEnd w:id="41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Member Schedule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Economic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Nonvoting Common</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Formation Date Capital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74"/>
        </w:trPr>
        <w:tc>
          <w:tcPr>
            <w:tcW w:w="1980" w:type="dxa"/>
            <w:vAlign w:val="bottom"/>
            <w:gridSpan w:val="3"/>
          </w:tcPr>
          <w:p>
            <w:pPr>
              <w:spacing w:after="0"/>
              <w:rPr>
                <w:sz w:val="20"/>
                <w:szCs w:val="20"/>
                <w:color w:val="auto"/>
              </w:rPr>
            </w:pPr>
            <w:r>
              <w:rPr>
                <w:rFonts w:ascii="Arial" w:cs="Arial" w:eastAsia="Arial" w:hAnsi="Arial"/>
                <w:sz w:val="14"/>
                <w:szCs w:val="14"/>
                <w:color w:val="auto"/>
              </w:rPr>
              <w:t>Member</w:t>
            </w:r>
          </w:p>
        </w:tc>
        <w:tc>
          <w:tcPr>
            <w:tcW w:w="420" w:type="dxa"/>
            <w:vAlign w:val="bottom"/>
          </w:tcPr>
          <w:p>
            <w:pPr>
              <w:spacing w:after="0"/>
              <w:rPr>
                <w:sz w:val="15"/>
                <w:szCs w:val="15"/>
                <w:color w:val="auto"/>
              </w:rPr>
            </w:pPr>
          </w:p>
        </w:tc>
        <w:tc>
          <w:tcPr>
            <w:tcW w:w="1980" w:type="dxa"/>
            <w:vAlign w:val="bottom"/>
            <w:gridSpan w:val="2"/>
          </w:tcPr>
          <w:p>
            <w:pPr>
              <w:ind w:left="700"/>
              <w:spacing w:after="0"/>
              <w:rPr>
                <w:sz w:val="20"/>
                <w:szCs w:val="20"/>
                <w:color w:val="auto"/>
              </w:rPr>
            </w:pPr>
            <w:r>
              <w:rPr>
                <w:rFonts w:ascii="Arial" w:cs="Arial" w:eastAsia="Arial" w:hAnsi="Arial"/>
                <w:sz w:val="14"/>
                <w:szCs w:val="14"/>
                <w:color w:val="auto"/>
              </w:rPr>
              <w:t>Address</w:t>
            </w:r>
          </w:p>
        </w:tc>
        <w:tc>
          <w:tcPr>
            <w:tcW w:w="2460" w:type="dxa"/>
            <w:vAlign w:val="bottom"/>
            <w:gridSpan w:val="2"/>
          </w:tcPr>
          <w:p>
            <w:pPr>
              <w:ind w:left="280"/>
              <w:spacing w:after="0"/>
              <w:rPr>
                <w:sz w:val="20"/>
                <w:szCs w:val="20"/>
                <w:color w:val="auto"/>
              </w:rPr>
            </w:pPr>
            <w:r>
              <w:rPr>
                <w:rFonts w:ascii="Arial" w:cs="Arial" w:eastAsia="Arial" w:hAnsi="Arial"/>
                <w:sz w:val="14"/>
                <w:szCs w:val="14"/>
                <w:color w:val="auto"/>
              </w:rPr>
              <w:t>Voting Common Units</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Units</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Account Balance</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Voting Member</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980" w:type="dxa"/>
            <w:vAlign w:val="bottom"/>
            <w:gridSpan w:val="3"/>
          </w:tcPr>
          <w:p>
            <w:pPr>
              <w:spacing w:after="0"/>
              <w:rPr>
                <w:sz w:val="20"/>
                <w:szCs w:val="20"/>
                <w:color w:val="auto"/>
              </w:rPr>
            </w:pPr>
            <w:r>
              <w:rPr>
                <w:rFonts w:ascii="Arial" w:cs="Arial" w:eastAsia="Arial" w:hAnsi="Arial"/>
                <w:sz w:val="18"/>
                <w:szCs w:val="18"/>
                <w:color w:val="auto"/>
              </w:rPr>
              <w:t>BellRing Brands, Inc.</w:t>
            </w: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2503 S. Hanley Rd.</w:t>
            </w:r>
          </w:p>
        </w:tc>
        <w:tc>
          <w:tcPr>
            <w:tcW w:w="1860" w:type="dxa"/>
            <w:vAlign w:val="bottom"/>
          </w:tcPr>
          <w:p>
            <w:pPr>
              <w:jc w:val="right"/>
              <w:ind w:right="795"/>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St. Louis, MO 63144</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Attention: General</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Counsel</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E-mail:</w:t>
            </w:r>
          </w:p>
        </w:tc>
        <w:tc>
          <w:tcPr>
            <w:tcW w:w="1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Economic Members</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980" w:type="dxa"/>
            <w:vAlign w:val="bottom"/>
            <w:gridSpan w:val="3"/>
          </w:tcPr>
          <w:p>
            <w:pPr>
              <w:spacing w:after="0"/>
              <w:rPr>
                <w:sz w:val="20"/>
                <w:szCs w:val="20"/>
                <w:color w:val="auto"/>
              </w:rPr>
            </w:pPr>
            <w:r>
              <w:rPr>
                <w:rFonts w:ascii="Arial" w:cs="Arial" w:eastAsia="Arial" w:hAnsi="Arial"/>
                <w:sz w:val="18"/>
                <w:szCs w:val="18"/>
                <w:color w:val="auto"/>
              </w:rPr>
              <w:t>Post Holdings, Inc.</w:t>
            </w: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2503 S. Hanley Rd.</w:t>
            </w:r>
          </w:p>
        </w:tc>
        <w:tc>
          <w:tcPr>
            <w:tcW w:w="2460" w:type="dxa"/>
            <w:vAlign w:val="bottom"/>
            <w:gridSpan w:val="2"/>
          </w:tcPr>
          <w:p>
            <w:pPr>
              <w:jc w:val="right"/>
              <w:ind w:right="14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St. Louis, MO 63144</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Attention: General</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Counsel</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0" w:type="dxa"/>
            <w:vAlign w:val="bottom"/>
            <w:gridSpan w:val="3"/>
          </w:tcPr>
          <w:p>
            <w:pPr>
              <w:ind w:left="420"/>
              <w:spacing w:after="0"/>
              <w:rPr>
                <w:sz w:val="20"/>
                <w:szCs w:val="20"/>
                <w:color w:val="auto"/>
              </w:rPr>
            </w:pPr>
            <w:r>
              <w:rPr>
                <w:rFonts w:ascii="Arial" w:cs="Arial" w:eastAsia="Arial" w:hAnsi="Arial"/>
                <w:sz w:val="18"/>
                <w:szCs w:val="18"/>
                <w:color w:val="auto"/>
              </w:rPr>
              <w:t>E-mail:</w:t>
            </w:r>
          </w:p>
        </w:tc>
        <w:tc>
          <w:tcPr>
            <w:tcW w:w="1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BellRing Brands, Inc.</w:t>
            </w:r>
          </w:p>
        </w:tc>
        <w:tc>
          <w:tcPr>
            <w:tcW w:w="240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color w:val="auto"/>
              </w:rPr>
              <w:t>2503 S. Hanley Rd.</w:t>
            </w:r>
          </w:p>
        </w:tc>
        <w:tc>
          <w:tcPr>
            <w:tcW w:w="2460" w:type="dxa"/>
            <w:vAlign w:val="bottom"/>
            <w:gridSpan w:val="2"/>
            <w:shd w:val="clear" w:color="auto" w:fill="CCEEFF"/>
          </w:tcPr>
          <w:p>
            <w:pPr>
              <w:jc w:val="right"/>
              <w:ind w:right="148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 Louis, MO 63144</w:t>
            </w: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Attention: General</w:t>
            </w: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Counsel</w:t>
            </w: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4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E-mail:</w:t>
            </w:r>
          </w:p>
        </w:tc>
        <w:tc>
          <w:tcPr>
            <w:tcW w:w="18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4" w:right="4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TAX MATTERS AGREEMENT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BellRing Brands, LLC</w:t>
      </w:r>
    </w:p>
    <w:p>
      <w:pPr>
        <w:spacing w:after="0" w:line="229"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Dated as of</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bl>
    <w:p>
      <w:pPr>
        <w:sectPr>
          <w:pgSz w:w="11900" w:h="16838" w:orient="portrait"/>
          <w:cols w:equalWidth="0" w:num="1">
            <w:col w:w="10020"/>
          </w:cols>
          <w:pgMar w:left="1440" w:top="121" w:right="439" w:bottom="1440" w:gutter="0" w:footer="0" w:header="0"/>
        </w:sectPr>
      </w:pPr>
    </w:p>
    <w:bookmarkStart w:id="413" w:name="page414"/>
    <w:bookmarkEnd w:id="4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9"/>
              </w:rPr>
              <w:t>ARTICLE I</w:t>
            </w:r>
          </w:p>
        </w:tc>
        <w:tc>
          <w:tcPr>
            <w:tcW w:w="1520" w:type="dxa"/>
            <w:vAlign w:val="bottom"/>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7"/>
              </w:rPr>
              <w:t>Definitions</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8440" w:type="dxa"/>
            <w:vAlign w:val="bottom"/>
          </w:tcPr>
          <w:p>
            <w:pPr>
              <w:ind w:left="80"/>
              <w:spacing w:after="0"/>
              <w:rPr>
                <w:sz w:val="20"/>
                <w:szCs w:val="20"/>
                <w:color w:val="auto"/>
              </w:rPr>
            </w:pPr>
            <w:r>
              <w:rPr>
                <w:rFonts w:ascii="Arial" w:cs="Arial" w:eastAsia="Arial" w:hAnsi="Arial"/>
                <w:sz w:val="18"/>
                <w:szCs w:val="18"/>
                <w:color w:val="auto"/>
              </w:rPr>
              <w:t>General</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1.02  Rules of Interpretation</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8"/>
              </w:rPr>
              <w:t>ARTICLE II</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0"/>
              </w:rPr>
              <w:t>Preparation, Filing and Payment of Taxes Shown Due on Tax Returns</w:t>
            </w:r>
          </w:p>
        </w:tc>
        <w:tc>
          <w:tcPr>
            <w:tcW w:w="1520" w:type="dxa"/>
            <w:vAlign w:val="bottom"/>
          </w:tcPr>
          <w:p>
            <w:pPr>
              <w:spacing w:after="0"/>
              <w:rPr>
                <w:sz w:val="24"/>
                <w:szCs w:val="24"/>
                <w:color w:val="auto"/>
              </w:rPr>
            </w:pP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2.01  Post Consolidated Returns</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2.02  Allocation of Taxes</w:t>
            </w: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2.03  Tax Treatment of Payments</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rPr>
              <w:t>ARTICLE III</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2"/>
              </w:rPr>
              <w:t>Indemnification for Taxes</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3.01</w:t>
            </w:r>
          </w:p>
        </w:tc>
        <w:tc>
          <w:tcPr>
            <w:tcW w:w="8440" w:type="dxa"/>
            <w:vAlign w:val="bottom"/>
          </w:tcPr>
          <w:p>
            <w:pPr>
              <w:ind w:left="80"/>
              <w:spacing w:after="0"/>
              <w:rPr>
                <w:sz w:val="20"/>
                <w:szCs w:val="20"/>
                <w:color w:val="auto"/>
              </w:rPr>
            </w:pPr>
            <w:r>
              <w:rPr>
                <w:rFonts w:ascii="Arial" w:cs="Arial" w:eastAsia="Arial" w:hAnsi="Arial"/>
                <w:sz w:val="18"/>
                <w:szCs w:val="18"/>
                <w:color w:val="auto"/>
              </w:rPr>
              <w:t>Indemnified Taxes</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3.02  Refunds of Pre-Closing Taxes</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3.03</w:t>
            </w:r>
          </w:p>
        </w:tc>
        <w:tc>
          <w:tcPr>
            <w:tcW w:w="8440" w:type="dxa"/>
            <w:vAlign w:val="bottom"/>
          </w:tcPr>
          <w:p>
            <w:pPr>
              <w:ind w:left="80"/>
              <w:spacing w:after="0"/>
              <w:rPr>
                <w:sz w:val="20"/>
                <w:szCs w:val="20"/>
                <w:color w:val="auto"/>
              </w:rPr>
            </w:pPr>
            <w:r>
              <w:rPr>
                <w:rFonts w:ascii="Arial" w:cs="Arial" w:eastAsia="Arial" w:hAnsi="Arial"/>
                <w:sz w:val="18"/>
                <w:szCs w:val="18"/>
                <w:color w:val="auto"/>
              </w:rPr>
              <w:t>Apportionment</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3.04  Tax Treatment of Payments</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3.05</w:t>
            </w:r>
          </w:p>
        </w:tc>
        <w:tc>
          <w:tcPr>
            <w:tcW w:w="8440" w:type="dxa"/>
            <w:vAlign w:val="bottom"/>
          </w:tcPr>
          <w:p>
            <w:pPr>
              <w:ind w:left="80"/>
              <w:spacing w:after="0"/>
              <w:rPr>
                <w:sz w:val="20"/>
                <w:szCs w:val="20"/>
                <w:color w:val="auto"/>
              </w:rPr>
            </w:pPr>
            <w:r>
              <w:rPr>
                <w:rFonts w:ascii="Arial" w:cs="Arial" w:eastAsia="Arial" w:hAnsi="Arial"/>
                <w:sz w:val="18"/>
                <w:szCs w:val="18"/>
                <w:color w:val="auto"/>
              </w:rPr>
              <w:t>Survival</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9"/>
              </w:rPr>
              <w:t>ARTICLE IV</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1"/>
              </w:rPr>
              <w:t>Cooperation</w:t>
            </w:r>
          </w:p>
        </w:tc>
        <w:tc>
          <w:tcPr>
            <w:tcW w:w="1520" w:type="dxa"/>
            <w:vAlign w:val="bottom"/>
          </w:tcPr>
          <w:p>
            <w:pPr>
              <w:spacing w:after="0"/>
              <w:rPr>
                <w:sz w:val="24"/>
                <w:szCs w:val="24"/>
                <w:color w:val="auto"/>
              </w:rPr>
            </w:pP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4.01  Cooperation for Spin-Off Transaction</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Section 4.02  Cooperation for Tax Audits</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80" w:type="dxa"/>
            <w:vAlign w:val="bottom"/>
          </w:tcPr>
          <w:p>
            <w:pPr>
              <w:spacing w:after="0"/>
              <w:rPr>
                <w:sz w:val="24"/>
                <w:szCs w:val="24"/>
                <w:color w:val="auto"/>
              </w:rPr>
            </w:pPr>
          </w:p>
        </w:tc>
        <w:tc>
          <w:tcPr>
            <w:tcW w:w="8440" w:type="dxa"/>
            <w:vAlign w:val="bottom"/>
          </w:tcPr>
          <w:p>
            <w:pPr>
              <w:jc w:val="center"/>
              <w:ind w:left="430"/>
              <w:spacing w:after="0"/>
              <w:rPr>
                <w:sz w:val="20"/>
                <w:szCs w:val="20"/>
                <w:color w:val="auto"/>
              </w:rPr>
            </w:pPr>
            <w:r>
              <w:rPr>
                <w:rFonts w:ascii="Arial" w:cs="Arial" w:eastAsia="Arial" w:hAnsi="Arial"/>
                <w:sz w:val="18"/>
                <w:szCs w:val="18"/>
                <w:color w:val="auto"/>
                <w:w w:val="98"/>
              </w:rPr>
              <w:t>ARTICLE V</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440" w:type="dxa"/>
            <w:vAlign w:val="bottom"/>
          </w:tcPr>
          <w:p>
            <w:pPr>
              <w:jc w:val="center"/>
              <w:ind w:left="430"/>
              <w:spacing w:after="0"/>
              <w:rPr>
                <w:sz w:val="20"/>
                <w:szCs w:val="20"/>
                <w:color w:val="auto"/>
              </w:rPr>
            </w:pPr>
            <w:r>
              <w:rPr>
                <w:rFonts w:ascii="Arial" w:cs="Arial" w:eastAsia="Arial" w:hAnsi="Arial"/>
                <w:sz w:val="18"/>
                <w:szCs w:val="18"/>
                <w:color w:val="auto"/>
                <w:w w:val="91"/>
              </w:rPr>
              <w:t>Miscellaneous</w:t>
            </w:r>
          </w:p>
        </w:tc>
        <w:tc>
          <w:tcPr>
            <w:tcW w:w="152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5.01</w:t>
            </w:r>
          </w:p>
        </w:tc>
        <w:tc>
          <w:tcPr>
            <w:tcW w:w="84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5.02</w:t>
            </w:r>
          </w:p>
        </w:tc>
        <w:tc>
          <w:tcPr>
            <w:tcW w:w="8440" w:type="dxa"/>
            <w:vAlign w:val="bottom"/>
          </w:tcPr>
          <w:p>
            <w:pPr>
              <w:ind w:left="80"/>
              <w:spacing w:after="0"/>
              <w:rPr>
                <w:sz w:val="20"/>
                <w:szCs w:val="20"/>
                <w:color w:val="auto"/>
              </w:rPr>
            </w:pPr>
            <w:r>
              <w:rPr>
                <w:rFonts w:ascii="Arial" w:cs="Arial" w:eastAsia="Arial" w:hAnsi="Arial"/>
                <w:sz w:val="18"/>
                <w:szCs w:val="18"/>
                <w:color w:val="auto"/>
              </w:rPr>
              <w:t>Dispute Resolution</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5.03</w:t>
            </w:r>
          </w:p>
        </w:tc>
        <w:tc>
          <w:tcPr>
            <w:tcW w:w="84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4"/>
        </w:trPr>
        <w:tc>
          <w:tcPr>
            <w:tcW w:w="980" w:type="dxa"/>
            <w:vAlign w:val="bottom"/>
          </w:tcPr>
          <w:p>
            <w:pPr>
              <w:spacing w:after="0"/>
              <w:rPr>
                <w:sz w:val="24"/>
                <w:szCs w:val="24"/>
                <w:color w:val="auto"/>
              </w:rPr>
            </w:pPr>
          </w:p>
        </w:tc>
        <w:tc>
          <w:tcPr>
            <w:tcW w:w="8440" w:type="dxa"/>
            <w:vAlign w:val="bottom"/>
          </w:tcPr>
          <w:p>
            <w:pPr>
              <w:ind w:left="4480"/>
              <w:spacing w:after="0"/>
              <w:rPr>
                <w:sz w:val="20"/>
                <w:szCs w:val="20"/>
                <w:color w:val="auto"/>
              </w:rPr>
            </w:pPr>
            <w:r>
              <w:rPr>
                <w:rFonts w:ascii="Arial" w:cs="Arial" w:eastAsia="Arial" w:hAnsi="Arial"/>
                <w:sz w:val="18"/>
                <w:szCs w:val="18"/>
                <w:color w:val="auto"/>
              </w:rPr>
              <w:t>i</w:t>
            </w:r>
          </w:p>
        </w:tc>
        <w:tc>
          <w:tcPr>
            <w:tcW w:w="1520" w:type="dxa"/>
            <w:vAlign w:val="bottom"/>
          </w:tcPr>
          <w:p>
            <w:pPr>
              <w:spacing w:after="0"/>
              <w:rPr>
                <w:sz w:val="24"/>
                <w:szCs w:val="24"/>
                <w:color w:val="auto"/>
              </w:rPr>
            </w:pPr>
          </w:p>
        </w:tc>
      </w:tr>
    </w:tbl>
    <w:p>
      <w:pPr>
        <w:sectPr>
          <w:pgSz w:w="11900" w:h="16838" w:orient="portrait"/>
          <w:cols w:equalWidth="0" w:num="1">
            <w:col w:w="10940"/>
          </w:cols>
          <w:pgMar w:left="460" w:top="273" w:right="499" w:bottom="1440" w:gutter="0" w:footer="0" w:header="0"/>
        </w:sectPr>
      </w:pPr>
    </w:p>
    <w:bookmarkStart w:id="414" w:name="page415"/>
    <w:bookmarkEnd w:id="4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5.04</w:t>
            </w:r>
          </w:p>
        </w:tc>
        <w:tc>
          <w:tcPr>
            <w:tcW w:w="60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5.05</w:t>
            </w:r>
          </w:p>
        </w:tc>
        <w:tc>
          <w:tcPr>
            <w:tcW w:w="606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3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5.06</w:t>
            </w:r>
          </w:p>
        </w:tc>
        <w:tc>
          <w:tcPr>
            <w:tcW w:w="606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3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5.07</w:t>
            </w:r>
          </w:p>
        </w:tc>
        <w:tc>
          <w:tcPr>
            <w:tcW w:w="6060" w:type="dxa"/>
            <w:vAlign w:val="bottom"/>
          </w:tcPr>
          <w:p>
            <w:pPr>
              <w:ind w:left="80"/>
              <w:spacing w:after="0"/>
              <w:rPr>
                <w:sz w:val="20"/>
                <w:szCs w:val="20"/>
                <w:color w:val="auto"/>
              </w:rPr>
            </w:pPr>
            <w:r>
              <w:rPr>
                <w:rFonts w:ascii="Arial" w:cs="Arial" w:eastAsia="Arial" w:hAnsi="Arial"/>
                <w:sz w:val="18"/>
                <w:szCs w:val="18"/>
                <w:color w:val="auto"/>
              </w:rPr>
              <w:t>Amendments; Waivers</w:t>
            </w:r>
          </w:p>
        </w:tc>
        <w:tc>
          <w:tcPr>
            <w:tcW w:w="3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5.08</w:t>
            </w:r>
          </w:p>
        </w:tc>
        <w:tc>
          <w:tcPr>
            <w:tcW w:w="60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40" w:type="dxa"/>
            <w:vAlign w:val="bottom"/>
            <w:gridSpan w:val="2"/>
          </w:tcPr>
          <w:p>
            <w:pPr>
              <w:spacing w:after="0"/>
              <w:rPr>
                <w:sz w:val="20"/>
                <w:szCs w:val="20"/>
                <w:color w:val="auto"/>
              </w:rPr>
            </w:pPr>
            <w:r>
              <w:rPr>
                <w:rFonts w:ascii="Arial" w:cs="Arial" w:eastAsia="Arial" w:hAnsi="Arial"/>
                <w:sz w:val="18"/>
                <w:szCs w:val="18"/>
                <w:color w:val="auto"/>
              </w:rPr>
              <w:t>Section 5.09  Waiver of Jury Trial</w:t>
            </w:r>
          </w:p>
        </w:tc>
        <w:tc>
          <w:tcPr>
            <w:tcW w:w="3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40" w:type="dxa"/>
            <w:vAlign w:val="bottom"/>
            <w:gridSpan w:val="2"/>
          </w:tcPr>
          <w:p>
            <w:pPr>
              <w:spacing w:after="0"/>
              <w:rPr>
                <w:sz w:val="20"/>
                <w:szCs w:val="20"/>
                <w:color w:val="auto"/>
              </w:rPr>
            </w:pPr>
            <w:r>
              <w:rPr>
                <w:rFonts w:ascii="Arial" w:cs="Arial" w:eastAsia="Arial" w:hAnsi="Arial"/>
                <w:sz w:val="18"/>
                <w:szCs w:val="18"/>
                <w:color w:val="auto"/>
              </w:rPr>
              <w:t>Section 5.10  Jurisdiction; Service of Process</w:t>
            </w:r>
          </w:p>
        </w:tc>
        <w:tc>
          <w:tcPr>
            <w:tcW w:w="3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5.11</w:t>
            </w:r>
          </w:p>
        </w:tc>
        <w:tc>
          <w:tcPr>
            <w:tcW w:w="6060" w:type="dxa"/>
            <w:vAlign w:val="bottom"/>
          </w:tcPr>
          <w:p>
            <w:pPr>
              <w:ind w:left="80"/>
              <w:spacing w:after="0"/>
              <w:rPr>
                <w:sz w:val="20"/>
                <w:szCs w:val="20"/>
                <w:color w:val="auto"/>
              </w:rPr>
            </w:pPr>
            <w:r>
              <w:rPr>
                <w:rFonts w:ascii="Arial" w:cs="Arial" w:eastAsia="Arial" w:hAnsi="Arial"/>
                <w:sz w:val="18"/>
                <w:szCs w:val="18"/>
                <w:color w:val="auto"/>
              </w:rPr>
              <w:t>Notices</w:t>
            </w:r>
          </w:p>
        </w:tc>
        <w:tc>
          <w:tcPr>
            <w:tcW w:w="39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60" w:top="382" w:right="49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40" w:type="dxa"/>
            <w:vAlign w:val="bottom"/>
            <w:gridSpan w:val="9"/>
          </w:tcPr>
          <w:p>
            <w:pPr>
              <w:jc w:val="center"/>
              <w:ind w:right="2580"/>
              <w:spacing w:after="0"/>
              <w:rPr>
                <w:sz w:val="20"/>
                <w:szCs w:val="20"/>
                <w:color w:val="auto"/>
              </w:rPr>
            </w:pPr>
            <w:r>
              <w:rPr>
                <w:rFonts w:ascii="Arial" w:cs="Arial" w:eastAsia="Arial" w:hAnsi="Arial"/>
                <w:sz w:val="18"/>
                <w:szCs w:val="18"/>
                <w:color w:val="auto"/>
                <w:w w:val="97"/>
              </w:rPr>
              <w:t>TAX MATTERS AGREEMENT</w:t>
            </w:r>
          </w:p>
        </w:tc>
        <w:tc>
          <w:tcPr>
            <w:tcW w:w="1160" w:type="dxa"/>
            <w:vAlign w:val="bottom"/>
          </w:tcPr>
          <w:p>
            <w:pPr>
              <w:spacing w:after="0"/>
              <w:rPr>
                <w:sz w:val="20"/>
                <w:szCs w:val="20"/>
                <w:color w:val="auto"/>
              </w:rPr>
            </w:pPr>
          </w:p>
        </w:tc>
      </w:tr>
      <w:tr>
        <w:trPr>
          <w:trHeight w:val="391"/>
        </w:trPr>
        <w:tc>
          <w:tcPr>
            <w:tcW w:w="6080" w:type="dxa"/>
            <w:vAlign w:val="bottom"/>
            <w:gridSpan w:val="6"/>
          </w:tcPr>
          <w:p>
            <w:pPr>
              <w:ind w:left="440"/>
              <w:spacing w:after="0"/>
              <w:rPr>
                <w:sz w:val="20"/>
                <w:szCs w:val="20"/>
                <w:color w:val="auto"/>
              </w:rPr>
            </w:pPr>
            <w:r>
              <w:rPr>
                <w:rFonts w:ascii="Arial" w:cs="Arial" w:eastAsia="Arial" w:hAnsi="Arial"/>
                <w:sz w:val="18"/>
                <w:szCs w:val="18"/>
                <w:color w:val="auto"/>
              </w:rPr>
              <w:t>THIS TAX MATTERS AGREEMENT (this “Agreement”), dated as of</w:t>
            </w:r>
          </w:p>
        </w:tc>
        <w:tc>
          <w:tcPr>
            <w:tcW w:w="4880" w:type="dxa"/>
            <w:vAlign w:val="bottom"/>
            <w:gridSpan w:val="8"/>
          </w:tcPr>
          <w:p>
            <w:pPr>
              <w:ind w:left="400"/>
              <w:spacing w:after="0"/>
              <w:rPr>
                <w:sz w:val="20"/>
                <w:szCs w:val="20"/>
                <w:color w:val="auto"/>
              </w:rPr>
            </w:pPr>
            <w:r>
              <w:rPr>
                <w:rFonts w:ascii="Arial" w:cs="Arial" w:eastAsia="Arial" w:hAnsi="Arial"/>
                <w:sz w:val="18"/>
                <w:szCs w:val="18"/>
                <w:color w:val="auto"/>
                <w:w w:val="90"/>
              </w:rPr>
              <w:t>, 2019 (the “Closing Date”) is entered into by and among Post</w:t>
            </w: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196"/>
        </w:trPr>
        <w:tc>
          <w:tcPr>
            <w:tcW w:w="10960" w:type="dxa"/>
            <w:vAlign w:val="bottom"/>
            <w:gridSpan w:val="14"/>
          </w:tcPr>
          <w:p>
            <w:pPr>
              <w:spacing w:after="0" w:line="196" w:lineRule="exact"/>
              <w:rPr>
                <w:sz w:val="20"/>
                <w:szCs w:val="20"/>
                <w:color w:val="auto"/>
              </w:rPr>
            </w:pPr>
            <w:r>
              <w:rPr>
                <w:rFonts w:ascii="Arial" w:cs="Arial" w:eastAsia="Arial" w:hAnsi="Arial"/>
                <w:sz w:val="18"/>
                <w:szCs w:val="18"/>
                <w:color w:val="auto"/>
                <w:w w:val="99"/>
              </w:rPr>
              <w:t>Holdings, Inc., a Missouri corporation (“Post”), BellRing Brands, Inc., a Delaware corporation (“BellRing Inc.”), and BellRing Brands, LLC, a</w:t>
            </w: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3"/>
          </w:tcPr>
          <w:p>
            <w:pPr>
              <w:spacing w:after="0" w:line="196" w:lineRule="exact"/>
              <w:rPr>
                <w:sz w:val="20"/>
                <w:szCs w:val="20"/>
                <w:color w:val="auto"/>
              </w:rPr>
            </w:pPr>
            <w:r>
              <w:rPr>
                <w:rFonts w:ascii="Arial" w:cs="Arial" w:eastAsia="Arial" w:hAnsi="Arial"/>
                <w:sz w:val="18"/>
                <w:szCs w:val="18"/>
                <w:color w:val="auto"/>
              </w:rPr>
              <w:t>Delaware limited liability company (“BellRing LLC” and, together with Post and BellRing Inc., the “Parties”).</w:t>
            </w:r>
          </w:p>
        </w:tc>
        <w:tc>
          <w:tcPr>
            <w:tcW w:w="1160" w:type="dxa"/>
            <w:vAlign w:val="bottom"/>
          </w:tcPr>
          <w:p>
            <w:pPr>
              <w:spacing w:after="0"/>
              <w:rPr>
                <w:sz w:val="17"/>
                <w:szCs w:val="17"/>
                <w:color w:val="auto"/>
              </w:rPr>
            </w:pPr>
          </w:p>
        </w:tc>
      </w:tr>
      <w:tr>
        <w:trPr>
          <w:trHeight w:val="668"/>
        </w:trPr>
        <w:tc>
          <w:tcPr>
            <w:tcW w:w="2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jc w:val="center"/>
              <w:ind w:left="290"/>
              <w:spacing w:after="0"/>
              <w:rPr>
                <w:sz w:val="20"/>
                <w:szCs w:val="20"/>
                <w:color w:val="auto"/>
              </w:rPr>
            </w:pPr>
            <w:r>
              <w:rPr>
                <w:rFonts w:ascii="Arial" w:cs="Arial" w:eastAsia="Arial" w:hAnsi="Arial"/>
                <w:sz w:val="18"/>
                <w:szCs w:val="18"/>
                <w:color w:val="auto"/>
                <w:w w:val="95"/>
              </w:rPr>
              <w:t>RECITALS</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1"/>
        </w:trPr>
        <w:tc>
          <w:tcPr>
            <w:tcW w:w="9800" w:type="dxa"/>
            <w:vAlign w:val="bottom"/>
            <w:gridSpan w:val="13"/>
          </w:tcPr>
          <w:p>
            <w:pPr>
              <w:ind w:left="440"/>
              <w:spacing w:after="0"/>
              <w:rPr>
                <w:sz w:val="20"/>
                <w:szCs w:val="20"/>
                <w:color w:val="auto"/>
              </w:rPr>
            </w:pPr>
            <w:r>
              <w:rPr>
                <w:rFonts w:ascii="Arial" w:cs="Arial" w:eastAsia="Arial" w:hAnsi="Arial"/>
                <w:sz w:val="18"/>
                <w:szCs w:val="18"/>
                <w:color w:val="auto"/>
                <w:w w:val="95"/>
              </w:rPr>
              <w:t>WHEREAS, pursuant to the terms of the Master Transaction Agreement (the “Master Transaction Agreement”), dated as of</w:t>
            </w:r>
          </w:p>
        </w:tc>
        <w:tc>
          <w:tcPr>
            <w:tcW w:w="1160" w:type="dxa"/>
            <w:vAlign w:val="bottom"/>
          </w:tcPr>
          <w:p>
            <w:pPr>
              <w:ind w:left="460"/>
              <w:spacing w:after="0"/>
              <w:rPr>
                <w:sz w:val="20"/>
                <w:szCs w:val="20"/>
                <w:color w:val="auto"/>
              </w:rPr>
            </w:pPr>
            <w:r>
              <w:rPr>
                <w:rFonts w:ascii="Arial" w:cs="Arial" w:eastAsia="Arial" w:hAnsi="Arial"/>
                <w:sz w:val="18"/>
                <w:szCs w:val="18"/>
                <w:color w:val="auto"/>
                <w:w w:val="91"/>
              </w:rPr>
              <w:t>, 2019 by</w:t>
            </w: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spacing w:after="0" w:line="263" w:lineRule="auto"/>
        <w:rPr>
          <w:sz w:val="20"/>
          <w:szCs w:val="20"/>
          <w:color w:val="auto"/>
        </w:rPr>
      </w:pPr>
      <w:r>
        <w:rPr>
          <w:rFonts w:ascii="Arial" w:cs="Arial" w:eastAsia="Arial" w:hAnsi="Arial"/>
          <w:sz w:val="18"/>
          <w:szCs w:val="18"/>
          <w:color w:val="auto"/>
        </w:rPr>
        <w:t>and among Post, BellRing Inc. and BellRing LLC, the parties thereto have agreed to consummate the separation of BellRing LLC and its business from Post as contemplated thereby, and to take the other actions contemplated in such Master Transaction Agreement (collectively, the “</w:t>
      </w:r>
      <w:r>
        <w:rPr>
          <w:rFonts w:ascii="Arial" w:cs="Arial" w:eastAsia="Arial" w:hAnsi="Arial"/>
          <w:sz w:val="18"/>
          <w:szCs w:val="18"/>
          <w:u w:val="single" w:color="auto"/>
          <w:color w:val="auto"/>
        </w:rPr>
        <w:t>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3"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WHEREAS, pursuant to the Formation Transactions, assets of Post and its applicable Subsidiaries shall be transferred to, and liabilities assumed by, BellRing LLC and its applicable Subsidiaries, and the Parties intend for such transfer to be treated for U.S. federal Income Tax purposes as a tax-free contribution of such assets to BellRing LLC by Post and its applicable Subsidiaries under Section 721 of the Code;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following the Formation Transactions, Post and BellRing Inc. will own the common units in BellRing LLC; and</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WHEREAS, the Parties wish to allocate the burden for Income Taxes (as defined below) imposed on Post and the BellRing LLC Entities (as defined below) in respect of their income in a fair and equitable manner.</w:t>
      </w:r>
    </w:p>
    <w:p>
      <w:pPr>
        <w:spacing w:after="0" w:line="170" w:lineRule="exact"/>
        <w:rPr>
          <w:sz w:val="20"/>
          <w:szCs w:val="20"/>
          <w:color w:val="auto"/>
        </w:rPr>
      </w:pPr>
    </w:p>
    <w:p>
      <w:pPr>
        <w:ind w:right="240" w:firstLine="440"/>
        <w:spacing w:after="0" w:line="341"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General</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60" w:top="274" w:right="459" w:bottom="1440" w:gutter="0" w:footer="0" w:header="0"/>
        </w:sectPr>
      </w:pPr>
    </w:p>
    <w:bookmarkStart w:id="416" w:name="page417"/>
    <w:bookmarkEnd w:id="4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BellRing Inc.</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Entity</w:t>
      </w:r>
      <w:r>
        <w:rPr>
          <w:rFonts w:ascii="Arial" w:cs="Arial" w:eastAsia="Arial" w:hAnsi="Arial"/>
          <w:sz w:val="18"/>
          <w:szCs w:val="18"/>
          <w:color w:val="auto"/>
        </w:rPr>
        <w:t>” means BellRing LLC and any other entity that is a member of the BellRing LLC Group.</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LLC Group</w:t>
      </w:r>
      <w:r>
        <w:rPr>
          <w:rFonts w:ascii="Arial" w:cs="Arial" w:eastAsia="Arial" w:hAnsi="Arial"/>
          <w:sz w:val="16"/>
          <w:szCs w:val="16"/>
          <w:color w:val="auto"/>
        </w:rPr>
        <w:t>” means (a) BellRing LLC and each Person (including any Person treated as a disregarded entity for U.S. federal Income Tax purposes (or for purposes of any state, local, or foreign tax law)) in which BellRing LLC directly or indirectly has an interest, if such Person would be required to join in a Tax Return on a consolidated, combined or unitary basis with BellRing LLC if BellRing LLC or such Person, as applicable, were not required to join in a Tax Return on a consolidated, combined or unitary basis with Post, (b) any corporation (or other Person) that shall have merged or liquidated into any such Person and (c) any predecessor or successor to any Person otherwise described in this definition.</w:t>
      </w:r>
    </w:p>
    <w:p>
      <w:pPr>
        <w:spacing w:after="0" w:line="16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Separate Tax Attribute</w:t>
      </w:r>
      <w:r>
        <w:rPr>
          <w:rFonts w:ascii="Arial" w:cs="Arial" w:eastAsia="Arial" w:hAnsi="Arial"/>
          <w:sz w:val="18"/>
          <w:szCs w:val="18"/>
          <w:color w:val="auto"/>
        </w:rPr>
        <w:t>” means Tax Attributes of BellRing LLC or the relevant members of the BellRing LLC Group, in each case, to the extent arising after the Closing Date, treating all such Tax Attributes as being subject to the limitations under applicable Tax law (including limitations on carrybacks and carryforwards) that would apply to the extent that any such members of the BellRing LLC Group would (but for their inclusion in a Post Consolidated Return) be entitled to file a Tax Return on a consolidated, combined or unitary basis solely with other members of the BellRing LLC Group.</w:t>
      </w:r>
    </w:p>
    <w:p>
      <w:pPr>
        <w:spacing w:after="0" w:line="19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LLC Taxes</w:t>
      </w:r>
      <w:r>
        <w:rPr>
          <w:rFonts w:ascii="Arial" w:cs="Arial" w:eastAsia="Arial" w:hAnsi="Arial"/>
          <w:sz w:val="17"/>
          <w:szCs w:val="17"/>
          <w:color w:val="auto"/>
        </w:rPr>
        <w:t>” means, in cases when any member of the BellRing LLC Group is included in a Post Consolidated Return, the hypothetical stand-alone Income Tax liability of the BellRing LLC Group or of any members of the BellRing LLC Group (as the case requires), for any taxable period (or portion thereof) beginning after the Closing Date, determined on the following basis: (i) to the extent that members of the BellRing LLC Group would (but for their inclusion in a Post Consolidated Return) be entitled to file a Tax Return on a consolidated, combined or unitary basis solely with other members of the BellRing LLC Group, such Income Tax liability shall be determined as though such members filed on a consolidated, combined or unitary basis, as applicable, solely with such other members of the BellRing LLC Group and (ii) taxable income of the BellRing LLC Group and/or any of its members shall be calculated by taking into account the BellRing LLC Separate Tax Attributes.</w:t>
      </w:r>
    </w:p>
    <w:p>
      <w:pPr>
        <w:spacing w:after="0" w:line="176"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of the Books Method</w:t>
      </w:r>
      <w:r>
        <w:rPr>
          <w:rFonts w:ascii="Arial" w:cs="Arial" w:eastAsia="Arial" w:hAnsi="Arial"/>
          <w:sz w:val="18"/>
          <w:szCs w:val="18"/>
          <w:color w:val="auto"/>
        </w:rPr>
        <w:t>” means the apportionment of items between portions of a taxable period based on a closing of the books and records on the close of the Closing Date (in the event that the Closing Date is not the last day of the taxable period, as if the Closing Date were the last day of the taxable period), subject to adjustment for items accrued on the Closing Date that are properly allocable to the Post-Closing Period, and subject to adjustment for Tax payments made after the Effective Time, which will be allocated to the Post-Closing Period under the principles of Treasury Regulations Section 1.1502-76; provided that any items not susceptible to such apportionment shall be apportioned on the basis of elapsed days during the relevant portion of the taxable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417" w:name="page418"/>
    <w:bookmarkEnd w:id="4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11:59 pm on the Closing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Return</w:t>
      </w:r>
      <w:r>
        <w:rPr>
          <w:rFonts w:ascii="Arial" w:cs="Arial" w:eastAsia="Arial" w:hAnsi="Arial"/>
          <w:sz w:val="18"/>
          <w:szCs w:val="18"/>
          <w:color w:val="auto"/>
        </w:rPr>
        <w:t>” means any Tax Return on which Income Taxes are reflected or reported.</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Taxes</w:t>
      </w:r>
      <w:r>
        <w:rPr>
          <w:rFonts w:ascii="Arial" w:cs="Arial" w:eastAsia="Arial" w:hAnsi="Arial"/>
          <w:sz w:val="16"/>
          <w:szCs w:val="16"/>
          <w:color w:val="auto"/>
        </w:rPr>
        <w:t>” means any U.S. federal, state, local, or foreign taxes, assessments or similar charges, in whole or in part, based upon, measured by, or calculated with respect to net income or profits, gross income, net worth or gross receipts (including any capital gains Tax, but not including sales, use, real or personal property, transfer, payroll or similar Taxes), and any interest, penalties, or additional amounts related thereto.</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has the meaning set forth in Section 3.01 of this Agreement.</w:t>
      </w:r>
    </w:p>
    <w:p>
      <w:pPr>
        <w:spacing w:after="0" w:line="225" w:lineRule="exact"/>
        <w:rPr>
          <w:sz w:val="20"/>
          <w:szCs w:val="20"/>
          <w:color w:val="auto"/>
        </w:rPr>
      </w:pPr>
    </w:p>
    <w:p>
      <w:pPr>
        <w:ind w:right="52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LLC Agreement</w:t>
      </w:r>
      <w:r>
        <w:rPr>
          <w:rFonts w:ascii="Arial" w:cs="Arial" w:eastAsia="Arial" w:hAnsi="Arial"/>
          <w:sz w:val="17"/>
          <w:szCs w:val="17"/>
          <w:color w:val="auto"/>
        </w:rPr>
        <w:t>” means that certain Amended and Restated Limited Liability Company Agreement of BellRing LLC, dated as of the date hereof, as such agreement may be further amended, restated, supplemented, and/or otherwise modified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8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person</w:t>
      </w:r>
      <w:r>
        <w:rPr>
          <w:rFonts w:ascii="Arial" w:cs="Arial" w:eastAsia="Arial" w:hAnsi="Arial"/>
          <w:sz w:val="17"/>
          <w:szCs w:val="17"/>
          <w:color w:val="auto"/>
        </w:rPr>
        <w:t>” means a natural person, corporation, company, joint venture, individual business trust, trust association, partnership, limited partnership, limited liability company, association, unincorporated organization or other entity, including a Governmental Authority.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w:t>
      </w:r>
      <w:r>
        <w:rPr>
          <w:rFonts w:ascii="Arial" w:cs="Arial" w:eastAsia="Arial" w:hAnsi="Arial"/>
          <w:sz w:val="18"/>
          <w:szCs w:val="18"/>
          <w:color w:val="auto"/>
        </w:rPr>
        <w:t>” has the meaning set forth in the preamble to this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418" w:name="page419"/>
    <w:bookmarkEnd w:id="418"/>
    <w:p>
      <w:pPr>
        <w:ind w:left="10"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Post-Closing Period</w:t>
      </w:r>
      <w:r>
        <w:rPr>
          <w:rFonts w:ascii="Arial" w:cs="Arial" w:eastAsia="Arial" w:hAnsi="Arial"/>
          <w:sz w:val="18"/>
          <w:szCs w:val="18"/>
          <w:color w:val="auto"/>
        </w:rPr>
        <w:t>” means any taxable period (or portion thereof) beginning after the Closing Date, including for the avoidance of doubt, the portion of any Straddle Period beginning after the Closing Date.</w:t>
      </w:r>
    </w:p>
    <w:p>
      <w:pPr>
        <w:spacing w:after="0" w:line="170" w:lineRule="exact"/>
        <w:rPr>
          <w:sz w:val="20"/>
          <w:szCs w:val="20"/>
          <w:color w:val="auto"/>
        </w:rPr>
      </w:pPr>
    </w:p>
    <w:p>
      <w:pPr>
        <w:ind w:left="1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Consolidated Return</w:t>
      </w:r>
      <w:r>
        <w:rPr>
          <w:rFonts w:ascii="Arial" w:cs="Arial" w:eastAsia="Arial" w:hAnsi="Arial"/>
          <w:sz w:val="18"/>
          <w:szCs w:val="18"/>
          <w:color w:val="auto"/>
        </w:rPr>
        <w:t>” means any U.S. federal consolidated Income Tax Return required to be filed by Post or a member of the Post Group as the “common parent” of an “affiliated group” (in each case, within the meaning of Section 1504 of the Code), and any consolidated, combined, unitary or similar Income Tax Return required to be filed by Post or any member of the Post Group under a similar or analogous provision of state, local or non-U.S. law.</w:t>
      </w:r>
    </w:p>
    <w:p>
      <w:pPr>
        <w:spacing w:after="0" w:line="186" w:lineRule="exact"/>
        <w:rPr>
          <w:sz w:val="20"/>
          <w:szCs w:val="20"/>
          <w:color w:val="auto"/>
        </w:rPr>
      </w:pPr>
    </w:p>
    <w:p>
      <w:pPr>
        <w:ind w:left="10"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Group</w:t>
      </w:r>
      <w:r>
        <w:rPr>
          <w:rFonts w:ascii="Arial" w:cs="Arial" w:eastAsia="Arial" w:hAnsi="Arial"/>
          <w:sz w:val="16"/>
          <w:szCs w:val="16"/>
          <w:color w:val="auto"/>
        </w:rPr>
        <w:t>” means (a) Post and each Person (including any Person treated as a disregarded entity for U.S. federal Income Tax purposes (or for purposes of any state, local, or foreign tax law)) required to join in a Tax Return on a consolidated, combined, or unitary basis with Post, (b) any corporation (or other Person) that shall have merged or liquidated into Post or any such Person and (c) any predecessor or successor to any Person otherwise described in this definition, in each of (a), (b) and (c), other than BellRing LLC or any member of the BellRing LLC Group.</w:t>
      </w:r>
    </w:p>
    <w:p>
      <w:pPr>
        <w:spacing w:after="0" w:line="156" w:lineRule="exact"/>
        <w:rPr>
          <w:sz w:val="20"/>
          <w:szCs w:val="20"/>
          <w:color w:val="auto"/>
        </w:rPr>
      </w:pPr>
    </w:p>
    <w:p>
      <w:pPr>
        <w:ind w:left="10"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Separate Tax Attribute</w:t>
      </w:r>
      <w:r>
        <w:rPr>
          <w:rFonts w:ascii="Arial" w:cs="Arial" w:eastAsia="Arial" w:hAnsi="Arial"/>
          <w:sz w:val="18"/>
          <w:szCs w:val="18"/>
          <w:color w:val="auto"/>
        </w:rPr>
        <w:t>” means Tax Attributes of the Post Group excluding for this purpose the BellRing LLC Group and any members of the BellRing LLC Group (as the case requires), and treating all such Tax Attributes as being subject to the limitations under applicable Tax law (including limitations on carrybacks and carryforwards).</w:t>
      </w:r>
    </w:p>
    <w:p>
      <w:pPr>
        <w:spacing w:after="0" w:line="183" w:lineRule="exact"/>
        <w:rPr>
          <w:sz w:val="20"/>
          <w:szCs w:val="20"/>
          <w:color w:val="auto"/>
        </w:rPr>
      </w:pPr>
    </w:p>
    <w:p>
      <w:pPr>
        <w:ind w:left="1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Separate Taxes</w:t>
      </w:r>
      <w:r>
        <w:rPr>
          <w:rFonts w:ascii="Arial" w:cs="Arial" w:eastAsia="Arial" w:hAnsi="Arial"/>
          <w:sz w:val="18"/>
          <w:szCs w:val="18"/>
          <w:color w:val="auto"/>
        </w:rPr>
        <w:t>” means the hypothetical stand-alone Income Tax liability of the Post Group excluding for this purpose the BellRing LLC Group and any members of the BellRing LLC Group (as the case requires) for any taxable period (or portion thereof) beginning after the Closing Date, determined under similar principles as used for the calculation of BellRing LLC Taxes.</w:t>
      </w:r>
    </w:p>
    <w:p>
      <w:pPr>
        <w:spacing w:after="0" w:line="183" w:lineRule="exact"/>
        <w:rPr>
          <w:sz w:val="20"/>
          <w:szCs w:val="20"/>
          <w:color w:val="auto"/>
        </w:rPr>
      </w:pPr>
    </w:p>
    <w:p>
      <w:pPr>
        <w:ind w:left="1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means any taxable period (or portion thereof) ending on or before the Closing Date, including for the avoidance of doubt, the portion of any Straddle Period ending on the Closing Date.</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before and ends after the Closing Date.</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joint venture or partnership of which such Person</w:t>
      </w:r>
    </w:p>
    <w:p>
      <w:pPr>
        <w:spacing w:after="0" w:line="35" w:lineRule="exact"/>
        <w:rPr>
          <w:sz w:val="20"/>
          <w:szCs w:val="20"/>
          <w:color w:val="auto"/>
        </w:rPr>
      </w:pPr>
    </w:p>
    <w:p>
      <w:pPr>
        <w:ind w:left="250" w:hanging="250"/>
        <w:spacing w:after="0"/>
        <w:tabs>
          <w:tab w:leader="none" w:pos="25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beneficially owns, either directly or indirectly, more than fifty percent (50%) of (i) the total combined voting power of all classes of voting securities,</w:t>
      </w:r>
    </w:p>
    <w:p>
      <w:pPr>
        <w:spacing w:after="0" w:line="31" w:lineRule="exact"/>
        <w:rPr>
          <w:rFonts w:ascii="Arial" w:cs="Arial" w:eastAsia="Arial" w:hAnsi="Arial"/>
          <w:sz w:val="16"/>
          <w:szCs w:val="16"/>
          <w:color w:val="auto"/>
        </w:rPr>
      </w:pPr>
    </w:p>
    <w:p>
      <w:pPr>
        <w:ind w:left="10" w:right="300" w:hanging="10"/>
        <w:spacing w:after="0" w:line="260" w:lineRule="auto"/>
        <w:tabs>
          <w:tab w:leader="none" w:pos="27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85" w:lineRule="exact"/>
        <w:rPr>
          <w:sz w:val="20"/>
          <w:szCs w:val="20"/>
          <w:color w:val="auto"/>
        </w:rPr>
      </w:pPr>
    </w:p>
    <w:p>
      <w:pPr>
        <w:ind w:left="1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local, or foreign taxes, assessments or similar charges, and any interest, penalties, or additional amounts related thereto.</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4" w:right="439" w:bottom="1440" w:gutter="0" w:footer="0" w:header="0"/>
        </w:sectPr>
      </w:pPr>
    </w:p>
    <w:bookmarkStart w:id="419" w:name="page420"/>
    <w:bookmarkEnd w:id="419"/>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Tax Attributes</w:t>
      </w:r>
      <w:r>
        <w:rPr>
          <w:rFonts w:ascii="Arial" w:cs="Arial" w:eastAsia="Arial" w:hAnsi="Arial"/>
          <w:sz w:val="17"/>
          <w:szCs w:val="17"/>
          <w:color w:val="auto"/>
        </w:rPr>
        <w:t>” means net operating losses, capital losses, investment tax credit carryovers, section 163(j) carryovers,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taxable period.</w:t>
      </w:r>
    </w:p>
    <w:p>
      <w:pPr>
        <w:spacing w:after="0" w:line="16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report, certificate, form, or similar statement or document (including any related or supporting information or schedule attached thereto and any information return, or declaration of 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(or credit in lieu thereof) of Taxes (including any overpayment of Taxes that can be refunded or, alternatively, applied to other Taxes payable), including any interest paid on or with respect to such refund of Taxes.</w:t>
      </w:r>
    </w:p>
    <w:p>
      <w:pPr>
        <w:spacing w:after="0" w:line="17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Interpretation</w:t>
      </w:r>
      <w:r>
        <w:rPr>
          <w:rFonts w:ascii="Arial" w:cs="Arial" w:eastAsia="Arial" w:hAnsi="Arial"/>
          <w:sz w:val="18"/>
          <w:szCs w:val="18"/>
          <w:color w:val="auto"/>
        </w:rPr>
        <w:t xml:space="preserve">. The Parties agree that the Other Definitional and Interpretative Provisions provided in Section 1.02 of the LLC Agreement shall apply equally, </w:t>
      </w:r>
      <w:r>
        <w:rPr>
          <w:rFonts w:ascii="Arial" w:cs="Arial" w:eastAsia="Arial" w:hAnsi="Arial"/>
          <w:sz w:val="18"/>
          <w:szCs w:val="18"/>
          <w:i w:val="1"/>
          <w:iCs w:val="1"/>
          <w:color w:val="auto"/>
        </w:rPr>
        <w:t>mutatis mutandi</w:t>
      </w:r>
      <w:r>
        <w:rPr>
          <w:rFonts w:ascii="Arial" w:cs="Arial" w:eastAsia="Arial" w:hAnsi="Arial"/>
          <w:sz w:val="18"/>
          <w:szCs w:val="18"/>
          <w:color w:val="auto"/>
        </w:rPr>
        <w:t>, to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u w:val="single" w:color="auto"/>
          <w:color w:val="auto"/>
        </w:rPr>
        <w:t>Preparation, Filing and Payment of Taxes Shown Due on Tax Returns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Post Consolidated Returns</w:t>
      </w:r>
      <w:r>
        <w:rPr>
          <w:rFonts w:ascii="Arial" w:cs="Arial" w:eastAsia="Arial" w:hAnsi="Arial"/>
          <w:sz w:val="18"/>
          <w:szCs w:val="18"/>
          <w:color w:val="auto"/>
        </w:rPr>
        <w:t>.</w:t>
      </w:r>
    </w:p>
    <w:p>
      <w:pPr>
        <w:spacing w:after="0" w:line="117" w:lineRule="exact"/>
        <w:rPr>
          <w:sz w:val="20"/>
          <w:szCs w:val="20"/>
          <w:color w:val="auto"/>
        </w:rPr>
      </w:pPr>
    </w:p>
    <w:p>
      <w:pPr>
        <w:ind w:firstLine="430"/>
        <w:spacing w:after="0" w:line="254" w:lineRule="auto"/>
        <w:tabs>
          <w:tab w:leader="none" w:pos="6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For so long as any BellRing LLC Entity is includible in a Post Consolidated Return, Post shall maintain separate calculations of BellRing LLC Taxes, BellRing LLC Separate Tax Attributes, Post Separate Taxes, and Post Separate Tax Attributes. To the extent BellRing LLC or any BellRing LLC Entity is required to be included in any Post Consolidated Return, Post shall prepare and file (or cause to be prepared and filed) each such Post Consolidated Return, and shall pay, or cause to be paid, to the applicable Governmental Authority all Taxes due in respect of any such Post Consolidated Return. Post may take (or fail to take) any position on or make (or fail to make) any elections or other determinations with respect to any Post Consolidated Return in its sole discretion; provided that Post will act reasonably and in good faith in balancing the competing interests between Post and the BellRing LLC Entities and maximizing the tax positions of the BellRing LLC Entities, on the one hand, and Post, on the other hand, in an equitable fashion.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420" w:name="page421"/>
    <w:bookmarkEnd w:id="420"/>
    <w:p>
      <w:pPr>
        <w:ind w:firstLine="430"/>
        <w:spacing w:after="0" w:line="284" w:lineRule="auto"/>
        <w:tabs>
          <w:tab w:leader="none" w:pos="695" w:val="left"/>
        </w:tabs>
        <w:numPr>
          <w:ilvl w:val="0"/>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Post Consolidated Return includes a BellRing LLC Entity, the following rules shall apply: (i) BellRing LLC will pay to Post an amount equal to any BellRing LLC Taxes that are actually paid by Post in respect of such return; (ii) if, as a result of the offset of a Tax liability with a Post Separate Tax Attribute, the BellRing LLC Taxes in respect of such return exceed the actual cash liability paid by Post, then BellRing LLC shall be required to pay Post an amount equal to such excess only at such time, and to the extent, that the cash liability for a later Tax period in respect of Post Separate Taxes is greater than it would have been had the Post Separate Tax Attribute not been used to create the excess (for the avoidance of doubt, even if such later Tax period occurs at a time when the applicable BellRing LLC Entity is no longer included in the applicable Post Consolidated Return); (iii) if, as a result of the offset of a Tax liability with a BellRing LLC Separate Tax Attribute, the Post Separate Taxes exceed the actual cash liability paid by Post in respect of the return, then Post shall be required to pay BellRing LLC an amount equal to such excess only at such time, and to the extent, that the cash Tax liability for a later Tax period in respect of BellRing LLC Taxes is greater than it would have been had the BellRing LLC Separate Tax Attribute not been used to create the excess (for the avoidance of doubt, even if such later Tax period occurs at a time when the applicable BellRing LLC Entity is no longer included in the applicable Post Consolidated Return); (iv) subject to clause (v) of this Section 2.01(b) each Party shall make, or cause to be made, any and all payments due under this Section 2.01(b) on or before the later of (x) ten (10) Business Days before the due date of the applicable Taxes (including estimated Tax payments) and (y) ten (10) Business Days after the Party required to make a payment is notified of such requirement (which such notice may be provided prior to the time the applicable Taxes are paid, and such notice may represent a reasonable estimate (provided that the amount of payments shall in all cases be based on the actual Tax liability and not on such reasonable estimate)); and (v) amounts owed between Post and BellRing LLC under clauses (i)-(iii) of this Section 2.01(b) that are due and payable in respect of the same Post Consolidated Return may be netted against each other. In the event that BellRing Inc. is included in a Post Consolidated Return, then to the extent (i) Post is required to pay Income Taxes attributable to BellRing Inc. that are not otherwise addressed in this Section 2.01(b), or (ii) any Post Separate Tax Attributes are used to offset such Income Taxes, then Post and Bellring Inc. shall make payments to each other using the procedures and principles contained in this Article II (without duplication for Income Taxes otherwise addressed in this Section 2.01(b)) as if Bellring Inc. were Bellring LLC.</w:t>
      </w:r>
    </w:p>
    <w:p>
      <w:pPr>
        <w:spacing w:after="0" w:line="178"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Allocation of Taxes</w:t>
      </w:r>
      <w:r>
        <w:rPr>
          <w:rFonts w:ascii="Arial" w:cs="Arial" w:eastAsia="Arial" w:hAnsi="Arial"/>
          <w:sz w:val="16"/>
          <w:szCs w:val="16"/>
          <w:color w:val="auto"/>
        </w:rPr>
        <w:t>. At least ten (10) Business Days prior to the filing of a Post Consolidated Return discussed in Section 2.01 (or, if earlier, on the date that a notice is provided by Post to BellRing LLC in respect of such Post Consolidated Return filing pursuant to Section 2.01), Post shall deliver to BellRing LLC, to be shared with BellRing Inc. at BellRing Inc.’s request, for BellRing LLC’s review and comment, Post’s calculation of the BellRing LLC Taxes, BellRing LLC Separate Tax Attributes, Post Separate Taxes, Post Separate Tax Attributes, and amounts due under</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Section 2.01(b), together with supporting documentation, to be included in any such Post Consolidated Return and acting in good faith shall incorporate all reasonable suggestions or comments made by BellRing LLC regarding such calculations, provided that nothing herein shall be interpreted to require the disclosure of (i) the Post Consolidated Return or items on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421" w:name="page422"/>
    <w:bookmarkEnd w:id="421"/>
    <w:p>
      <w:pPr>
        <w:ind w:left="1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Consolidated Return that do not relate to the BellRing LLC Entities and Post may provide pro forma separate company Tax Returns or summaries of issues in lieu of any such disclosure, or (ii) anything that is privileged so long as sufficient information and calculations are provided in a form so that BellRing LLC can analyze and dispute any calculations pursuant to this Agreement. In the event of any dispute between Post, BellRing LLC and BellRing Inc. regarding a calculation of the amount of BellRing LLC Taxes, BellRing LLC Separate Tax Attributes, Post Separate Taxes, or Post Separate Tax Attributes, the relevant Parties shall work together in good faith to resolve such disagreement, and to the extent they are unable to do so within ninety (90) days, the dispute shall be resolved by an Accounting Firm in accordance with Section 5.02; provided that during the pendency of any such dispute, the Parties shall be obligated to make the payments as required by Section 2.01(b) consistent with the original determinations by Post and within the timeframe described in Section 2.01(b); provided further, that any payments necessary to reflect the resolution of any such dispute shall be made within ten (10) Business Days following such resolution.</w:t>
      </w:r>
    </w:p>
    <w:p>
      <w:pPr>
        <w:spacing w:after="0" w:line="179" w:lineRule="exact"/>
        <w:rPr>
          <w:sz w:val="20"/>
          <w:szCs w:val="20"/>
          <w:color w:val="auto"/>
        </w:rPr>
      </w:pPr>
    </w:p>
    <w:p>
      <w:pPr>
        <w:ind w:left="10" w:right="80" w:firstLine="440"/>
        <w:spacing w:after="0" w:line="26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Tax Treatment of Payments</w:t>
      </w:r>
      <w:r>
        <w:rPr>
          <w:rFonts w:ascii="Arial" w:cs="Arial" w:eastAsia="Arial" w:hAnsi="Arial"/>
          <w:sz w:val="18"/>
          <w:szCs w:val="18"/>
          <w:color w:val="auto"/>
        </w:rPr>
        <w:t>. To the extent permitted by applicable law, all amounts paid pursuant to this Article II shall be treated as reimbursements for expenses, and shall not be treated as distributions by BellRing LLC in respect of its equity or as capital contributions to BellRing LLC.</w:t>
      </w:r>
    </w:p>
    <w:p>
      <w:pPr>
        <w:spacing w:after="0" w:line="399"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49"/>
        <w:spacing w:after="0"/>
        <w:rPr>
          <w:sz w:val="20"/>
          <w:szCs w:val="20"/>
          <w:color w:val="auto"/>
        </w:rPr>
      </w:pPr>
      <w:r>
        <w:rPr>
          <w:rFonts w:ascii="Arial" w:cs="Arial" w:eastAsia="Arial" w:hAnsi="Arial"/>
          <w:sz w:val="18"/>
          <w:szCs w:val="18"/>
          <w:u w:val="single" w:color="auto"/>
          <w:color w:val="auto"/>
        </w:rPr>
        <w:t>Indemnification for Taxes</w:t>
      </w:r>
    </w:p>
    <w:p>
      <w:pPr>
        <w:spacing w:after="0" w:line="225" w:lineRule="exact"/>
        <w:rPr>
          <w:sz w:val="20"/>
          <w:szCs w:val="20"/>
          <w:color w:val="auto"/>
        </w:rPr>
      </w:pPr>
    </w:p>
    <w:p>
      <w:pPr>
        <w:ind w:left="10" w:right="120" w:firstLine="440"/>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Indemnified Taxes</w:t>
      </w:r>
      <w:r>
        <w:rPr>
          <w:rFonts w:ascii="Arial" w:cs="Arial" w:eastAsia="Arial" w:hAnsi="Arial"/>
          <w:sz w:val="16"/>
          <w:szCs w:val="16"/>
          <w:color w:val="auto"/>
        </w:rPr>
        <w:t>. Post shall pay (or cause to be paid), and shall indemnify and hold the BellRing LLC Entities harmless from and against, without duplication, any losses attributable to or relating to (i) all Taxes of the BellRing LLC Entities that are attributable to a Pre-Closing Period, (ii) all Tax liabilities of another Person imposed on any BellRing LLC Entity arising by law (including transferee or successor liability), equity, contract (for the avoidance of doubt, excluding this Agreement), or otherwise as a result of a transaction that occurred during the Pre-Closing Period,</w:t>
      </w:r>
    </w:p>
    <w:p>
      <w:pPr>
        <w:spacing w:after="0" w:line="1" w:lineRule="exact"/>
        <w:rPr>
          <w:sz w:val="20"/>
          <w:szCs w:val="20"/>
          <w:color w:val="auto"/>
        </w:rPr>
      </w:pPr>
    </w:p>
    <w:p>
      <w:pPr>
        <w:ind w:left="10" w:right="100" w:hanging="10"/>
        <w:spacing w:after="0" w:line="287" w:lineRule="auto"/>
        <w:tabs>
          <w:tab w:leader="none" w:pos="32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all Tax liabilities of Post and its Affiliates (other than the BellRing LLC Entities) imposed on any BellRing LLC Entity by a Governmental Authority as a result of being includible on a Post Consolidated Return (whether imposed for a Pre-Closing Period or a Post-Closing Period), but, with respect to any such Tax liabilities imposed for Post-Closing Periods in respect of BellRing LLC Taxes, only to the extent BellRing LLC has made a payment with respect to such Taxes to Post as required by Article II, (iv) any Tax liabilities assessed against a BellRing LLC Entity in its capacity as a withholding agent for a payment made to Post or its Affiliate (other than a BellRing LLC Entity), (v) all Tax liabilities under Section 965 of the Code (whether imposed for a Pre-Closing Period or a Post-Closing Period), and (vi) all Tax liabilities resulting from the Formation Transactions (whether imposed for a Pre-Closing Period or a Post-Closing Period) ((i) through (vi) collectively, “</w:t>
      </w:r>
      <w:r>
        <w:rPr>
          <w:rFonts w:ascii="Arial" w:cs="Arial" w:eastAsia="Arial" w:hAnsi="Arial"/>
          <w:sz w:val="16"/>
          <w:szCs w:val="16"/>
          <w:u w:val="single" w:color="auto"/>
          <w:color w:val="auto"/>
        </w:rPr>
        <w:t>Indemnified Taxes</w:t>
      </w:r>
      <w:r>
        <w:rPr>
          <w:rFonts w:ascii="Arial" w:cs="Arial" w:eastAsia="Arial" w:hAnsi="Arial"/>
          <w:sz w:val="16"/>
          <w:szCs w:val="16"/>
          <w:color w:val="auto"/>
        </w:rPr>
        <w:t>”). To the extent Post cannot pay any such amounts directly to the relevant taxing authorities, Post shall timely pay, or cause to be timely paid, any such amounts to BellRing LLC.</w:t>
      </w:r>
    </w:p>
    <w:p>
      <w:pPr>
        <w:spacing w:after="0" w:line="101"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70"/>
          </w:cols>
          <w:pgMar w:left="450" w:top="273" w:right="479" w:bottom="1440" w:gutter="0" w:footer="0" w:header="0"/>
        </w:sectPr>
      </w:pPr>
    </w:p>
    <w:bookmarkStart w:id="422" w:name="page423"/>
    <w:bookmarkEnd w:id="422"/>
    <w:p>
      <w:pPr>
        <w:ind w:right="1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7"/>
          <w:szCs w:val="17"/>
          <w:u w:val="single" w:color="auto"/>
          <w:color w:val="auto"/>
        </w:rPr>
        <w:t>Refunds of Pre-Closing Taxes</w:t>
      </w:r>
      <w:r>
        <w:rPr>
          <w:rFonts w:ascii="Arial" w:cs="Arial" w:eastAsia="Arial" w:hAnsi="Arial"/>
          <w:sz w:val="17"/>
          <w:szCs w:val="17"/>
          <w:color w:val="auto"/>
        </w:rPr>
        <w:t>. Any Tax refunds that are received by a BellRing LLC Entity shall be for the account of Post to the extent attributable to Indemnified Taxes that were actually paid, or caused to be paid, by Post. The relevant BellRing LLC Entity shall pay over to Post any such refund, net of Taxes and reasonable expenses attributable thereto, paid in cash within ten (10) Business Days after receipt thereof, and to the extent any refunds are applied against a future Tax liability, the relevant BellRing LLC Entity shall pay over to Post the amount of Tax savings at the time the Tax Return in which such savings are realized is required to be filed (taking into account applicable extensions). The relevant BellRing LLC Entities shall cooperate with Post in obtaining any such Tax refunds.</w:t>
      </w:r>
    </w:p>
    <w:p>
      <w:pPr>
        <w:spacing w:after="0" w:line="17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Apportionment</w:t>
      </w:r>
      <w:r>
        <w:rPr>
          <w:rFonts w:ascii="Arial" w:cs="Arial" w:eastAsia="Arial" w:hAnsi="Arial"/>
          <w:sz w:val="18"/>
          <w:szCs w:val="18"/>
          <w:color w:val="auto"/>
        </w:rPr>
        <w:t>. For purposes of this Article III, any Taxes, refunds or credits attributable to a Straddle Period shall be apportioned between the Pre-Closing Period and the Post-Closing Period using the Closing of the Books Method.</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Tax Treatment of Payments</w:t>
      </w:r>
      <w:r>
        <w:rPr>
          <w:rFonts w:ascii="Arial" w:cs="Arial" w:eastAsia="Arial" w:hAnsi="Arial"/>
          <w:sz w:val="18"/>
          <w:szCs w:val="18"/>
          <w:color w:val="auto"/>
        </w:rPr>
        <w:t>. To the extent permitted by applicable law, all amounts paid pursuant to this Article III shall be treated as reimbursements for expenses, and shall not be treated as distributions by BellRing LLC in respect of its equity or as capital contributions to BellRing LLC.</w:t>
      </w:r>
    </w:p>
    <w:p>
      <w:pPr>
        <w:spacing w:after="0" w:line="183"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Survival</w:t>
      </w:r>
      <w:r>
        <w:rPr>
          <w:rFonts w:ascii="Arial" w:cs="Arial" w:eastAsia="Arial" w:hAnsi="Arial"/>
          <w:sz w:val="18"/>
          <w:szCs w:val="18"/>
          <w:color w:val="auto"/>
        </w:rPr>
        <w:t>. The indemnity obligations described in this Article III shall survive until the expiration of all applicable underlying statutes of limitations governing the applicable Taxes.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Cooperation</w:t>
      </w:r>
    </w:p>
    <w:p>
      <w:pPr>
        <w:spacing w:after="0" w:line="225"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Cooperation for Spin-Off Transaction</w:t>
      </w:r>
      <w:r>
        <w:rPr>
          <w:rFonts w:ascii="Arial" w:cs="Arial" w:eastAsia="Arial" w:hAnsi="Arial"/>
          <w:sz w:val="18"/>
          <w:szCs w:val="18"/>
          <w:color w:val="auto"/>
        </w:rPr>
        <w:t>. As applicable, Post, BellRing Inc. and BellRing LLC shall cooperate and work together in good faith to ensure Post’s (or an Affiliate’s) ability to effect a spin-off, split-off or similar transaction (however evidenced or structured, including a subsequent merger of such Affiliate and BellRing Inc.) in a tax-free manner.</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Cooperation for Tax Audits</w:t>
      </w:r>
      <w:r>
        <w:rPr>
          <w:rFonts w:ascii="Arial" w:cs="Arial" w:eastAsia="Arial" w:hAnsi="Arial"/>
          <w:sz w:val="17"/>
          <w:szCs w:val="17"/>
          <w:color w:val="auto"/>
        </w:rPr>
        <w:t xml:space="preserve">. In the event of an audit by a Governmental Authority of Post, BellRing Inc., or a BellRing LLC Entity, the relevant entity shall promptly notify such other Parties of, and keep the other Parties reasonably informed with respect to, the portion of any such audit the outcome of which is reasonably expected to affect such Parties’ rights and obligations under this Agreement, and such Parties shall have the right to participate in and to monitor at its own expense (but not to control) any such portion of any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entity shall not settle or fail to contest any issue that is reasonably expected to materially affect such Parties’ rights or obligations under this Agreement without the prior written consent of such Parties, such consent not to be unreasonably withheld, conditioned or delayed.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423" w:name="page424"/>
    <w:bookmarkEnd w:id="423"/>
    <w:p>
      <w:pPr>
        <w:jc w:val="center"/>
        <w:ind w:right="-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0" w:right="16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dispute between the Parties as to any matter covered by Article II or Article III, the parties to such dispute shall appoint a mutually acceptable independent accounting firm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to resolve such dispute. The Parties acknowledge that any discussions between the Parties in connection with any such dispute are without prejudice communications made in confidence with the intent of attempting to resolve a potentially litigious dispute and are subject to settlement privilege. Each Party shall provide the other Parties with reasonable access to the working papers and other related information relating to any such dispute and any applicable calculations that are related to, or are the subject matter of, such dispute. The Parties shall make their respective submissions to the Accounting Firm within thirty (30) days after selecting such firm pursuant to this Section 5.02. The determination by such Accounting Firm applying the procedures described herein shall be final, binding, and conclusive on the Parties and judgment may be entered thereon in a court of competent jurisdiction pursuant to Section 5.10. In making its determination pursuant to this Section 5.02, the Accounting Firm (A) shall consider only the items that remain in dispute as of the time of such determination; and</w:t>
      </w:r>
    </w:p>
    <w:p>
      <w:pPr>
        <w:spacing w:after="0" w:line="4" w:lineRule="exact"/>
        <w:rPr>
          <w:sz w:val="20"/>
          <w:szCs w:val="20"/>
          <w:color w:val="auto"/>
        </w:rPr>
      </w:pPr>
    </w:p>
    <w:p>
      <w:pPr>
        <w:ind w:left="10" w:right="60" w:hanging="10"/>
        <w:spacing w:after="0" w:line="252" w:lineRule="auto"/>
        <w:tabs>
          <w:tab w:leader="none" w:pos="29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shall not assign a value outside the range of the values provided by such Parties. The Parties shall use reasonable efforts to cause the Accounting Firm to make its determination within thirty (30) days after the Parties have made their respective submissions to the Accounting Firm.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by BellRing LLC.</w:t>
      </w:r>
    </w:p>
    <w:p>
      <w:pPr>
        <w:spacing w:after="0" w:line="194" w:lineRule="exact"/>
        <w:rPr>
          <w:sz w:val="20"/>
          <w:szCs w:val="20"/>
          <w:color w:val="auto"/>
        </w:rPr>
      </w:pPr>
    </w:p>
    <w:p>
      <w:pPr>
        <w:ind w:left="10" w:right="40" w:firstLine="440"/>
        <w:spacing w:after="0" w:line="273"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law, such invalidity, illegality, or unenforceability shall not affect any other provision of this Agreement or any other such instrument.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0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0"/>
          </w:cols>
          <w:pgMar w:left="450" w:top="274" w:right="459" w:bottom="1440" w:gutter="0" w:footer="0" w:header="0"/>
        </w:sectPr>
      </w:pPr>
    </w:p>
    <w:bookmarkStart w:id="424" w:name="page425"/>
    <w:bookmarkEnd w:id="424"/>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other documents to be entered into or executed by the Parties in connection with the Master Transaction Agreement, together with all exhibits and schedules hereto and thereto, constitute the entire agreement among the Parties pertaining to the subject matter of such agreements and supersede all prior agreements, understandings, negotiations, and discussions, whether oral or written, of the Parties.</w:t>
      </w:r>
    </w:p>
    <w:p>
      <w:pPr>
        <w:spacing w:after="0" w:line="18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any Party (whether by operation of law or otherwise) without the prior written consent of the other Parties, not to be unreasonably withheld, conditioned or delayed. No assignment by any Party (including any assignments described in the parenthetical in the preceding sentence) shall relieve such Party of any of its obligations hereunder. Any attempted assignment in violation of this Section 5.05 shall be null and void. Notwithstanding anything contained in this Agreement to the contrary, nothing in this Agreement, express or implied, is intended to confer on any Person other than the Parties or their respective successors and permitted assigns any rights, remedies, obligations, or liabilities under or by reason of this Agreement.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w:t>
      </w:r>
    </w:p>
    <w:p>
      <w:pPr>
        <w:spacing w:after="0" w:line="117" w:lineRule="exact"/>
        <w:rPr>
          <w:sz w:val="20"/>
          <w:szCs w:val="20"/>
          <w:color w:val="auto"/>
        </w:rPr>
      </w:pPr>
    </w:p>
    <w:p>
      <w:pPr>
        <w:ind w:firstLine="430"/>
        <w:spacing w:after="0" w:line="269" w:lineRule="auto"/>
        <w:tabs>
          <w:tab w:leader="none" w:pos="68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Parties agree that irreparable harm would occur in the event that any of the provisions of this Agreement were not performed in accordance with their specific terms or were otherwise breached, and that money damages or other legal remedies, even if available, would not be an adequate remedy for any such harm. The Parties agree that (i) each of the Parties shall be entitled to an injunction or injunctions from a court of competent jurisdiction as set forth in Section 5.10 to prevent breaches or threatened breaches of this Agreement and to enforce specifically the terms and provisions of this Agreement, and (ii) the right of specific enforcement is an integral part of the transactions contemplated by this Agreement, and without that right, BellRing Inc., BellRing LLC, and Post would not have entered into this Agreement. Each of the Parties agrees that no Party or any other Person shall be required to obtain, furnish, or post any bond or similar instrument in connection with or as a condition to obtaining any remedy under this Section 5.06(a), and each Party irrevocably waives any right that it may have to require the obtaining, furnishing or posting of any such bond or similar instrument. Each of the Parties also agrees that it will not oppose the granting of an injunction, specific performance, or other equitable relief on the basis that the other Party has an adequate remedy at law or that any such injunction or award of specific performance or other equitable relief is not an appropriate remedy for any reason.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425" w:name="page426"/>
    <w:bookmarkEnd w:id="425"/>
    <w:p>
      <w:pPr>
        <w:jc w:val="both"/>
        <w:ind w:right="100" w:firstLine="430"/>
        <w:spacing w:after="0" w:line="263" w:lineRule="auto"/>
        <w:tabs>
          <w:tab w:leader="none" w:pos="695"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further agree that by seeking the remedies provided for in this Section 5.06, a Party shall not in any respect waive its right to seek any other form of relief that may be available to a Party under this Agreement (including monetary damages) for breach of any of the provisions of this Agreement.</w:t>
      </w:r>
    </w:p>
    <w:p>
      <w:pPr>
        <w:spacing w:after="0" w:line="183"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Amendments; Waivers</w:t>
      </w:r>
      <w:r>
        <w:rPr>
          <w:rFonts w:ascii="Arial" w:cs="Arial" w:eastAsia="Arial" w:hAnsi="Arial"/>
          <w:sz w:val="16"/>
          <w:szCs w:val="16"/>
          <w:color w:val="auto"/>
        </w:rPr>
        <w:t>. This Agreement may not be amended except by an instrument in writing signed by each of the Parties.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expressly provided in this Agreement, the rights and remedies herein provided shall be cumulative and not exclusive of any rights or remedies provided by law.</w:t>
      </w:r>
    </w:p>
    <w:p>
      <w:pPr>
        <w:spacing w:after="0" w:line="156"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but all of which together shall constitute one and the same instrument. This Agreement may be executed and delivered by facsimile transmission or by electronic mail, and a facsimile or electronic copy of this Agreement or of a signature of a Party shall be effective as an original.</w:t>
      </w:r>
    </w:p>
    <w:p>
      <w:pPr>
        <w:spacing w:after="0" w:line="165" w:lineRule="exact"/>
        <w:rPr>
          <w:sz w:val="20"/>
          <w:szCs w:val="20"/>
          <w:color w:val="auto"/>
        </w:rPr>
      </w:pPr>
    </w:p>
    <w:p>
      <w:pPr>
        <w:ind w:right="160" w:firstLine="440"/>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ABOVE.</w:t>
      </w:r>
    </w:p>
    <w:p>
      <w:pPr>
        <w:spacing w:after="0" w:line="19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Jurisdiction; Service of Process</w:t>
      </w:r>
      <w:r>
        <w:rPr>
          <w:rFonts w:ascii="Arial" w:cs="Arial" w:eastAsia="Arial" w:hAnsi="Arial"/>
          <w:sz w:val="18"/>
          <w:szCs w:val="18"/>
          <w:color w:val="auto"/>
        </w:rPr>
        <w:t>.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426" w:name="page427"/>
    <w:bookmarkEnd w:id="426"/>
    <w:p>
      <w:pPr>
        <w:ind w:left="1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Section 5.10, (b)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(c) waives, to the fullest extent permitted by law, any claim that (i) such suit, action or proceeding in such court is brought in an inconvenient forum, (ii) the venue of such suit, action or proceeding is improper, or (iii) this 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Section 5.11. NOTWITHSTANDING THIS Section 5.10, ANY DISPUTE REGARDING A MATTER COVERED BY Section 5.02 SHALL BE RESOLVED IN ACCORDANCE WITH Section 5.02; PROVIDED THAT THE TERMS OF Section 5.02 MAY BE ENFORCED BY EITHER PARTY IN ACCORDANCE WITH THE TERMS OF THIS Section 5.10.</w:t>
      </w:r>
    </w:p>
    <w:p>
      <w:pPr>
        <w:spacing w:after="0" w:line="18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10" w:firstLine="981"/>
        <w:spacing w:after="0" w:line="290" w:lineRule="auto"/>
        <w:tabs>
          <w:tab w:leader="none" w:pos="1245"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All notices, requests, claims, demands, and other communications hereunder shall be in writing (including email, so long as a receipt of such email is requested and received) and shall be deemed duly given and received (i) on the date of delivery if delivered personally or via email, or</w:t>
      </w:r>
    </w:p>
    <w:p>
      <w:pPr>
        <w:spacing w:after="0" w:line="1" w:lineRule="exact"/>
        <w:rPr>
          <w:rFonts w:ascii="Arial" w:cs="Arial" w:eastAsia="Arial" w:hAnsi="Arial"/>
          <w:sz w:val="16"/>
          <w:szCs w:val="16"/>
          <w:color w:val="auto"/>
        </w:rPr>
      </w:pPr>
    </w:p>
    <w:p>
      <w:pPr>
        <w:ind w:left="10" w:right="660" w:hanging="10"/>
        <w:spacing w:after="0" w:line="323" w:lineRule="auto"/>
        <w:tabs>
          <w:tab w:leader="none" w:pos="27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30" w:lineRule="exact"/>
        <w:rPr>
          <w:sz w:val="20"/>
          <w:szCs w:val="20"/>
          <w:color w:val="auto"/>
        </w:rPr>
      </w:pPr>
    </w:p>
    <w:p>
      <w:pPr>
        <w:ind w:left="990"/>
        <w:spacing w:after="0"/>
        <w:rPr>
          <w:sz w:val="20"/>
          <w:szCs w:val="20"/>
          <w:color w:val="auto"/>
        </w:rPr>
      </w:pPr>
      <w:r>
        <w:rPr>
          <w:rFonts w:ascii="Arial" w:cs="Arial" w:eastAsia="Arial" w:hAnsi="Arial"/>
          <w:sz w:val="18"/>
          <w:szCs w:val="18"/>
          <w:color w:val="auto"/>
        </w:rPr>
        <w:t>If to BellRing Inc., to:</w:t>
      </w:r>
    </w:p>
    <w:p>
      <w:pPr>
        <w:spacing w:after="0" w:line="117" w:lineRule="exact"/>
        <w:rPr>
          <w:sz w:val="20"/>
          <w:szCs w:val="20"/>
          <w:color w:val="auto"/>
        </w:rPr>
      </w:pPr>
    </w:p>
    <w:p>
      <w:pPr>
        <w:ind w:left="99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99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99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99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9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990"/>
        <w:spacing w:after="0"/>
        <w:rPr>
          <w:sz w:val="20"/>
          <w:szCs w:val="20"/>
          <w:color w:val="auto"/>
        </w:rPr>
      </w:pPr>
      <w:r>
        <w:rPr>
          <w:rFonts w:ascii="Arial" w:cs="Arial" w:eastAsia="Arial" w:hAnsi="Arial"/>
          <w:sz w:val="18"/>
          <w:szCs w:val="18"/>
          <w:color w:val="auto"/>
        </w:rPr>
        <w:t>If to BellRing LLC, to:</w:t>
      </w:r>
    </w:p>
    <w:p>
      <w:pPr>
        <w:spacing w:after="0" w:line="117" w:lineRule="exact"/>
        <w:rPr>
          <w:sz w:val="20"/>
          <w:szCs w:val="20"/>
          <w:color w:val="auto"/>
        </w:rPr>
      </w:pPr>
    </w:p>
    <w:p>
      <w:pPr>
        <w:ind w:left="99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99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99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99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9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4" w:right="459" w:bottom="1440" w:gutter="0" w:footer="0" w:header="0"/>
        </w:sectPr>
      </w:pPr>
    </w:p>
    <w:bookmarkStart w:id="427" w:name="page428"/>
    <w:bookmarkEnd w:id="42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Post,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Randy Ridenhour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Any Party may change its contact information by giving the other Parties written notice of its new contact information in the manner set forth above.</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00"/>
          </w:cols>
          <w:pgMar w:left="460" w:top="273" w:right="739" w:bottom="1440" w:gutter="0" w:footer="0" w:header="0"/>
        </w:sectPr>
      </w:pPr>
    </w:p>
    <w:bookmarkStart w:id="428" w:name="page429"/>
    <w:bookmarkEnd w:id="4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duly executed as of the day and year first above written.</w:t>
      </w:r>
    </w:p>
    <w:p>
      <w:pPr>
        <w:spacing w:after="0" w:line="27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242443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24244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14605</wp:posOffset>
            </wp:positionV>
            <wp:extent cx="242443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559"/>
          </w:cols>
          <w:pgMar w:left="900" w:top="274" w:right="1440" w:bottom="1440" w:gutter="0" w:footer="0" w:header="0"/>
        </w:sectPr>
      </w:pPr>
    </w:p>
    <w:bookmarkStart w:id="429" w:name="page430"/>
    <w:bookmarkEnd w:id="429"/>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BellRing Brands, LLC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Post Holdings, Inc.</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And Future Members of BellRing Brands, LLC</w:t>
      </w:r>
    </w:p>
    <w:p>
      <w:pPr>
        <w:spacing w:after="0" w:line="5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From Time to Time Party Hereto</w:t>
      </w:r>
    </w:p>
    <w:p>
      <w:pPr>
        <w:spacing w:after="0" w:line="210"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Dated as of</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bl>
    <w:p>
      <w:pPr>
        <w:sectPr>
          <w:pgSz w:w="11900" w:h="16838" w:orient="portrait"/>
          <w:cols w:equalWidth="0" w:num="1">
            <w:col w:w="10020"/>
          </w:cols>
          <w:pgMar w:left="1440" w:top="122" w:right="439" w:bottom="1440" w:gutter="0" w:footer="0" w:header="0"/>
        </w:sectPr>
      </w:pPr>
    </w:p>
    <w:bookmarkStart w:id="430" w:name="page431"/>
    <w:bookmarkEnd w:id="4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9"/>
              </w:rPr>
              <w:t>ARTICLE I</w:t>
            </w:r>
          </w:p>
        </w:tc>
        <w:tc>
          <w:tcPr>
            <w:tcW w:w="186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w w:val="98"/>
              </w:rPr>
              <w:t>DEFINITIONS</w:t>
            </w:r>
          </w:p>
        </w:tc>
        <w:tc>
          <w:tcPr>
            <w:tcW w:w="1860" w:type="dxa"/>
            <w:vAlign w:val="bottom"/>
          </w:tcPr>
          <w:p>
            <w:pPr>
              <w:spacing w:after="0"/>
              <w:rPr>
                <w:sz w:val="20"/>
                <w:szCs w:val="20"/>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1.01.</w:t>
            </w:r>
          </w:p>
        </w:tc>
        <w:tc>
          <w:tcPr>
            <w:tcW w:w="80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1.02.   Rules of Construction.</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8"/>
              </w:rPr>
              <w:t>ARTICLE II</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8"/>
              </w:rPr>
              <w:t>DETERMINATION OF REALIZED TAX BENEFIT</w:t>
            </w:r>
          </w:p>
        </w:tc>
        <w:tc>
          <w:tcPr>
            <w:tcW w:w="186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2.01.   Basis Adjustments; 754 Election.</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2.02.</w:t>
            </w:r>
          </w:p>
        </w:tc>
        <w:tc>
          <w:tcPr>
            <w:tcW w:w="8020" w:type="dxa"/>
            <w:vAlign w:val="bottom"/>
          </w:tcPr>
          <w:p>
            <w:pPr>
              <w:ind w:left="120"/>
              <w:spacing w:after="0"/>
              <w:rPr>
                <w:sz w:val="20"/>
                <w:szCs w:val="20"/>
                <w:color w:val="auto"/>
              </w:rPr>
            </w:pPr>
            <w:r>
              <w:rPr>
                <w:rFonts w:ascii="Arial" w:cs="Arial" w:eastAsia="Arial" w:hAnsi="Arial"/>
                <w:sz w:val="18"/>
                <w:szCs w:val="18"/>
                <w:color w:val="auto"/>
              </w:rPr>
              <w:t>Basis Schedules</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2.03.   Tax Benefit Schedules.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2.04.</w:t>
            </w:r>
          </w:p>
        </w:tc>
        <w:tc>
          <w:tcPr>
            <w:tcW w:w="8020" w:type="dxa"/>
            <w:vAlign w:val="bottom"/>
          </w:tcPr>
          <w:p>
            <w:pPr>
              <w:ind w:left="120"/>
              <w:spacing w:after="0"/>
              <w:rPr>
                <w:sz w:val="20"/>
                <w:szCs w:val="20"/>
                <w:color w:val="auto"/>
              </w:rPr>
            </w:pPr>
            <w:r>
              <w:rPr>
                <w:rFonts w:ascii="Arial" w:cs="Arial" w:eastAsia="Arial" w:hAnsi="Arial"/>
                <w:sz w:val="18"/>
                <w:szCs w:val="18"/>
                <w:color w:val="auto"/>
              </w:rPr>
              <w:t>Procedures, Amendments</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rPr>
              <w:t>ARTICLE III</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w w:val="96"/>
              </w:rPr>
              <w:t>TAX BENEFIT PAYMENTS</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3.01.</w:t>
            </w:r>
          </w:p>
        </w:tc>
        <w:tc>
          <w:tcPr>
            <w:tcW w:w="80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3.02.   No Duplicative Payments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3.03.   Pro-Ration of Payments as Among the Members.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9"/>
              </w:rPr>
              <w:t>ARTICLE IV</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8"/>
              </w:rPr>
              <w:t>TERMINATION</w:t>
            </w:r>
          </w:p>
        </w:tc>
        <w:tc>
          <w:tcPr>
            <w:tcW w:w="186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4.01.   Termination, Breach of Agreement, Change of Control</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4.02.   Early Termination Schedule</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4.03.   Payment upon Early 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60" w:type="dxa"/>
            <w:vAlign w:val="bottom"/>
          </w:tcPr>
          <w:p>
            <w:pPr>
              <w:spacing w:after="0"/>
              <w:rPr>
                <w:sz w:val="24"/>
                <w:szCs w:val="24"/>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w w:val="98"/>
              </w:rPr>
              <w:t>ARTICLE V</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4"/>
              </w:rPr>
              <w:t>LATE PAYMENTS, ETC.</w:t>
            </w:r>
          </w:p>
        </w:tc>
        <w:tc>
          <w:tcPr>
            <w:tcW w:w="186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5.01.   Late Payments by the Corporation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5.02.</w:t>
            </w:r>
          </w:p>
        </w:tc>
        <w:tc>
          <w:tcPr>
            <w:tcW w:w="8020" w:type="dxa"/>
            <w:vAlign w:val="bottom"/>
          </w:tcPr>
          <w:p>
            <w:pPr>
              <w:ind w:left="120"/>
              <w:spacing w:after="0"/>
              <w:rPr>
                <w:sz w:val="20"/>
                <w:szCs w:val="20"/>
                <w:color w:val="auto"/>
              </w:rPr>
            </w:pPr>
            <w:r>
              <w:rPr>
                <w:rFonts w:ascii="Arial" w:cs="Arial" w:eastAsia="Arial" w:hAnsi="Arial"/>
                <w:sz w:val="18"/>
                <w:szCs w:val="18"/>
                <w:color w:val="auto"/>
              </w:rPr>
              <w:t>Subordination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9"/>
              </w:rPr>
              <w:t>ARTICLE VI</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4"/>
              </w:rPr>
              <w:t>CONSISTENCY; COOPERATION</w:t>
            </w:r>
          </w:p>
        </w:tc>
        <w:tc>
          <w:tcPr>
            <w:tcW w:w="186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6.01.   The Member’s Participation in Corporation Tax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6.02.</w:t>
            </w:r>
          </w:p>
        </w:tc>
        <w:tc>
          <w:tcPr>
            <w:tcW w:w="8020" w:type="dxa"/>
            <w:vAlign w:val="bottom"/>
          </w:tcPr>
          <w:p>
            <w:pPr>
              <w:ind w:left="120"/>
              <w:spacing w:after="0"/>
              <w:rPr>
                <w:sz w:val="20"/>
                <w:szCs w:val="20"/>
                <w:color w:val="auto"/>
              </w:rPr>
            </w:pPr>
            <w:r>
              <w:rPr>
                <w:rFonts w:ascii="Arial" w:cs="Arial" w:eastAsia="Arial" w:hAnsi="Arial"/>
                <w:sz w:val="18"/>
                <w:szCs w:val="18"/>
                <w:color w:val="auto"/>
              </w:rPr>
              <w:t>Consistency</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6.03.</w:t>
            </w:r>
          </w:p>
        </w:tc>
        <w:tc>
          <w:tcPr>
            <w:tcW w:w="802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60" w:type="dxa"/>
            <w:vAlign w:val="bottom"/>
          </w:tcPr>
          <w:p>
            <w:pPr>
              <w:spacing w:after="0"/>
              <w:rPr>
                <w:sz w:val="24"/>
                <w:szCs w:val="24"/>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rPr>
              <w:t>ARTICLE VII</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7"/>
              </w:rPr>
              <w:t>MISCELLANEOUS</w:t>
            </w:r>
          </w:p>
        </w:tc>
        <w:tc>
          <w:tcPr>
            <w:tcW w:w="186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7.01.</w:t>
            </w:r>
          </w:p>
        </w:tc>
        <w:tc>
          <w:tcPr>
            <w:tcW w:w="8020" w:type="dxa"/>
            <w:vAlign w:val="bottom"/>
          </w:tcPr>
          <w:p>
            <w:pPr>
              <w:ind w:left="12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7.02.</w:t>
            </w:r>
          </w:p>
        </w:tc>
        <w:tc>
          <w:tcPr>
            <w:tcW w:w="80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7.03.   Entire Agreement; Third Party Beneficiaries</w:t>
            </w: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7.04.</w:t>
            </w:r>
          </w:p>
        </w:tc>
        <w:tc>
          <w:tcPr>
            <w:tcW w:w="80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8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0940"/>
          </w:cols>
          <w:pgMar w:left="460" w:top="382" w:right="499" w:bottom="1440" w:gutter="0" w:footer="0" w:header="0"/>
        </w:sectPr>
      </w:pPr>
    </w:p>
    <w:bookmarkStart w:id="431" w:name="page432"/>
    <w:bookmarkEnd w:id="4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7.05.</w:t>
            </w:r>
          </w:p>
        </w:tc>
        <w:tc>
          <w:tcPr>
            <w:tcW w:w="89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color w:val="auto"/>
              </w:rPr>
              <w:t>Section 7.06.   Successors; Assignment; Amendments; Waivers</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color w:val="auto"/>
              </w:rPr>
              <w:t>Section 7.07.   Resolution of Disputes</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7.08.</w:t>
            </w:r>
          </w:p>
        </w:tc>
        <w:tc>
          <w:tcPr>
            <w:tcW w:w="8960" w:type="dxa"/>
            <w:vAlign w:val="bottom"/>
          </w:tcPr>
          <w:p>
            <w:pPr>
              <w:ind w:left="120"/>
              <w:spacing w:after="0"/>
              <w:rPr>
                <w:sz w:val="20"/>
                <w:szCs w:val="20"/>
                <w:color w:val="auto"/>
              </w:rPr>
            </w:pPr>
            <w:r>
              <w:rPr>
                <w:rFonts w:ascii="Arial" w:cs="Arial" w:eastAsia="Arial" w:hAnsi="Arial"/>
                <w:sz w:val="18"/>
                <w:szCs w:val="18"/>
                <w:color w:val="auto"/>
              </w:rPr>
              <w:t>Reconciliation</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7.09.</w:t>
            </w:r>
          </w:p>
        </w:tc>
        <w:tc>
          <w:tcPr>
            <w:tcW w:w="896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color w:val="auto"/>
                <w:w w:val="99"/>
              </w:rPr>
              <w:t>Section 7.10.   Affiliated Corporations; Admission of the Corporation into a Consolidated Group; Transfers of Corporate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w w:val="98"/>
              </w:rPr>
              <w:t>Section 7.11.</w:t>
            </w:r>
          </w:p>
        </w:tc>
        <w:tc>
          <w:tcPr>
            <w:tcW w:w="8960" w:type="dxa"/>
            <w:vAlign w:val="bottom"/>
          </w:tcPr>
          <w:p>
            <w:pPr>
              <w:ind w:left="120"/>
              <w:spacing w:after="0"/>
              <w:rPr>
                <w:sz w:val="20"/>
                <w:szCs w:val="20"/>
                <w:color w:val="auto"/>
              </w:rPr>
            </w:pPr>
            <w:r>
              <w:rPr>
                <w:rFonts w:ascii="Arial" w:cs="Arial" w:eastAsia="Arial" w:hAnsi="Arial"/>
                <w:sz w:val="18"/>
                <w:szCs w:val="18"/>
                <w:color w:val="auto"/>
              </w:rPr>
              <w:t>Change in Law</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color w:val="auto"/>
              </w:rPr>
              <w:t>Section 7.12.   Interest Rate Limitation</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color w:val="auto"/>
              </w:rPr>
              <w:t>Section 7.13.   Independent Nature of Rights and Obligations</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940"/>
          </w:cols>
          <w:pgMar w:left="460" w:top="274" w:right="499" w:bottom="1440" w:gutter="0" w:footer="0" w:header="0"/>
        </w:sectPr>
      </w:pPr>
    </w:p>
    <w:bookmarkStart w:id="432" w:name="page433"/>
    <w:bookmarkEnd w:id="432"/>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TAX RECEIVABLE AGREEMENT (as amended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2019, is hereby entered into by and between BellRing Brands,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each of the other Members (as defined herein) from time to time Party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BellRing LLC is treated as a partnership for U.S. federal income tax purposes;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Post and the Corporation are the only members of BellRing LLC as of the date hereof (as used herein, “</w:t>
      </w:r>
      <w:r>
        <w:rPr>
          <w:rFonts w:ascii="Arial" w:cs="Arial" w:eastAsia="Arial" w:hAnsi="Arial"/>
          <w:sz w:val="18"/>
          <w:szCs w:val="18"/>
          <w:u w:val="single" w:color="auto"/>
          <w:color w:val="auto"/>
        </w:rPr>
        <w:t>Members</w:t>
      </w:r>
      <w:r>
        <w:rPr>
          <w:rFonts w:ascii="Arial" w:cs="Arial" w:eastAsia="Arial" w:hAnsi="Arial"/>
          <w:sz w:val="18"/>
          <w:szCs w:val="18"/>
          <w:color w:val="auto"/>
        </w:rPr>
        <w:t>” means each of the members of BellRing LLC other than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Post owns nonvoting common units in BellRing LLC (the “</w:t>
      </w: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WHEREAS, on the date hereof, the Corporation issued shares of its Class A common stock, par value $0.01 per share (the “</w:t>
      </w:r>
      <w:r>
        <w:rPr>
          <w:rFonts w:ascii="Arial" w:cs="Arial" w:eastAsia="Arial" w:hAnsi="Arial"/>
          <w:sz w:val="18"/>
          <w:szCs w:val="18"/>
          <w:u w:val="single" w:color="auto"/>
          <w:color w:val="auto"/>
        </w:rPr>
        <w:t>Class A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in an initial public offering of its Class A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immediately following the consummation of the IPO, the Corporation acquired newly issued Units from BellRing LLC using the net proceeds from the IPO;</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Article IX of the LLC Agreement (as defined herein) provides each Member a redemption right pursuant to which each Member may cause BellRing LLC to redeem all or a portion of its Units from time to time for shares of Class A Common Stock or, at BellRing LLC’s option (as determined by the Board of Managers), cash (a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83"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BellRing LLC and each of its Subsidiaries (as defined herein) that is treated as a partnership for U.S. federal income tax purposes will have in effect an election under Section 754 of the Code (as defined herein) for the Taxable Year (as defined herein) in which any Basis Transaction (as defined herein) occurs, which election will cause certain Basis Transactions to result in an adjustment to the Corporation’s share of the tax basis of the assets owned by BellRing LLC or certain of its Subsidiaries; and</w:t>
      </w:r>
    </w:p>
    <w:p>
      <w:pPr>
        <w:spacing w:after="0" w:line="18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WHEREAS, the Parties to this Agreement desire to provide for certain payments and make certain arrangements with respect to any tax benefits to be derived by the Corporation as the result of Basis Transactions, disproportionate allocations of tax benefits to the Corporation under Section 704(c) of the Code resulting from the Contribution, and the making of payments under this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60" w:top="381" w:right="459" w:bottom="1440" w:gutter="0" w:footer="0" w:header="0"/>
        </w:sectPr>
      </w:pPr>
    </w:p>
    <w:bookmarkStart w:id="433" w:name="page434"/>
    <w:bookmarkEnd w:id="433"/>
    <w:p>
      <w:pPr>
        <w:ind w:left="10"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foregoing and the respective covenants and agreements set forth herein, and intending to be legally bound hereby, the Parties hereto agree as follows:</w:t>
      </w:r>
    </w:p>
    <w:p>
      <w:pPr>
        <w:spacing w:after="0" w:line="38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DEFINITIONS</w:t>
      </w:r>
    </w:p>
    <w:p>
      <w:pPr>
        <w:spacing w:after="0" w:line="210" w:lineRule="exact"/>
        <w:rPr>
          <w:sz w:val="20"/>
          <w:szCs w:val="20"/>
          <w:color w:val="auto"/>
        </w:rPr>
      </w:pPr>
    </w:p>
    <w:p>
      <w:pPr>
        <w:ind w:left="10" w:right="16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6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means, with respect to any Taxable Year, the sum of (i) the actual liability for Covered Taxes of the Corporation</w:t>
      </w:r>
    </w:p>
    <w:p>
      <w:pPr>
        <w:spacing w:after="0" w:line="23" w:lineRule="exact"/>
        <w:rPr>
          <w:sz w:val="20"/>
          <w:szCs w:val="20"/>
          <w:color w:val="auto"/>
        </w:rPr>
      </w:pPr>
    </w:p>
    <w:p>
      <w:pPr>
        <w:jc w:val="both"/>
        <w:ind w:left="10" w:right="280" w:hanging="10"/>
        <w:spacing w:after="0" w:line="302" w:lineRule="auto"/>
        <w:tabs>
          <w:tab w:leader="none" w:pos="25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appearing on the U.S. federal income Tax Return of the Corporation for such Taxable Year and (b) if applicable, determined in accordance with a Determination (including interest imposed in respect thereof under applicable law) and (ii) the product of (a) federal taxable income (not below zero) reported on the U.S. federal income Tax Return of the Corporation for such Taxable Year and (b) the Deemed Effective State Tax Rate.</w:t>
      </w:r>
    </w:p>
    <w:p>
      <w:pPr>
        <w:spacing w:after="0" w:line="154" w:lineRule="exact"/>
        <w:rPr>
          <w:sz w:val="20"/>
          <w:szCs w:val="20"/>
          <w:color w:val="auto"/>
        </w:rPr>
      </w:pPr>
    </w:p>
    <w:p>
      <w:pPr>
        <w:ind w:left="1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Firm</w:t>
      </w:r>
      <w:r>
        <w:rPr>
          <w:rFonts w:ascii="Arial" w:cs="Arial" w:eastAsia="Arial" w:hAnsi="Arial"/>
          <w:sz w:val="18"/>
          <w:szCs w:val="18"/>
          <w:color w:val="auto"/>
        </w:rPr>
        <w:t>” means any law or accounting firm that is (A) nationally recognized as being an expert in tax matters and (B) agreed to by the Corporation and the Members.</w:t>
      </w:r>
    </w:p>
    <w:p>
      <w:pPr>
        <w:spacing w:after="0" w:line="170" w:lineRule="exact"/>
        <w:rPr>
          <w:sz w:val="20"/>
          <w:szCs w:val="20"/>
          <w:color w:val="auto"/>
        </w:rPr>
      </w:pPr>
    </w:p>
    <w:p>
      <w:pPr>
        <w:ind w:left="1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Firm Report</w:t>
      </w:r>
      <w:r>
        <w:rPr>
          <w:rFonts w:ascii="Arial" w:cs="Arial" w:eastAsia="Arial" w:hAnsi="Arial"/>
          <w:sz w:val="18"/>
          <w:szCs w:val="18"/>
          <w:color w:val="auto"/>
        </w:rPr>
        <w:t>” shall mean (a) an attestation report from the Advisory Firm expressing an opinion on management’s assertion as to whether the Tax Benefit Schedule and/or the Early Termination Schedule has been prepared, in all material respects, in accordance with this Agreement, or (b) another type of report or letter from the Advisory Firm related to whether the information in the Tax Benefit Schedule and/or the Early Termination Schedule has been prepared in a manner consistent with the terms of this Agreement.</w:t>
      </w:r>
    </w:p>
    <w:p>
      <w:pPr>
        <w:spacing w:after="0" w:line="186" w:lineRule="exact"/>
        <w:rPr>
          <w:sz w:val="20"/>
          <w:szCs w:val="20"/>
          <w:color w:val="auto"/>
        </w:rPr>
      </w:pPr>
    </w:p>
    <w:p>
      <w:pPr>
        <w:ind w:left="1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is defined in Section 2.04(b) of this Agreement.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is defined in Section 3.01(b)(i) of this Agreement.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w:t>
      </w:r>
    </w:p>
    <w:p>
      <w:pPr>
        <w:spacing w:after="0" w:line="225" w:lineRule="exact"/>
        <w:rPr>
          <w:sz w:val="20"/>
          <w:szCs w:val="20"/>
          <w:color w:val="auto"/>
        </w:rPr>
      </w:pPr>
    </w:p>
    <w:p>
      <w:pPr>
        <w:ind w:left="10" w:right="4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Basis Adjustment</w:t>
      </w:r>
      <w:r>
        <w:rPr>
          <w:rFonts w:ascii="Arial" w:cs="Arial" w:eastAsia="Arial" w:hAnsi="Arial"/>
          <w:sz w:val="16"/>
          <w:szCs w:val="16"/>
          <w:color w:val="auto"/>
        </w:rPr>
        <w:t>” means the increase or decrease to, or the Corporation’s share of, the tax basis of the Reference Assets under Section 732, 734(b), 743(b), 754, 755, or 1012 of the Code (or in each case, any similar provisions of state, local or foreign tax law) as a result of any Basis Transaction or payment made under this Agreement. As relevant, Basis Adjustments are to be calculated pursuant to Treasury Regulations</w:t>
      </w:r>
    </w:p>
    <w:p>
      <w:pPr>
        <w:spacing w:after="0" w:line="2" w:lineRule="exact"/>
        <w:rPr>
          <w:sz w:val="20"/>
          <w:szCs w:val="20"/>
          <w:color w:val="auto"/>
        </w:rPr>
      </w:pPr>
    </w:p>
    <w:p>
      <w:pPr>
        <w:ind w:left="10"/>
        <w:spacing w:after="0" w:line="289" w:lineRule="auto"/>
        <w:rPr>
          <w:sz w:val="20"/>
          <w:szCs w:val="20"/>
          <w:color w:val="auto"/>
        </w:rPr>
      </w:pPr>
      <w:r>
        <w:rPr>
          <w:rFonts w:ascii="Arial" w:cs="Arial" w:eastAsia="Arial" w:hAnsi="Arial"/>
          <w:sz w:val="17"/>
          <w:szCs w:val="17"/>
          <w:color w:val="auto"/>
        </w:rPr>
        <w:t>Section 1.743-1. Notwithstanding any other provision of this Agreement, the amount of any Basis Adjustment resulting from a Basis Transaction is to be determined without regard to any Pre-Redemption Transaction and as if any Pre-Redemption Transaction had not occurred.</w:t>
      </w:r>
    </w:p>
    <w:p>
      <w:pPr>
        <w:spacing w:after="0" w:line="16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is defined in Section 2.02 of this Agreement.</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4" w:right="439" w:bottom="1440" w:gutter="0" w:footer="0" w:header="0"/>
        </w:sectPr>
      </w:pPr>
    </w:p>
    <w:bookmarkStart w:id="434" w:name="page435"/>
    <w:bookmarkEnd w:id="434"/>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Basis Transaction</w:t>
      </w:r>
      <w:r>
        <w:rPr>
          <w:rFonts w:ascii="Arial" w:cs="Arial" w:eastAsia="Arial" w:hAnsi="Arial"/>
          <w:sz w:val="16"/>
          <w:szCs w:val="16"/>
          <w:color w:val="auto"/>
        </w:rPr>
        <w:t>” means any (i) Redemption, (ii) transaction characterized under Section 707(a)(2)(B) of the Code as a sale by a Member of Units or Reference Assets, (iii) distribution (including a deemed distribution) by a member of the BellRing LLC Group to a Member or another member of the BellRing LLC Group that results in a basis adjustment to a Reference Asset under Section 734(b) or 732 of the Code, or (iv) Reorganization.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Transaction Date</w:t>
      </w:r>
      <w:r>
        <w:rPr>
          <w:rFonts w:ascii="Arial" w:cs="Arial" w:eastAsia="Arial" w:hAnsi="Arial"/>
          <w:sz w:val="18"/>
          <w:szCs w:val="18"/>
          <w:color w:val="auto"/>
        </w:rPr>
        <w:t>” means the date of any Basis Transaction.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LLC Group</w:t>
      </w:r>
      <w:r>
        <w:rPr>
          <w:rFonts w:ascii="Arial" w:cs="Arial" w:eastAsia="Arial" w:hAnsi="Arial"/>
          <w:sz w:val="16"/>
          <w:szCs w:val="16"/>
          <w:color w:val="auto"/>
        </w:rPr>
        <w:t>” means BellRing LLC, each of its direct or indirect Subsidiaries, and each of their predecessors, successors and assigns.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Managers</w:t>
      </w:r>
      <w:r>
        <w:rPr>
          <w:rFonts w:ascii="Arial" w:cs="Arial" w:eastAsia="Arial" w:hAnsi="Arial"/>
          <w:sz w:val="18"/>
          <w:szCs w:val="18"/>
          <w:color w:val="auto"/>
        </w:rPr>
        <w:t>” means the board of managers of BellRing LLC.</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of the following:</w:t>
      </w:r>
    </w:p>
    <w:p>
      <w:pPr>
        <w:spacing w:after="0" w:line="117" w:lineRule="exact"/>
        <w:rPr>
          <w:sz w:val="20"/>
          <w:szCs w:val="20"/>
          <w:color w:val="auto"/>
        </w:rPr>
      </w:pPr>
    </w:p>
    <w:p>
      <w:pPr>
        <w:ind w:left="440" w:firstLine="413"/>
        <w:spacing w:after="0" w:line="253" w:lineRule="auto"/>
        <w:tabs>
          <w:tab w:leader="none" w:pos="107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consummation of a reorganization, merger, share exchange or consolidation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which (x) the Corporation is a constituent party or (y) a Subsidiary of the Corporation is a constituent party, except any such Business Combination involving the Corporation or a Subsidiary of the Corporation in which the holders of shares of capital stock of the Corporation outstanding immediately prior to such Business Combination continue to hold, or whose shares of capital stock of the Corporation are converted into or exchanged for shares of capital stock that represent, immediately following such Business Combination, more than 50% of the combined voting power of the capital stock entitled to vote generally in the election of directors or other governing body, as the case may be, of (A) the surviving or resulting corporation or other entity or (B) if the surviving or resulting corporation or other entity is a wholly-owned subsidiary of another corporation or other entity immediately following such merger or consolidation, the parent corporation or other entity of such surviving or resulting corporation or other entity;</w:t>
      </w:r>
    </w:p>
    <w:p>
      <w:pPr>
        <w:spacing w:after="0" w:line="86" w:lineRule="exact"/>
        <w:rPr>
          <w:rFonts w:ascii="Arial" w:cs="Arial" w:eastAsia="Arial" w:hAnsi="Arial"/>
          <w:sz w:val="18"/>
          <w:szCs w:val="18"/>
          <w:color w:val="auto"/>
        </w:rPr>
      </w:pPr>
    </w:p>
    <w:p>
      <w:pPr>
        <w:ind w:left="440" w:right="100" w:firstLine="413"/>
        <w:spacing w:after="0" w:line="275" w:lineRule="auto"/>
        <w:tabs>
          <w:tab w:leader="none" w:pos="1127"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 sale, assignment, conveyance, transfer, lease or other disposition, in one transaction or a series of transactions, by the Corporation or any Subsidiary of the Corporation of all or substantially all of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assignment, conveyance, transfer, lease or other disposition is to a wholly-owned Subsidiary of the Corporation;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435" w:name="page436"/>
    <w:bookmarkEnd w:id="435"/>
    <w:p>
      <w:pPr>
        <w:ind w:left="450" w:right="120" w:firstLine="413"/>
        <w:spacing w:after="0" w:line="254" w:lineRule="auto"/>
        <w:tabs>
          <w:tab w:leader="none" w:pos="1187"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or group of Persons acting together which would constitute a “group” for purposes of Section 13(d) or 14(d) of the Securities and Exchange Act of 1934, as amended, or any successor provisions thereto, other than Post or any Affiliate thereof (other than the Corporation or any of its Subsidiaries), acquiring, holding or otherwise controlling more than 50% of the combined voting power of the capital stock of the Corporation entitled to vote generally in the election of directors (including, for avoidance of doubt, acquiring, holding or otherwise controlling the right to cast all or a portion of the votes to which the Class B Common Stock is entitled pursuant to proxies, voting agreements or other voting arrangements from or with Post or any of its Affiliates (other than the Corporation or any of its Subsidiaries) in accordance with the LLC Agreement); or</w:t>
      </w:r>
    </w:p>
    <w:p>
      <w:pPr>
        <w:spacing w:after="0" w:line="85" w:lineRule="exact"/>
        <w:rPr>
          <w:rFonts w:ascii="Arial" w:cs="Arial" w:eastAsia="Arial" w:hAnsi="Arial"/>
          <w:sz w:val="18"/>
          <w:szCs w:val="18"/>
          <w:color w:val="auto"/>
        </w:rPr>
      </w:pPr>
    </w:p>
    <w:p>
      <w:pPr>
        <w:ind w:left="1170" w:hanging="307"/>
        <w:spacing w:after="0"/>
        <w:tabs>
          <w:tab w:leader="none" w:pos="117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approval by the stockholders of the Corporation of any plan or proposal for the liquidation or dissolution of the Corporation.</w:t>
      </w:r>
    </w:p>
    <w:p>
      <w:pPr>
        <w:spacing w:after="0" w:line="236" w:lineRule="exact"/>
        <w:rPr>
          <w:sz w:val="20"/>
          <w:szCs w:val="20"/>
          <w:color w:val="auto"/>
        </w:rPr>
      </w:pPr>
    </w:p>
    <w:p>
      <w:pPr>
        <w:ind w:left="10" w:right="40" w:firstLine="440"/>
        <w:spacing w:after="0" w:line="284"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(a) any indirect Change of Control of the Corporation resulting from a change of control of Post, (b) the consummation of any transaction or series of integrated transactions immediately following which the record holders of the Class A Common Stock and the Class B Common Stock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(c) the consummation of any transaction or series of integrated transactions in which a Member or an Affiliate of such Member merges with the Corporation or</w:t>
      </w:r>
    </w:p>
    <w:p>
      <w:pPr>
        <w:spacing w:after="0" w:line="3" w:lineRule="exact"/>
        <w:rPr>
          <w:sz w:val="20"/>
          <w:szCs w:val="20"/>
          <w:color w:val="auto"/>
        </w:rPr>
      </w:pPr>
    </w:p>
    <w:p>
      <w:pPr>
        <w:ind w:left="10" w:right="120" w:hanging="10"/>
        <w:spacing w:after="0" w:line="260" w:lineRule="auto"/>
        <w:tabs>
          <w:tab w:leader="none" w:pos="26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distribution by Post of its retained beneficial interest in BellRing LLC by means of a spin-off or split-off to its shareholders (however evidenced or structured).</w:t>
      </w:r>
    </w:p>
    <w:p>
      <w:pPr>
        <w:spacing w:after="0" w:line="18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Corporation.</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means the initial deemed contribution for U.S. federal income tax purposes by Post to BellRing LLC of all of the assets and liabilities of BellRing LLC as part of the formation of BellRing LLC, which occurs in connection with the Reorganization.</w:t>
      </w:r>
    </w:p>
    <w:p>
      <w:pPr>
        <w:spacing w:after="0" w:line="170" w:lineRule="exact"/>
        <w:rPr>
          <w:sz w:val="20"/>
          <w:szCs w:val="20"/>
          <w:color w:val="auto"/>
        </w:rPr>
      </w:pPr>
    </w:p>
    <w:p>
      <w:pPr>
        <w:ind w:left="1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Return</w:t>
      </w:r>
      <w:r>
        <w:rPr>
          <w:rFonts w:ascii="Arial" w:cs="Arial" w:eastAsia="Arial" w:hAnsi="Arial"/>
          <w:sz w:val="18"/>
          <w:szCs w:val="18"/>
          <w:color w:val="auto"/>
        </w:rPr>
        <w:t>” means the U.S. federal income Tax Return of the Corporation filed with respect to any Taxable Year.</w:t>
      </w:r>
    </w:p>
    <w:p>
      <w:pPr>
        <w:spacing w:after="0" w:line="225" w:lineRule="exact"/>
        <w:rPr>
          <w:sz w:val="20"/>
          <w:szCs w:val="20"/>
          <w:color w:val="auto"/>
        </w:rPr>
      </w:pPr>
    </w:p>
    <w:p>
      <w:pPr>
        <w:ind w:left="1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Taxes</w:t>
      </w:r>
      <w:r>
        <w:rPr>
          <w:rFonts w:ascii="Arial" w:cs="Arial" w:eastAsia="Arial" w:hAnsi="Arial"/>
          <w:sz w:val="16"/>
          <w:szCs w:val="16"/>
          <w:color w:val="auto"/>
        </w:rPr>
        <w:t>” means any U.S. federal, state, local, or franchise taxes, assessments or similar charges that are based on or measured with respect to net income or profits, whether as an exclusive or an alternative basis, and any interest imposed in respect thereof under applicable law.</w:t>
      </w:r>
    </w:p>
    <w:p>
      <w:pPr>
        <w:spacing w:after="0" w:line="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0"/>
          </w:cols>
          <w:pgMar w:left="450" w:top="274" w:right="459" w:bottom="1440" w:gutter="0" w:footer="0" w:header="0"/>
        </w:sectPr>
      </w:pPr>
    </w:p>
    <w:bookmarkStart w:id="436" w:name="page437"/>
    <w:bookmarkEnd w:id="4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is defined in Section 3.01(b)(iii)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Effective State Tax Rate</w:t>
      </w:r>
      <w:r>
        <w:rPr>
          <w:rFonts w:ascii="Arial" w:cs="Arial" w:eastAsia="Arial" w:hAnsi="Arial"/>
          <w:sz w:val="18"/>
          <w:szCs w:val="18"/>
          <w:color w:val="auto"/>
        </w:rPr>
        <w:t>” means an assumed rate equal to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Interest</w:t>
      </w:r>
      <w:r>
        <w:rPr>
          <w:rFonts w:ascii="Arial" w:cs="Arial" w:eastAsia="Arial" w:hAnsi="Arial"/>
          <w:sz w:val="18"/>
          <w:szCs w:val="18"/>
          <w:color w:val="auto"/>
        </w:rPr>
        <w:t>” is defined in Section 3.01(b)(viii) of this Agreement.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any other event (including the execution of a Form 870-AD) that finally and conclusively establishes the amount of any liability for tax.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Complete Termination</w:t>
      </w:r>
      <w:r>
        <w:rPr>
          <w:rFonts w:ascii="Arial" w:cs="Arial" w:eastAsia="Arial" w:hAnsi="Arial"/>
          <w:sz w:val="18"/>
          <w:szCs w:val="18"/>
          <w:color w:val="auto"/>
        </w:rPr>
        <w:t>” is defined in Section 4.01(b) of this Agreement.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means (i) with respect to an early termination pursuant to Section 4.01(b), the date an Early Termination Notice is delivered, (ii) with respect to an early termination pursuant to Section 4.01(c), the date of the applicable Material Breach and (iii) with respect to an early termination pursuant to Section 4.01(d), the date of the applicable Change of Control.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Reference Date</w:t>
      </w:r>
      <w:r>
        <w:rPr>
          <w:rFonts w:ascii="Arial" w:cs="Arial" w:eastAsia="Arial" w:hAnsi="Arial"/>
          <w:sz w:val="18"/>
          <w:szCs w:val="18"/>
          <w:color w:val="auto"/>
        </w:rPr>
        <w:t>” is defined in Section 4.02 of this Agreement.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Event</w:t>
      </w:r>
      <w:r>
        <w:rPr>
          <w:rFonts w:ascii="Arial" w:cs="Arial" w:eastAsia="Arial" w:hAnsi="Arial"/>
          <w:sz w:val="18"/>
          <w:szCs w:val="18"/>
          <w:color w:val="auto"/>
        </w:rPr>
        <w:t>” means (i) an Early Complete Termination to which Section 4.01(b) applies, (ii) a breach of this Agreement to which Section 4.01(c) applies and (iii) a Change of Control to which Section 4.01(d) applies.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is defined in Section 4.01(b)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is defined in Section 4.03(b)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lesser of (i) 6.5% per annum, compounded annually, and (ii) LIBOR plus 300 basis points.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is defined in Section 4.02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is defined in Section 7.08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Rate Interest</w:t>
      </w:r>
      <w:r>
        <w:rPr>
          <w:rFonts w:ascii="Arial" w:cs="Arial" w:eastAsia="Arial" w:hAnsi="Arial"/>
          <w:sz w:val="18"/>
          <w:szCs w:val="18"/>
          <w:color w:val="auto"/>
        </w:rPr>
        <w:t>” is defined in Section 3.01(b)(vii) of this Agreement.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 Date</w:t>
      </w:r>
      <w:r>
        <w:rPr>
          <w:rFonts w:ascii="Arial" w:cs="Arial" w:eastAsia="Arial" w:hAnsi="Arial"/>
          <w:sz w:val="18"/>
          <w:szCs w:val="18"/>
          <w:color w:val="auto"/>
        </w:rPr>
        <w:t>” means any date on which a payment is required to be made pursuant to this Agreement. The Final Payment Date in respect of (i) a Tax Benefit Payment is determined pursuant to Section 3.01(a) of this Agreement and (ii) an Early Termination Payment is determined pursuant to Section 4.03(a) of this Agreement.</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60" w:top="274" w:right="539" w:bottom="1440" w:gutter="0" w:footer="0" w:header="0"/>
        </w:sectPr>
      </w:pPr>
    </w:p>
    <w:bookmarkStart w:id="437" w:name="page438"/>
    <w:bookmarkEnd w:id="437"/>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Hypothetical Federal Tax Liability</w:t>
      </w:r>
      <w:r>
        <w:rPr>
          <w:rFonts w:ascii="Arial" w:cs="Arial" w:eastAsia="Arial" w:hAnsi="Arial"/>
          <w:sz w:val="18"/>
          <w:szCs w:val="18"/>
          <w:color w:val="auto"/>
        </w:rPr>
        <w:t xml:space="preserve">” means, with respect to any Taxable Year, the hypothetical liability of the Corporation that would arise in respect of U.S. federal Covered Taxes, using the same methods, elections, conventions and similar practices used on the actual relevant U.S. federal Tax Returns of the Corporation but (i) calculating depreciation, amortization, or other similar deductions, or otherwise calculating any items of income, gain, or loss, using the Corporation’s proportionate share of such items (without regard to the Section 704(c) Benefits) determined by reference to the Non-Adjusted Tax Basis as reflected on the Basis Schedule, including amendments thereto, for such Taxable Year, (ii) excluding any Section 707(c) Deductions or Imputed Interest for such Taxable Year and (iii) deducting the Hypothetical Other Tax Liability (rather than any amount for state and local tax liabilities) for such Taxable Year. For the avoidance of doubt, the Hypothetical Federal Tax Liability shall be determined without taking into account the carryover or carryback of any tax item (or portions thereof) that is attributable to any of the items described in </w:t>
      </w:r>
      <w:r>
        <w:rPr>
          <w:rFonts w:ascii="Arial" w:cs="Arial" w:eastAsia="Arial" w:hAnsi="Arial"/>
          <w:sz w:val="18"/>
          <w:szCs w:val="18"/>
          <w:u w:val="single" w:color="auto"/>
          <w:color w:val="auto"/>
        </w:rPr>
        <w:t>clauses (i), (ii), or (iii)</w:t>
      </w:r>
      <w:r>
        <w:rPr>
          <w:rFonts w:ascii="Arial" w:cs="Arial" w:eastAsia="Arial" w:hAnsi="Arial"/>
          <w:sz w:val="18"/>
          <w:szCs w:val="18"/>
          <w:color w:val="auto"/>
        </w:rPr>
        <w:t xml:space="preserve"> of the previous sentence.</w:t>
      </w:r>
    </w:p>
    <w:p>
      <w:pPr>
        <w:spacing w:after="0" w:line="19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Other Tax Liability</w:t>
      </w:r>
      <w:r>
        <w:rPr>
          <w:rFonts w:ascii="Arial" w:cs="Arial" w:eastAsia="Arial" w:hAnsi="Arial"/>
          <w:sz w:val="18"/>
          <w:szCs w:val="18"/>
          <w:color w:val="auto"/>
        </w:rPr>
        <w:t>” means, with respect to any Taxable Year, U.S. federal taxable income determined in connection with calculating the Hypothetical Federal Tax Liability for such Taxable Year (determined without regard to clause (iii) thereof) multiplied by the Deemed Effective State Tax Rate for such Taxable Year.</w:t>
      </w:r>
    </w:p>
    <w:p>
      <w:pPr>
        <w:spacing w:after="0" w:line="183"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the Hypothetical Federal Tax Liability for such Taxable Year, plus the Hypothetical Other Tax Liability for such Taxable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is defined in Section 3.01(b)(vi) of this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of the principal U.S. securities exchange on which the Class A Common Stock is traded or quoted.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mean the initial public offering of Class A Common Stock pursuant to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is defined in Section 7.06(a) of this Agreement.</w:t>
      </w:r>
    </w:p>
    <w:p>
      <w:pPr>
        <w:spacing w:after="0" w:line="22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means for each month (or portion thereof) during any period, an interest rate per annum equal to the rate per annum reported, on the date two (2) days prior to the first day of such month, on the Telerate Page 3750 (or if such screen shall cease to be publicly available, as reported on Reuters Screen page “LIBO” or by any other publicly available source of such market rate) for London interbank offered rates for U.S. dollar deposits for such month (or portion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adequate and reasonable means do not exist for ascertaining LIBOR and such circumstances are unlikely to be temporary or (ii) the supervisor for the administrator of LIBOR or a governmental authority having jurisdiction over the Members or the Corporation has made a public statement identifying a specific date after which LIBOR shall no longer be used for determining interest rates for loans, then the Corporation and the Members shall designate an alternative rate of interest to LIBOR that gives due consideration to the then prevailing market convention for determining a comparable rate of interest in the United States at such time, and this alternative rate, once designated, shall be deemed to be LIBOR for purposes of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3" w:right="459" w:bottom="1440" w:gutter="0" w:footer="0" w:header="0"/>
        </w:sectPr>
      </w:pPr>
    </w:p>
    <w:bookmarkStart w:id="438" w:name="page439"/>
    <w:bookmarkEnd w:id="438"/>
    <w:p>
      <w:pPr>
        <w:ind w:right="460" w:firstLine="44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LLC Agreement</w:t>
      </w:r>
      <w:r>
        <w:rPr>
          <w:rFonts w:ascii="Arial" w:cs="Arial" w:eastAsia="Arial" w:hAnsi="Arial"/>
          <w:sz w:val="17"/>
          <w:szCs w:val="17"/>
          <w:color w:val="auto"/>
        </w:rPr>
        <w:t>” means that certain Amended and Restated Limited Liability Company Agreement of BellRing LLC, dated as of the date hereof, as such agreement may be further amended, restated, supplemented and/or otherwise modified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means the Common Unit Redemption Price, as defined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Breach</w:t>
      </w:r>
      <w:r>
        <w:rPr>
          <w:rFonts w:ascii="Arial" w:cs="Arial" w:eastAsia="Arial" w:hAnsi="Arial"/>
          <w:sz w:val="18"/>
          <w:szCs w:val="18"/>
          <w:color w:val="auto"/>
        </w:rPr>
        <w:t>” is defined in Section 4.01(c)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is defined in Section 7.12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is defined in Section 3.01(b)(ii) of this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Non-Adjusted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Non-TRA Portion</w:t>
      </w:r>
      <w:r>
        <w:rPr>
          <w:rFonts w:ascii="Arial" w:cs="Arial" w:eastAsia="Arial" w:hAnsi="Arial"/>
          <w:sz w:val="18"/>
          <w:szCs w:val="18"/>
          <w:color w:val="auto"/>
        </w:rPr>
        <w:t>” is defined in Section 2.03(b)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is defined in Section 2.04(a)(i) of this Agreement.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named on the signature pages to this Agreement and each additional party that satisfies the Joinder Requirement, in each case with their respective successors and assigns.</w:t>
      </w:r>
    </w:p>
    <w:p>
      <w:pPr>
        <w:spacing w:after="0" w:line="170"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Pre-Redemption Transaction</w:t>
      </w:r>
      <w:r>
        <w:rPr>
          <w:rFonts w:ascii="Arial" w:cs="Arial" w:eastAsia="Arial" w:hAnsi="Arial"/>
          <w:sz w:val="18"/>
          <w:szCs w:val="18"/>
          <w:color w:val="auto"/>
        </w:rPr>
        <w:t>” means any transfer of one or more Units (including from the exercise of an option to acquire such Units) that occurs after the IPO but prior to a Redemption of such Units and to which Section 743(b) of the Code applies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is defined in Section 3.01(b)(iv)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is defined in Section 3.01(b)(v)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is defined in Section 7.08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shall mean those procedures set forth in Section 7.08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is defined in the recitals to this Agreement.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60" w:top="274" w:right="519" w:bottom="1440" w:gutter="0" w:footer="0" w:header="0"/>
        </w:sectPr>
      </w:pPr>
    </w:p>
    <w:bookmarkStart w:id="439" w:name="page440"/>
    <w:bookmarkEnd w:id="439"/>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any asset of any Member of the BellRing LLC Group, whether held directly by BellRing LLC or indirectly by BellRing LLC through a member of the BellRing LLC Group, at the time of, or immediately prior to, a Basis Transaction.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on Form S-1 of the Corporation.</w:t>
      </w:r>
    </w:p>
    <w:p>
      <w:pPr>
        <w:spacing w:after="0" w:line="22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means the transfers or deemed transfers (including Section 721 contributions) of Dymatize Enterprises, LLC units or of assets into Dymatize Enterprises, LLC by its former members and current members of the BellRing LLC Group, which occur in 2019, and that result in new Section 743(b) adjustments to the Dymatize Enterprises, LLC members.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Tax Benefit Schedule and any Early Termination Schedule.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704(c) Benefits</w:t>
      </w:r>
      <w:r>
        <w:rPr>
          <w:rFonts w:ascii="Arial" w:cs="Arial" w:eastAsia="Arial" w:hAnsi="Arial"/>
          <w:sz w:val="18"/>
          <w:szCs w:val="18"/>
          <w:color w:val="auto"/>
        </w:rPr>
        <w:t>” means the disproportionate allocation of tax items of income, gain, deduction and loss to, or away from, the Corporation pursuant to Section 704(c) of the Code in respect of any difference between the fair market value and the tax basis of the Reference Assets immediately following the Reorganization. For the avoidance of doubt, such amount would include disproportionate allocations of tax items of income and gain to a Member and away from the Corporation.</w:t>
      </w:r>
    </w:p>
    <w:p>
      <w:pPr>
        <w:spacing w:after="0" w:line="186" w:lineRule="exact"/>
        <w:rPr>
          <w:sz w:val="20"/>
          <w:szCs w:val="20"/>
          <w:color w:val="auto"/>
        </w:rPr>
      </w:pPr>
    </w:p>
    <w:p>
      <w:pPr>
        <w:ind w:right="38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707(c) Deductions</w:t>
      </w:r>
      <w:r>
        <w:rPr>
          <w:rFonts w:ascii="Arial" w:cs="Arial" w:eastAsia="Arial" w:hAnsi="Arial"/>
          <w:sz w:val="17"/>
          <w:szCs w:val="17"/>
          <w:color w:val="auto"/>
        </w:rPr>
        <w:t>” means the deduction that arises at BellRing LLC in respect of the characterization of certain payments under the Agreement as guaranteed payments for the use of capital under Section 707(c) of the Code by BellRing LLC to Members.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is defined in Section 5.02 of this Agreement.</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other Person.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is defined in Section 3.01(b)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is defined in Section 2.03(a) of this Agreement.</w:t>
      </w:r>
    </w:p>
    <w:p>
      <w:pPr>
        <w:spacing w:after="0" w:line="225" w:lineRule="exact"/>
        <w:rPr>
          <w:sz w:val="20"/>
          <w:szCs w:val="20"/>
          <w:color w:val="auto"/>
        </w:rPr>
      </w:pPr>
    </w:p>
    <w:p>
      <w:pPr>
        <w:ind w:right="200" w:firstLine="44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47" w:lineRule="exact"/>
        <w:rPr>
          <w:sz w:val="20"/>
          <w:szCs w:val="20"/>
          <w:color w:val="auto"/>
        </w:rPr>
      </w:pPr>
    </w:p>
    <w:p>
      <w:pPr>
        <w:ind w:right="100" w:firstLine="44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Year</w:t>
      </w:r>
      <w:r>
        <w:rPr>
          <w:rFonts w:ascii="Arial" w:cs="Arial" w:eastAsia="Arial" w:hAnsi="Arial"/>
          <w:sz w:val="16"/>
          <w:szCs w:val="16"/>
          <w:color w:val="auto"/>
        </w:rPr>
        <w:t>” means a taxable year as defined in Section 441(b) of the Code or comparable section of U.S. state or local tax law (and, therefore, for the avoidance of doubt, may include a period of less than 12 months for which a Tax Return is made) ending on or after the date of the IPO.</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440" w:name="page441"/>
    <w:bookmarkEnd w:id="440"/>
    <w:p>
      <w:pPr>
        <w:ind w:right="340" w:firstLine="440"/>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Taxing Authority</w:t>
      </w:r>
      <w:r>
        <w:rPr>
          <w:rFonts w:ascii="Arial" w:cs="Arial" w:eastAsia="Arial" w:hAnsi="Arial"/>
          <w:sz w:val="16"/>
          <w:szCs w:val="16"/>
          <w:color w:val="auto"/>
        </w:rPr>
        <w:t>” shall mean any domestic, foreign, federal, national, state, county or municipal or other local government, any subdivision, agency, commission or authority thereof, or any quasi-governmental body exercising any regulatory or other authority with respect to tax matters.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is defined in Section 4.02 of this Agreement.</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directly or indirectly, sell, transfer, assign, pledge, encumber, hypothecate or similarly dispose of, either voluntarily or involuntarily, by operation of law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Portion</w:t>
      </w:r>
      <w:r>
        <w:rPr>
          <w:rFonts w:ascii="Arial" w:cs="Arial" w:eastAsia="Arial" w:hAnsi="Arial"/>
          <w:sz w:val="18"/>
          <w:szCs w:val="18"/>
          <w:color w:val="auto"/>
        </w:rPr>
        <w:t>” is defined in Section 2.03(b) of this Agreement.</w:t>
      </w:r>
    </w:p>
    <w:p>
      <w:pPr>
        <w:spacing w:after="0" w:line="225"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Assumptions</w:t>
      </w:r>
      <w:r>
        <w:rPr>
          <w:rFonts w:ascii="Arial" w:cs="Arial" w:eastAsia="Arial" w:hAnsi="Arial"/>
          <w:sz w:val="18"/>
          <w:szCs w:val="18"/>
          <w:color w:val="auto"/>
        </w:rPr>
        <w:t>” means, as of an Early Termination Effective Date, the assumptions that:</w:t>
      </w:r>
    </w:p>
    <w:p>
      <w:pPr>
        <w:spacing w:after="0" w:line="117" w:lineRule="exact"/>
        <w:rPr>
          <w:sz w:val="20"/>
          <w:szCs w:val="20"/>
          <w:color w:val="auto"/>
        </w:rPr>
      </w:pPr>
    </w:p>
    <w:p>
      <w:pPr>
        <w:ind w:left="440" w:firstLine="413"/>
        <w:spacing w:after="0" w:line="275" w:lineRule="auto"/>
        <w:tabs>
          <w:tab w:leader="none" w:pos="107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in each Taxable Year ending on or after such Early Termination Effective Date, the Corporation will have taxable income sufficient to use fully the deductions or other tax benefits available to it arising from any tax basis in any Reference Assets, Section 704(c) Benefits, Section 707(c) Deductions and the Imputed Interest during such Taxable Year or future Taxable Years (including, for the avoidance of doubt, any tax basis in any Reference Assets, Section 707(c) Deductions and Imputed Interest that would result from future Tax Benefit Payments that would be paid in accordance with the Valuation Assumptions) in which such deductions would become available;</w:t>
      </w:r>
    </w:p>
    <w:p>
      <w:pPr>
        <w:spacing w:after="0" w:line="67" w:lineRule="exact"/>
        <w:rPr>
          <w:rFonts w:ascii="Arial" w:cs="Arial" w:eastAsia="Arial" w:hAnsi="Arial"/>
          <w:sz w:val="17"/>
          <w:szCs w:val="17"/>
          <w:color w:val="auto"/>
        </w:rPr>
      </w:pPr>
    </w:p>
    <w:p>
      <w:pPr>
        <w:ind w:left="440" w:right="80" w:firstLine="413"/>
        <w:spacing w:after="0" w:line="263" w:lineRule="auto"/>
        <w:tabs>
          <w:tab w:leader="none" w:pos="112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w:t>
      </w:r>
    </w:p>
    <w:p>
      <w:pPr>
        <w:spacing w:after="0" w:line="74" w:lineRule="exact"/>
        <w:rPr>
          <w:rFonts w:ascii="Arial" w:cs="Arial" w:eastAsia="Arial" w:hAnsi="Arial"/>
          <w:sz w:val="18"/>
          <w:szCs w:val="18"/>
          <w:color w:val="auto"/>
        </w:rPr>
      </w:pPr>
    </w:p>
    <w:p>
      <w:pPr>
        <w:ind w:left="1160" w:hanging="307"/>
        <w:spacing w:after="0"/>
        <w:tabs>
          <w:tab w:leader="none" w:pos="11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all taxable income of the Corporation will be subject to the maximum applicable tax rates for each Covered Tax throughout the relevant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440" w:firstLine="413"/>
        <w:spacing w:after="0" w:line="255" w:lineRule="auto"/>
        <w:tabs>
          <w:tab w:leader="none" w:pos="116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loss carryovers or carrybacks generated by any tax basis made available to the Corporation in any Reference Assets, Section 704(c) Benefits, Section 707(c) Deductions and Imputed Interest (including any such tax basis in any Reference Assets, Section 707(c) Deductions and Imputed Interest generated as a result of payments made under this Agreement) and available as of the date of the Early Termination Schedule will be used by the Corporation ratably in each Taxable Year from the date of the Early Termination Schedule through the scheduled expiration date of such loss carryovers or, if such carryovers or carrybacks do not have an expiration date, over the fifteen (15)-year period after such carryovers or carrybacks were generated;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441" w:name="page442"/>
    <w:bookmarkEnd w:id="441"/>
    <w:p>
      <w:pPr>
        <w:ind w:left="420" w:right="60" w:firstLine="413"/>
        <w:spacing w:after="0" w:line="277" w:lineRule="auto"/>
        <w:tabs>
          <w:tab w:leader="none" w:pos="1097"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non-amortizable assets will be disposed of for book value on the fifteenth (15th) anniversary of the earlier of (i) the applicable Basis Adjustment and (ii) the Early Termination Effective Date;</w:t>
      </w:r>
    </w:p>
    <w:p>
      <w:pPr>
        <w:spacing w:after="0" w:line="61" w:lineRule="exact"/>
        <w:rPr>
          <w:rFonts w:ascii="Arial" w:cs="Arial" w:eastAsia="Arial" w:hAnsi="Arial"/>
          <w:sz w:val="18"/>
          <w:szCs w:val="18"/>
          <w:color w:val="auto"/>
        </w:rPr>
      </w:pPr>
    </w:p>
    <w:p>
      <w:pPr>
        <w:ind w:left="420" w:right="40" w:firstLine="413"/>
        <w:spacing w:after="0" w:line="263" w:lineRule="auto"/>
        <w:tabs>
          <w:tab w:leader="none" w:pos="114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on the Early Termination Effective Date, any Member has Units that have not been Redeemed, then such Units shall be deemed to be Redeemed for the Market Value of the shares of Class A Common Stock or the amount of cash that would be received by such Member had such Units actually been Redeemed on the Early Termination Effective Date;</w:t>
      </w:r>
    </w:p>
    <w:p>
      <w:pPr>
        <w:spacing w:after="0" w:line="74" w:lineRule="exact"/>
        <w:rPr>
          <w:rFonts w:ascii="Arial" w:cs="Arial" w:eastAsia="Arial" w:hAnsi="Arial"/>
          <w:sz w:val="18"/>
          <w:szCs w:val="18"/>
          <w:color w:val="auto"/>
        </w:rPr>
      </w:pPr>
    </w:p>
    <w:p>
      <w:pPr>
        <w:ind w:left="420" w:firstLine="413"/>
        <w:spacing w:after="0" w:line="307" w:lineRule="auto"/>
        <w:tabs>
          <w:tab w:leader="none" w:pos="1197"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any future payment obligations pursuant to this Agreement that are used to calculate the Early Termination Payment will be satisfied on the date that any Tax Return to which any such payment obligation relates is required to be filed excluding any extensions; and</w:t>
      </w:r>
    </w:p>
    <w:p>
      <w:pPr>
        <w:spacing w:after="0" w:line="39" w:lineRule="exact"/>
        <w:rPr>
          <w:rFonts w:ascii="Arial" w:cs="Arial" w:eastAsia="Arial" w:hAnsi="Arial"/>
          <w:sz w:val="17"/>
          <w:szCs w:val="17"/>
          <w:color w:val="auto"/>
        </w:rPr>
      </w:pPr>
    </w:p>
    <w:p>
      <w:pPr>
        <w:ind w:left="420" w:right="660" w:firstLine="413"/>
        <w:spacing w:after="0" w:line="277" w:lineRule="auto"/>
        <w:tabs>
          <w:tab w:leader="none" w:pos="124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with respect to Taxable Years ending prior to the Early Termination Effective Date, any unpaid Tax Benefit Payments and any applicable Default Rate Interest will be paid.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otherwise specified herein:</w:t>
      </w:r>
    </w:p>
    <w:p>
      <w:pPr>
        <w:spacing w:after="0" w:line="117" w:lineRule="exact"/>
        <w:rPr>
          <w:sz w:val="20"/>
          <w:szCs w:val="20"/>
          <w:color w:val="auto"/>
        </w:rPr>
      </w:pPr>
    </w:p>
    <w:p>
      <w:pPr>
        <w:ind w:left="-20" w:right="160" w:firstLine="981"/>
        <w:spacing w:after="0" w:line="277" w:lineRule="auto"/>
        <w:tabs>
          <w:tab w:leader="none" w:pos="121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both (i) the singular and plural forms and (ii) the active and passive forms of the defined terms.</w:t>
      </w:r>
    </w:p>
    <w:p>
      <w:pPr>
        <w:spacing w:after="0" w:line="61" w:lineRule="exact"/>
        <w:rPr>
          <w:rFonts w:ascii="Arial" w:cs="Arial" w:eastAsia="Arial" w:hAnsi="Arial"/>
          <w:sz w:val="18"/>
          <w:szCs w:val="18"/>
          <w:color w:val="auto"/>
        </w:rPr>
      </w:pPr>
    </w:p>
    <w:p>
      <w:pPr>
        <w:ind w:left="1220" w:hanging="259"/>
        <w:spacing w:after="0"/>
        <w:tabs>
          <w:tab w:leader="none" w:pos="12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For purposes of interpretation of this Agreement:</w:t>
      </w:r>
    </w:p>
    <w:p>
      <w:pPr>
        <w:spacing w:after="0" w:line="116" w:lineRule="exact"/>
        <w:rPr>
          <w:rFonts w:ascii="Arial" w:cs="Arial" w:eastAsia="Arial" w:hAnsi="Arial"/>
          <w:sz w:val="18"/>
          <w:szCs w:val="18"/>
          <w:color w:val="auto"/>
        </w:rPr>
      </w:pPr>
    </w:p>
    <w:p>
      <w:pPr>
        <w:ind w:left="-20" w:right="140" w:firstLine="1421"/>
        <w:spacing w:after="0" w:line="277" w:lineRule="auto"/>
        <w:tabs>
          <w:tab w:leader="none" w:pos="1626"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this Agreement shall refer to this Agreement as a whole and not to any particular provision thereof.</w:t>
      </w:r>
    </w:p>
    <w:p>
      <w:pPr>
        <w:spacing w:after="0" w:line="61" w:lineRule="exact"/>
        <w:rPr>
          <w:rFonts w:ascii="Arial" w:cs="Arial" w:eastAsia="Arial" w:hAnsi="Arial"/>
          <w:sz w:val="18"/>
          <w:szCs w:val="18"/>
          <w:color w:val="auto"/>
        </w:rPr>
      </w:pPr>
    </w:p>
    <w:p>
      <w:pPr>
        <w:ind w:left="-20" w:right="560" w:firstLine="1421"/>
        <w:spacing w:after="0" w:line="277" w:lineRule="auto"/>
        <w:tabs>
          <w:tab w:leader="none" w:pos="1676" w:val="left"/>
        </w:tabs>
        <w:numPr>
          <w:ilvl w:val="1"/>
          <w:numId w:val="356"/>
        </w:numPr>
        <w:rPr>
          <w:rFonts w:ascii="Arial" w:cs="Arial" w:eastAsia="Arial" w:hAnsi="Arial"/>
          <w:sz w:val="18"/>
          <w:szCs w:val="18"/>
          <w:color w:val="auto"/>
        </w:rPr>
      </w:pPr>
      <w:r>
        <w:rPr>
          <w:rFonts w:ascii="Arial" w:cs="Arial" w:eastAsia="Arial" w:hAnsi="Arial"/>
          <w:sz w:val="18"/>
          <w:szCs w:val="18"/>
          <w:color w:val="auto"/>
        </w:rPr>
        <w:t>References in this Agreement to a Schedule, Article, Section, clause or sub-clause refer to the appropriate Schedule to, or Article, Section, clause or subclause in, this Agreement.</w:t>
      </w:r>
    </w:p>
    <w:p>
      <w:pPr>
        <w:spacing w:after="0" w:line="61" w:lineRule="exact"/>
        <w:rPr>
          <w:rFonts w:ascii="Arial" w:cs="Arial" w:eastAsia="Arial" w:hAnsi="Arial"/>
          <w:sz w:val="18"/>
          <w:szCs w:val="18"/>
          <w:color w:val="auto"/>
        </w:rPr>
      </w:pPr>
    </w:p>
    <w:p>
      <w:pPr>
        <w:ind w:left="1720" w:hanging="319"/>
        <w:spacing w:after="0"/>
        <w:tabs>
          <w:tab w:leader="none" w:pos="17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References in this Agreement to dollars or “$” refer to the lawful currency of the United States of America.</w:t>
      </w:r>
    </w:p>
    <w:p>
      <w:pPr>
        <w:spacing w:after="0" w:line="116" w:lineRule="exact"/>
        <w:rPr>
          <w:rFonts w:ascii="Arial" w:cs="Arial" w:eastAsia="Arial" w:hAnsi="Arial"/>
          <w:sz w:val="18"/>
          <w:szCs w:val="18"/>
          <w:color w:val="auto"/>
        </w:rPr>
      </w:pPr>
    </w:p>
    <w:p>
      <w:pPr>
        <w:ind w:left="1700" w:hanging="299"/>
        <w:spacing w:after="0"/>
        <w:tabs>
          <w:tab w:leader="none" w:pos="170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16" w:lineRule="exact"/>
        <w:rPr>
          <w:rFonts w:ascii="Arial" w:cs="Arial" w:eastAsia="Arial" w:hAnsi="Arial"/>
          <w:sz w:val="18"/>
          <w:szCs w:val="18"/>
          <w:color w:val="auto"/>
        </w:rPr>
      </w:pPr>
    </w:p>
    <w:p>
      <w:pPr>
        <w:ind w:left="-20" w:right="740" w:firstLine="1421"/>
        <w:spacing w:after="0" w:line="277" w:lineRule="auto"/>
        <w:tabs>
          <w:tab w:leader="none" w:pos="1666"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61" w:lineRule="exact"/>
        <w:rPr>
          <w:rFonts w:ascii="Arial" w:cs="Arial" w:eastAsia="Arial" w:hAnsi="Arial"/>
          <w:sz w:val="18"/>
          <w:szCs w:val="18"/>
          <w:color w:val="auto"/>
        </w:rPr>
      </w:pPr>
    </w:p>
    <w:p>
      <w:pPr>
        <w:ind w:left="-20" w:right="120" w:firstLine="981"/>
        <w:spacing w:after="0" w:line="277" w:lineRule="auto"/>
        <w:tabs>
          <w:tab w:leader="none" w:pos="121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80" w:top="274" w:right="459" w:bottom="1440" w:gutter="0" w:footer="0" w:header="0"/>
        </w:sectPr>
      </w:pPr>
    </w:p>
    <w:bookmarkStart w:id="442" w:name="page443"/>
    <w:bookmarkEnd w:id="442"/>
    <w:p>
      <w:pPr>
        <w:ind w:right="780" w:firstLine="981"/>
        <w:spacing w:after="0" w:line="277" w:lineRule="auto"/>
        <w:tabs>
          <w:tab w:leader="none" w:pos="1245"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(and subsection) headings, titles and subtitles herein are included for convenience of reference only and are not to be considered in construing this Agreement.</w:t>
      </w:r>
    </w:p>
    <w:p>
      <w:pPr>
        <w:spacing w:after="0" w:line="61" w:lineRule="exact"/>
        <w:rPr>
          <w:rFonts w:ascii="Arial" w:cs="Arial" w:eastAsia="Arial" w:hAnsi="Arial"/>
          <w:sz w:val="18"/>
          <w:szCs w:val="18"/>
          <w:color w:val="auto"/>
        </w:rPr>
      </w:pPr>
    </w:p>
    <w:p>
      <w:pPr>
        <w:ind w:right="80" w:firstLine="981"/>
        <w:spacing w:after="0" w:line="279" w:lineRule="auto"/>
        <w:tabs>
          <w:tab w:leader="none" w:pos="123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Unless otherwise expressly provided herein, (i) references to organization documents (including the LLC Agreement), agreements (including this Agreement) and other contractual instruments shall be deemed to include all subsequent amendments, restatements, extensions, supplements and other modifications thereto; and (ii) references to any law (including the Code and the Treasury Regulations) shall include all statutory and regulatory provisions consolidating, amending, replacing, supplementing or interpreting such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Basis Adjustments; 754 Election</w:t>
      </w:r>
      <w:r>
        <w:rPr>
          <w:rFonts w:ascii="Arial" w:cs="Arial" w:eastAsia="Arial" w:hAnsi="Arial"/>
          <w:sz w:val="18"/>
          <w:szCs w:val="18"/>
          <w:color w:val="auto"/>
        </w:rPr>
        <w:t>.</w:t>
      </w:r>
    </w:p>
    <w:p>
      <w:pPr>
        <w:spacing w:after="0" w:line="117" w:lineRule="exact"/>
        <w:rPr>
          <w:sz w:val="20"/>
          <w:szCs w:val="20"/>
          <w:color w:val="auto"/>
        </w:rPr>
      </w:pPr>
    </w:p>
    <w:p>
      <w:pPr>
        <w:ind w:right="100" w:firstLine="981"/>
        <w:spacing w:after="0" w:line="256" w:lineRule="auto"/>
        <w:tabs>
          <w:tab w:leader="none" w:pos="1235"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Basis Adjustments</w:t>
      </w:r>
      <w:r>
        <w:rPr>
          <w:rFonts w:ascii="Arial" w:cs="Arial" w:eastAsia="Arial" w:hAnsi="Arial"/>
          <w:sz w:val="18"/>
          <w:szCs w:val="18"/>
          <w:color w:val="auto"/>
        </w:rPr>
        <w:t>. The Parties acknowledge and agree that, except as otherwise required by applicable law, (i) each Redemption shall be treated as a direct purchase of Units by the Corporation from the applicable Member pursuant to Section 707(a)(2)(B) of the Code (or any similar provisions of applicable state, local or foreign tax law) and (ii) each Basis Transaction will give rise to Basis Adjustments. For the avoidance of doubt, payments made under this Agreement shall not be treated as resulting in a Basis Adjustment to the extent such payments are treated as Imputed Interest or giving rise to Section 707(c) Deductions.</w:t>
      </w:r>
    </w:p>
    <w:p>
      <w:pPr>
        <w:spacing w:after="0" w:line="83" w:lineRule="exact"/>
        <w:rPr>
          <w:rFonts w:ascii="Arial" w:cs="Arial" w:eastAsia="Arial" w:hAnsi="Arial"/>
          <w:sz w:val="18"/>
          <w:szCs w:val="18"/>
          <w:color w:val="auto"/>
        </w:rPr>
      </w:pPr>
    </w:p>
    <w:p>
      <w:pPr>
        <w:ind w:right="180" w:firstLine="981"/>
        <w:spacing w:after="0" w:line="301" w:lineRule="auto"/>
        <w:tabs>
          <w:tab w:leader="none" w:pos="1245"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754 Election</w:t>
      </w:r>
      <w:r>
        <w:rPr>
          <w:rFonts w:ascii="Arial" w:cs="Arial" w:eastAsia="Arial" w:hAnsi="Arial"/>
          <w:sz w:val="16"/>
          <w:szCs w:val="16"/>
          <w:color w:val="auto"/>
        </w:rPr>
        <w:t>. The Corporation shall cause BellRing LLC and each of its Subsidiaries that is treated as a partnership for U.S. federal income tax purposes to have in effect an election under Section 754 of the Code (or any similar provisions of applicable state, local or foreign tax law) for each Taxable Year. The Corporation shall take commercially reasonable efforts to cause each Person in which BellRing LLC owns a direct or indirect equity interest (other than a Subsidiary) that is so treated as a partnership to have in effect any such election for each Taxable Year.</w:t>
      </w:r>
    </w:p>
    <w:p>
      <w:pPr>
        <w:spacing w:after="0" w:line="15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Basis Schedules</w:t>
      </w:r>
      <w:r>
        <w:rPr>
          <w:rFonts w:ascii="Arial" w:cs="Arial" w:eastAsia="Arial" w:hAnsi="Arial"/>
          <w:sz w:val="16"/>
          <w:szCs w:val="16"/>
          <w:color w:val="auto"/>
        </w:rPr>
        <w:t>. Within one hundred twenty (120) calendar days after the filing of the U.S. federal income Tax Return of the Corporation for each relevant Taxable Year, the Corporation shall prepare, at its own expense, and deliver to the Members a schedule showing, in reasonable detail, (a) the Non-Adjusted Tax Basis of the Reference Assets as of each applicable Basis Transaction Date, (b) the Basis Adjustments to the Reference Assets for such Taxable Year, calculated (i) in the aggregate and (ii) solely with respect to each applicable Member, (c) the periods over which the Reference Assets are amortizable or depreciable and (d) the period over which each Basis Adjustment is amortizable or depreciable (such schedule, a “</w:t>
      </w:r>
      <w:r>
        <w:rPr>
          <w:rFonts w:ascii="Arial" w:cs="Arial" w:eastAsia="Arial" w:hAnsi="Arial"/>
          <w:sz w:val="16"/>
          <w:szCs w:val="16"/>
          <w:u w:val="single" w:color="auto"/>
          <w:color w:val="auto"/>
        </w:rPr>
        <w:t>Basis Schedule</w:t>
      </w:r>
      <w:r>
        <w:rPr>
          <w:rFonts w:ascii="Arial" w:cs="Arial" w:eastAsia="Arial" w:hAnsi="Arial"/>
          <w:sz w:val="16"/>
          <w:szCs w:val="16"/>
          <w:color w:val="auto"/>
        </w:rPr>
        <w:t>”). For the avoidance of doubt, the Basis Schedule shall reflect all changes in the bases of Reference Assets arising other than from a Basis Adjustment (e.g., as the result of an audit). A Basis Schedule will become final and binding on the Parties pursuant to the procedures set forth in Section 2.04(a) and may be amended by the Parties pursuant to the procedures set forth in Section 2.04(b).</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443" w:name="page444"/>
    <w:bookmarkEnd w:id="4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Tax Benefit Schedules.</w:t>
      </w:r>
    </w:p>
    <w:p>
      <w:pPr>
        <w:spacing w:after="0" w:line="117" w:lineRule="exact"/>
        <w:rPr>
          <w:sz w:val="20"/>
          <w:szCs w:val="20"/>
          <w:color w:val="auto"/>
        </w:rPr>
      </w:pPr>
    </w:p>
    <w:p>
      <w:pPr>
        <w:ind w:right="60" w:firstLine="981"/>
        <w:spacing w:after="0" w:line="293" w:lineRule="auto"/>
        <w:tabs>
          <w:tab w:leader="none" w:pos="1235"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Tax Benefit Schedule</w:t>
      </w:r>
      <w:r>
        <w:rPr>
          <w:rFonts w:ascii="Arial" w:cs="Arial" w:eastAsia="Arial" w:hAnsi="Arial"/>
          <w:sz w:val="16"/>
          <w:szCs w:val="16"/>
          <w:color w:val="auto"/>
        </w:rPr>
        <w:t>. Within one hundred twenty (120) calendar days after the filing of the Corporation Return for any Taxable Year for which there is a Realized Tax Benefit or Realized Tax Detriment, the Corporation shall provide to the Members a schedule showing, in reasonable detail, (i) the calculation of the Realized Tax Benefit or Realized Tax Detriment for such Taxable Year, (ii) the calculation of any payment to be made to the Members pursuant to Article III with respect to such Taxable Year and (iii) all requested supporting information pursuant to Section 2.04(a) of this Agreement reasonably necessary to support the calculation of such payment (a “</w:t>
      </w:r>
      <w:r>
        <w:rPr>
          <w:rFonts w:ascii="Arial" w:cs="Arial" w:eastAsia="Arial" w:hAnsi="Arial"/>
          <w:sz w:val="16"/>
          <w:szCs w:val="16"/>
          <w:u w:val="single" w:color="auto"/>
          <w:color w:val="auto"/>
        </w:rPr>
        <w:t>Tax Benefit Schedule</w:t>
      </w:r>
      <w:r>
        <w:rPr>
          <w:rFonts w:ascii="Arial" w:cs="Arial" w:eastAsia="Arial" w:hAnsi="Arial"/>
          <w:sz w:val="16"/>
          <w:szCs w:val="16"/>
          <w:color w:val="auto"/>
        </w:rPr>
        <w:t>”). The Tax Benefit Schedule will become final as provided in Section 2.04(a) and may be amended as provided in Section 2.04(b) (subject to the procedures set forth in Section 2.04(a)).</w:t>
      </w:r>
    </w:p>
    <w:p>
      <w:pPr>
        <w:spacing w:after="0" w:line="55" w:lineRule="exact"/>
        <w:rPr>
          <w:rFonts w:ascii="Arial" w:cs="Arial" w:eastAsia="Arial" w:hAnsi="Arial"/>
          <w:sz w:val="16"/>
          <w:szCs w:val="16"/>
          <w:color w:val="auto"/>
        </w:rPr>
      </w:pPr>
    </w:p>
    <w:p>
      <w:pPr>
        <w:ind w:firstLine="981"/>
        <w:spacing w:after="0" w:line="285" w:lineRule="auto"/>
        <w:tabs>
          <w:tab w:leader="none" w:pos="1245"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Applicable Principles.</w:t>
      </w:r>
      <w:r>
        <w:rPr>
          <w:rFonts w:ascii="Arial" w:cs="Arial" w:eastAsia="Arial" w:hAnsi="Arial"/>
          <w:sz w:val="16"/>
          <w:szCs w:val="16"/>
          <w:color w:val="auto"/>
        </w:rPr>
        <w:t xml:space="preserve"> Subject to the provisions hereunder, the Realized Tax Benefit or Realized Tax Detriment for each Taxable Year is intended to measure the decrease or increase in the Actual Tax Liability of the Corporation for such Taxable Year attributable to the Basis Adjustments, Section 704(c) Benefits, Section 707(c) Deductions and Imputed Interest, as determined using a “with and without” methodology described in Section 2.04(a). Carryovers or carrybacks of any tax item attributable to any Basis Adjustment, Section 704(c) Benefits, Section 707(c) Deductions or Imputed Interest shall be considered to be subject to the rules of the Code and the Treasury Regulations, and the appropriate provisions of state, local and foreign tax law, governing the use, limitation or expiration of carryovers or carrybacks of the relevant type. If a carryover or carryback of any tax item includes a portion that is attributable to a Basis Adjustment, Section 704(c) Benefits, Section 707(c) Deductions or Imputed Interest (a “</w:t>
      </w:r>
      <w:r>
        <w:rPr>
          <w:rFonts w:ascii="Arial" w:cs="Arial" w:eastAsia="Arial" w:hAnsi="Arial"/>
          <w:sz w:val="16"/>
          <w:szCs w:val="16"/>
          <w:u w:val="single" w:color="auto"/>
          <w:color w:val="auto"/>
        </w:rPr>
        <w:t>TRA Portion</w:t>
      </w:r>
      <w:r>
        <w:rPr>
          <w:rFonts w:ascii="Arial" w:cs="Arial" w:eastAsia="Arial" w:hAnsi="Arial"/>
          <w:sz w:val="16"/>
          <w:szCs w:val="16"/>
          <w:color w:val="auto"/>
        </w:rPr>
        <w:t>”) and another portion that is not attributable to a Basis Adjustment, Section 704(c) Benefits, Section 707(c) Deductions or Imputed Interest (a “</w:t>
      </w:r>
      <w:r>
        <w:rPr>
          <w:rFonts w:ascii="Arial" w:cs="Arial" w:eastAsia="Arial" w:hAnsi="Arial"/>
          <w:sz w:val="16"/>
          <w:szCs w:val="16"/>
          <w:u w:val="single" w:color="auto"/>
          <w:color w:val="auto"/>
        </w:rPr>
        <w:t>Non-TRA Portion</w:t>
      </w:r>
      <w:r>
        <w:rPr>
          <w:rFonts w:ascii="Arial" w:cs="Arial" w:eastAsia="Arial" w:hAnsi="Arial"/>
          <w:sz w:val="16"/>
          <w:szCs w:val="16"/>
          <w:color w:val="auto"/>
        </w:rPr>
        <w:t>”),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Section 3.03(a)) and (ii) in the case of a carryback of a Non-TRA Portion, such carryback shall not affect the original “with and without” calculation made in the prior Taxable Year. Except with respect to the portion of any payment attributable to Imputed Interest or Section 707(c) Deductions, all Tax Benefit Payments and payments of Default Rate Interest (and including Extension Rate Interest) will be treated as subsequent upward purchase price adjustments that give rise to further Basis Adjustments for the Corporation beginning in the Taxable Year of payment, and as a result, such additional Basis Adjustments will be incorporated into such Taxable Year and into future Taxable Years, as appropriate. Payments in respect of Section 704(c) Benefits shall be treated as additional capital contributions made to BellRing LLC by the Corporation and then paid to the relevant Members as a guaranteed payment for capital, within the meaning of Section 707(c) of the Code, and the resulting Section 707(c) deduction to BellRing LLC shall be specially allocated to the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444" w:name="page445"/>
    <w:bookmarkEnd w:id="444"/>
    <w:p>
      <w:pPr>
        <w:ind w:left="45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7" w:lineRule="exact"/>
        <w:rPr>
          <w:sz w:val="20"/>
          <w:szCs w:val="20"/>
          <w:color w:val="auto"/>
        </w:rPr>
      </w:pPr>
    </w:p>
    <w:p>
      <w:pPr>
        <w:ind w:left="10" w:right="120" w:firstLine="981"/>
        <w:spacing w:after="0" w:line="290" w:lineRule="auto"/>
        <w:tabs>
          <w:tab w:leader="none" w:pos="1245"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Whenever the Corporation delivers to the Members an applicable Schedule under this Agreement, including any Amended Schedule delivered pursuant to Section 2.04(b), Early Termination Schedule or amended Early Termination Schedule, the Corporation shall also</w:t>
      </w:r>
    </w:p>
    <w:p>
      <w:pPr>
        <w:spacing w:after="0" w:line="1" w:lineRule="exact"/>
        <w:rPr>
          <w:rFonts w:ascii="Arial" w:cs="Arial" w:eastAsia="Arial" w:hAnsi="Arial"/>
          <w:sz w:val="16"/>
          <w:szCs w:val="16"/>
          <w:color w:val="auto"/>
        </w:rPr>
      </w:pPr>
    </w:p>
    <w:p>
      <w:pPr>
        <w:ind w:left="10" w:right="20" w:hanging="10"/>
        <w:spacing w:after="0" w:line="287" w:lineRule="auto"/>
        <w:tabs>
          <w:tab w:leader="none" w:pos="264" w:val="left"/>
        </w:tabs>
        <w:numPr>
          <w:ilvl w:val="0"/>
          <w:numId w:val="361"/>
        </w:numPr>
        <w:rPr>
          <w:rFonts w:ascii="Arial" w:cs="Arial" w:eastAsia="Arial" w:hAnsi="Arial"/>
          <w:sz w:val="16"/>
          <w:szCs w:val="16"/>
          <w:color w:val="auto"/>
        </w:rPr>
      </w:pPr>
      <w:r>
        <w:rPr>
          <w:rFonts w:ascii="Arial" w:cs="Arial" w:eastAsia="Arial" w:hAnsi="Arial"/>
          <w:sz w:val="16"/>
          <w:szCs w:val="16"/>
          <w:color w:val="auto"/>
        </w:rPr>
        <w:t>deliver to the Members, at their request (and upon reasonable notice), any schedules, valuation reports and work papers providing reasonable detail regarding the preparation of the Schedule or an Advisory Firm Report with respect to such Schedule and (y) allow the Members and their respective advisors reasonable access at no cost to the appropriate representatives of each of the Corporation and/or the Advisory Firm in connection with a review of such Schedule. Without limiting the generality of the preceding sentence, the Corporation shall ensure that any Tax Benefit Schedule that is delivered to the Members, along with any supporting schedules and work papers, provides a reasonably detailed presentation of the calculation of the Actual Tax Liability of the Corporation for the relevant Taxable Year and the Hypothetical Tax Liability of the Corporation for such Taxable Year, and identifies any material assumptions or operating procedures or principles that were used for purposes of such calculations. The applicable Schedule shall become final and binding on all Parties on the thirtieth (30th) calendar day after the Members receive such Schedule, unless:</w:t>
      </w:r>
    </w:p>
    <w:p>
      <w:pPr>
        <w:spacing w:after="0" w:line="60" w:lineRule="exact"/>
        <w:rPr>
          <w:rFonts w:ascii="Arial" w:cs="Arial" w:eastAsia="Arial" w:hAnsi="Arial"/>
          <w:sz w:val="16"/>
          <w:szCs w:val="16"/>
          <w:color w:val="auto"/>
        </w:rPr>
      </w:pPr>
    </w:p>
    <w:p>
      <w:pPr>
        <w:ind w:left="10" w:right="420" w:firstLine="1421"/>
        <w:spacing w:after="0" w:line="277" w:lineRule="auto"/>
        <w:tabs>
          <w:tab w:leader="none" w:pos="1655" w:val="left"/>
        </w:tabs>
        <w:numPr>
          <w:ilvl w:val="2"/>
          <w:numId w:val="361"/>
        </w:numPr>
        <w:rPr>
          <w:rFonts w:ascii="Arial" w:cs="Arial" w:eastAsia="Arial" w:hAnsi="Arial"/>
          <w:sz w:val="18"/>
          <w:szCs w:val="18"/>
          <w:color w:val="auto"/>
        </w:rPr>
      </w:pPr>
      <w:r>
        <w:rPr>
          <w:rFonts w:ascii="Arial" w:cs="Arial" w:eastAsia="Arial" w:hAnsi="Arial"/>
          <w:sz w:val="18"/>
          <w:szCs w:val="18"/>
          <w:color w:val="auto"/>
        </w:rPr>
        <w:t>a Member provides the Corporation with notice prior to such thirtieth (30th) calendar day after receipt of such Schedule of a material objection, made in good faith, to such Schedule (“</w:t>
      </w:r>
      <w:r>
        <w:rPr>
          <w:rFonts w:ascii="Arial" w:cs="Arial" w:eastAsia="Arial" w:hAnsi="Arial"/>
          <w:sz w:val="18"/>
          <w:szCs w:val="18"/>
          <w:u w:val="single" w:color="auto"/>
          <w:color w:val="auto"/>
        </w:rPr>
        <w:t>Objection Notice</w:t>
      </w:r>
      <w:r>
        <w:rPr>
          <w:rFonts w:ascii="Arial" w:cs="Arial" w:eastAsia="Arial" w:hAnsi="Arial"/>
          <w:sz w:val="18"/>
          <w:szCs w:val="18"/>
          <w:color w:val="auto"/>
        </w:rPr>
        <w:t>”); or</w:t>
      </w:r>
    </w:p>
    <w:p>
      <w:pPr>
        <w:spacing w:after="0" w:line="61" w:lineRule="exact"/>
        <w:rPr>
          <w:rFonts w:ascii="Arial" w:cs="Arial" w:eastAsia="Arial" w:hAnsi="Arial"/>
          <w:sz w:val="18"/>
          <w:szCs w:val="18"/>
          <w:color w:val="auto"/>
        </w:rPr>
      </w:pPr>
    </w:p>
    <w:p>
      <w:pPr>
        <w:ind w:left="1690" w:hanging="259"/>
        <w:spacing w:after="0"/>
        <w:tabs>
          <w:tab w:leader="none" w:pos="1690" w:val="left"/>
        </w:tabs>
        <w:numPr>
          <w:ilvl w:val="2"/>
          <w:numId w:val="361"/>
        </w:numPr>
        <w:rPr>
          <w:rFonts w:ascii="Arial" w:cs="Arial" w:eastAsia="Arial" w:hAnsi="Arial"/>
          <w:sz w:val="17"/>
          <w:szCs w:val="17"/>
          <w:color w:val="auto"/>
        </w:rPr>
      </w:pPr>
      <w:r>
        <w:rPr>
          <w:rFonts w:ascii="Arial" w:cs="Arial" w:eastAsia="Arial" w:hAnsi="Arial"/>
          <w:sz w:val="17"/>
          <w:szCs w:val="17"/>
          <w:color w:val="auto"/>
        </w:rPr>
        <w:t>each Member provides a written waiver of its right to deliver an Objection Notice within the time period described in clause</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above, in which case such Schedule or amendment thereto becomes binding on the date the waiver from all Members is received by the Corporation.</w:t>
      </w:r>
    </w:p>
    <w:p>
      <w:pPr>
        <w:spacing w:after="0" w:line="125" w:lineRule="exact"/>
        <w:rPr>
          <w:sz w:val="20"/>
          <w:szCs w:val="20"/>
          <w:color w:val="auto"/>
        </w:rPr>
      </w:pPr>
    </w:p>
    <w:p>
      <w:pPr>
        <w:ind w:left="10" w:right="220"/>
        <w:spacing w:after="0" w:line="307" w:lineRule="auto"/>
        <w:rPr>
          <w:sz w:val="20"/>
          <w:szCs w:val="20"/>
          <w:color w:val="auto"/>
        </w:rPr>
      </w:pPr>
      <w:r>
        <w:rPr>
          <w:rFonts w:ascii="Arial" w:cs="Arial" w:eastAsia="Arial" w:hAnsi="Arial"/>
          <w:sz w:val="17"/>
          <w:szCs w:val="17"/>
          <w:color w:val="auto"/>
        </w:rPr>
        <w:t>If the Parties, for any reason, are unable to successfully resolve the issues raised in any Objection Notice within thirty (30) calendar days of receipt by the Corporation of such Objection Notice, the Corporation and the Members shall employ the Reconciliation Procedures.</w:t>
      </w:r>
    </w:p>
    <w:p>
      <w:pPr>
        <w:spacing w:after="0" w:line="39" w:lineRule="exact"/>
        <w:rPr>
          <w:sz w:val="20"/>
          <w:szCs w:val="20"/>
          <w:color w:val="auto"/>
        </w:rPr>
      </w:pPr>
    </w:p>
    <w:p>
      <w:pPr>
        <w:ind w:left="10" w:firstLine="981"/>
        <w:spacing w:after="0" w:line="269" w:lineRule="auto"/>
        <w:tabs>
          <w:tab w:leader="none" w:pos="1255"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Amended Schedule</w:t>
      </w:r>
      <w:r>
        <w:rPr>
          <w:rFonts w:ascii="Arial" w:cs="Arial" w:eastAsia="Arial" w:hAnsi="Arial"/>
          <w:sz w:val="17"/>
          <w:szCs w:val="17"/>
          <w:color w:val="auto"/>
        </w:rPr>
        <w:t>. The applicable Schedule for any Taxable Year may be amended from time to time by the Corporation (i) in connection with a Determination affecting such Schedule, (ii) to correct material inaccuracies in the Schedule identified as a result of the receipt of additional factual information relating to a Taxable Year after the date the Schedule was provided to the Members, (iii) to comply with the Expert’s determination under the Reconciliation Procedures, (iv) to reflect a material change (relative to the amounts in the original Schedule) in the Realized Tax Benefit or Realized Tax Detriment for such Taxable Year attributable to an amended Tax Return filed for such Taxable Year, (v) to reflect a change in the Realized Tax Benefit or Realized Tax Detriment for such Taxable Year attributable to a carryback or carryforward of a loss or other Tax item to such Taxable Year; or (vi) to adjust a Basis Schedule to take into account any Tax Benefit Payments made pursuant to this Agreement (such amended Schedule, an “</w:t>
      </w:r>
      <w:r>
        <w:rPr>
          <w:rFonts w:ascii="Arial" w:cs="Arial" w:eastAsia="Arial" w:hAnsi="Arial"/>
          <w:sz w:val="17"/>
          <w:szCs w:val="17"/>
          <w:u w:val="single" w:color="auto"/>
          <w:color w:val="auto"/>
        </w:rPr>
        <w:t>Amended Schedule</w:t>
      </w:r>
      <w:r>
        <w:rPr>
          <w:rFonts w:ascii="Arial" w:cs="Arial" w:eastAsia="Arial" w:hAnsi="Arial"/>
          <w:sz w:val="17"/>
          <w:szCs w:val="17"/>
          <w:color w:val="auto"/>
        </w:rPr>
        <w:t>”). The Corporation shall provide any Amended Schedule to the Members within thirty (30) calendar days of the occurrence of an event referred to in clauses (i) through (vi) of the preceding sentence, and any such Amended Schedule shall be subject to the procedures set forth in Section 2.04(a).</w:t>
      </w:r>
    </w:p>
    <w:p>
      <w:pPr>
        <w:spacing w:after="0" w:line="75" w:lineRule="exact"/>
        <w:rPr>
          <w:rFonts w:ascii="Arial" w:cs="Arial" w:eastAsia="Arial" w:hAnsi="Arial"/>
          <w:sz w:val="17"/>
          <w:szCs w:val="17"/>
          <w:color w:val="auto"/>
        </w:rPr>
      </w:pPr>
    </w:p>
    <w:p>
      <w:pPr>
        <w:ind w:left="10" w:right="100" w:firstLine="981"/>
        <w:spacing w:after="0" w:line="277" w:lineRule="auto"/>
        <w:tabs>
          <w:tab w:leader="none" w:pos="1245"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LLC Agreement</w:t>
      </w:r>
      <w:r>
        <w:rPr>
          <w:rFonts w:ascii="Arial" w:cs="Arial" w:eastAsia="Arial" w:hAnsi="Arial"/>
          <w:sz w:val="18"/>
          <w:szCs w:val="18"/>
          <w:color w:val="auto"/>
        </w:rPr>
        <w:t>. This Agreement shall be treated as part of the partnership agreement of BellRing LLC as described in Section 761(c) of the Code and Sections 1.704-1(b)(2)(ii)(h) and 1.761-1(c) of the Treasury Regulations.</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4" w:right="439" w:bottom="1440" w:gutter="0" w:footer="0" w:header="0"/>
        </w:sectPr>
      </w:pPr>
    </w:p>
    <w:bookmarkStart w:id="445" w:name="page446"/>
    <w:bookmarkEnd w:id="445"/>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TAX BENEFIT PAYMENTS</w:t>
      </w:r>
    </w:p>
    <w:p>
      <w:pPr>
        <w:spacing w:after="0" w:line="21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left="10" w:firstLine="981"/>
        <w:spacing w:after="0" w:line="254" w:lineRule="auto"/>
        <w:tabs>
          <w:tab w:leader="none" w:pos="1245" w:val="left"/>
        </w:tabs>
        <w:numPr>
          <w:ilvl w:val="1"/>
          <w:numId w:val="363"/>
        </w:numPr>
        <w:rPr>
          <w:rFonts w:ascii="Arial" w:cs="Arial" w:eastAsia="Arial" w:hAnsi="Arial"/>
          <w:sz w:val="18"/>
          <w:szCs w:val="18"/>
          <w:color w:val="auto"/>
        </w:rPr>
      </w:pPr>
      <w:r>
        <w:rPr>
          <w:rFonts w:ascii="Arial" w:cs="Arial" w:eastAsia="Arial" w:hAnsi="Arial"/>
          <w:sz w:val="18"/>
          <w:szCs w:val="18"/>
          <w:color w:val="auto"/>
        </w:rPr>
        <w:t>Except as provided in Section 3.02 and Section 3.03, within ten (10) Business Days of a Tax Benefit Schedule with respect to a Taxable Year becoming final in accordance with Section 2.04(a) (such date, the “</w:t>
      </w:r>
      <w:r>
        <w:rPr>
          <w:rFonts w:ascii="Arial" w:cs="Arial" w:eastAsia="Arial" w:hAnsi="Arial"/>
          <w:sz w:val="18"/>
          <w:szCs w:val="18"/>
          <w:u w:val="single" w:color="auto"/>
          <w:color w:val="auto"/>
        </w:rPr>
        <w:t>Final Payment Date</w:t>
      </w:r>
      <w:r>
        <w:rPr>
          <w:rFonts w:ascii="Arial" w:cs="Arial" w:eastAsia="Arial" w:hAnsi="Arial"/>
          <w:sz w:val="18"/>
          <w:szCs w:val="18"/>
          <w:color w:val="auto"/>
        </w:rPr>
        <w:t>” in respect of any Tax Benefit Payment), the Corporation shall pay to each relevant Member the Tax Benefit Payment for such Taxable Year determined pursuant to Section 3.01(b). Each such Tax Benefit Payment shall be made by wire transfer of immediately available funds to a bank account previously designated by the applicable Member to the Corporation or as otherwise agreed by the Corporation and the applicable Member. For the avoidance of doubt, no Tax Benefit Payment shall be made in respect of estimated tax payments, including, without limitation, estimated U.S. federal income tax payments. The Members shall not be required under any circumstances to return any portion of any Tax Benefit Payment, Early Termination Payment or Default Rate Interest previously paid by the Corporation to the Members.</w:t>
      </w:r>
    </w:p>
    <w:p>
      <w:pPr>
        <w:spacing w:after="0" w:line="82" w:lineRule="exact"/>
        <w:rPr>
          <w:rFonts w:ascii="Arial" w:cs="Arial" w:eastAsia="Arial" w:hAnsi="Arial"/>
          <w:sz w:val="18"/>
          <w:szCs w:val="18"/>
          <w:color w:val="auto"/>
        </w:rPr>
      </w:pPr>
    </w:p>
    <w:p>
      <w:pPr>
        <w:ind w:left="10" w:right="540" w:firstLine="981"/>
        <w:spacing w:after="0" w:line="277" w:lineRule="auto"/>
        <w:tabs>
          <w:tab w:leader="none" w:pos="1255" w:val="left"/>
        </w:tabs>
        <w:numPr>
          <w:ilvl w:val="1"/>
          <w:numId w:val="363"/>
        </w:numPr>
        <w:rPr>
          <w:rFonts w:ascii="Arial" w:cs="Arial" w:eastAsia="Arial" w:hAnsi="Arial"/>
          <w:sz w:val="18"/>
          <w:szCs w:val="18"/>
          <w:color w:val="auto"/>
        </w:rPr>
      </w:pPr>
      <w:r>
        <w:rPr>
          <w:rFonts w:ascii="Arial" w:cs="Arial" w:eastAsia="Arial" w:hAnsi="Arial"/>
          <w:sz w:val="18"/>
          <w:szCs w:val="18"/>
          <w:u w:val="single" w:color="auto"/>
          <w:color w:val="auto"/>
        </w:rPr>
        <w:t>Amount of Payments</w:t>
      </w:r>
      <w:r>
        <w:rPr>
          <w:rFonts w:ascii="Arial" w:cs="Arial" w:eastAsia="Arial" w:hAnsi="Arial"/>
          <w:sz w:val="18"/>
          <w:szCs w:val="18"/>
          <w:color w:val="auto"/>
        </w:rPr>
        <w:t>. A “</w:t>
      </w:r>
      <w:r>
        <w:rPr>
          <w:rFonts w:ascii="Arial" w:cs="Arial" w:eastAsia="Arial" w:hAnsi="Arial"/>
          <w:sz w:val="18"/>
          <w:szCs w:val="18"/>
          <w:u w:val="single" w:color="auto"/>
          <w:color w:val="auto"/>
        </w:rPr>
        <w:t>Tax Benefit Payment</w:t>
      </w:r>
      <w:r>
        <w:rPr>
          <w:rFonts w:ascii="Arial" w:cs="Arial" w:eastAsia="Arial" w:hAnsi="Arial"/>
          <w:sz w:val="18"/>
          <w:szCs w:val="18"/>
          <w:color w:val="auto"/>
        </w:rPr>
        <w:t>” with respect to any Member shall be an amount equal to the sum of the Net Tax Benefit that is Attributable to such Member and the Extension Rate Interest.</w:t>
      </w:r>
    </w:p>
    <w:p>
      <w:pPr>
        <w:spacing w:after="0" w:line="61" w:lineRule="exact"/>
        <w:rPr>
          <w:rFonts w:ascii="Arial" w:cs="Arial" w:eastAsia="Arial" w:hAnsi="Arial"/>
          <w:sz w:val="18"/>
          <w:szCs w:val="18"/>
          <w:color w:val="auto"/>
        </w:rPr>
      </w:pPr>
    </w:p>
    <w:p>
      <w:pPr>
        <w:ind w:left="10" w:right="240" w:firstLine="1421"/>
        <w:spacing w:after="0" w:line="279" w:lineRule="auto"/>
        <w:tabs>
          <w:tab w:leader="none" w:pos="1655" w:val="left"/>
        </w:tabs>
        <w:numPr>
          <w:ilvl w:val="2"/>
          <w:numId w:val="363"/>
        </w:numPr>
        <w:rPr>
          <w:rFonts w:ascii="Arial" w:cs="Arial" w:eastAsia="Arial" w:hAnsi="Arial"/>
          <w:sz w:val="17"/>
          <w:szCs w:val="17"/>
          <w:color w:val="auto"/>
        </w:rPr>
      </w:pPr>
      <w:r>
        <w:rPr>
          <w:rFonts w:ascii="Arial" w:cs="Arial" w:eastAsia="Arial" w:hAnsi="Arial"/>
          <w:sz w:val="17"/>
          <w:szCs w:val="17"/>
          <w:u w:val="single" w:color="auto"/>
          <w:color w:val="auto"/>
        </w:rPr>
        <w:t>Attributable</w:t>
      </w:r>
      <w:r>
        <w:rPr>
          <w:rFonts w:ascii="Arial" w:cs="Arial" w:eastAsia="Arial" w:hAnsi="Arial"/>
          <w:sz w:val="17"/>
          <w:szCs w:val="17"/>
          <w:color w:val="auto"/>
        </w:rPr>
        <w:t>. A Net Tax Benefit is “</w:t>
      </w:r>
      <w:r>
        <w:rPr>
          <w:rFonts w:ascii="Arial" w:cs="Arial" w:eastAsia="Arial" w:hAnsi="Arial"/>
          <w:sz w:val="17"/>
          <w:szCs w:val="17"/>
          <w:u w:val="single" w:color="auto"/>
          <w:color w:val="auto"/>
        </w:rPr>
        <w:t>Attributable</w:t>
      </w:r>
      <w:r>
        <w:rPr>
          <w:rFonts w:ascii="Arial" w:cs="Arial" w:eastAsia="Arial" w:hAnsi="Arial"/>
          <w:sz w:val="17"/>
          <w:szCs w:val="17"/>
          <w:color w:val="auto"/>
        </w:rPr>
        <w:t>” to a Member to the extent that it is derived from (A) any Basis Adjustment or Imputed Interest that is attributable to a Basis Transaction undertaken by or with respect to such Member, (B) any Section 704(c) Benefit to the Corporation to the extent such Section 704(c) Benefit increased the taxable income (or decreased the taxable loss or tax deductions) allocated to such Member, or (C) Section 707(c) Deductions resulting from payments made to such Member.</w:t>
      </w:r>
    </w:p>
    <w:p>
      <w:pPr>
        <w:spacing w:after="0" w:line="62" w:lineRule="exact"/>
        <w:rPr>
          <w:rFonts w:ascii="Arial" w:cs="Arial" w:eastAsia="Arial" w:hAnsi="Arial"/>
          <w:sz w:val="17"/>
          <w:szCs w:val="17"/>
          <w:color w:val="auto"/>
        </w:rPr>
      </w:pPr>
    </w:p>
    <w:p>
      <w:pPr>
        <w:ind w:left="1690" w:hanging="259"/>
        <w:spacing w:after="0"/>
        <w:tabs>
          <w:tab w:leader="none" w:pos="1690" w:val="left"/>
        </w:tabs>
        <w:numPr>
          <w:ilvl w:val="2"/>
          <w:numId w:val="363"/>
        </w:numPr>
        <w:rPr>
          <w:rFonts w:ascii="Arial" w:cs="Arial" w:eastAsia="Arial" w:hAnsi="Arial"/>
          <w:sz w:val="16"/>
          <w:szCs w:val="16"/>
          <w:color w:val="auto"/>
        </w:rPr>
      </w:pPr>
      <w:r>
        <w:rPr>
          <w:rFonts w:ascii="Arial" w:cs="Arial" w:eastAsia="Arial" w:hAnsi="Arial"/>
          <w:sz w:val="16"/>
          <w:szCs w:val="16"/>
          <w:u w:val="single" w:color="auto"/>
          <w:color w:val="auto"/>
        </w:rPr>
        <w:t>Net Tax Benefit</w:t>
      </w:r>
      <w:r>
        <w:rPr>
          <w:rFonts w:ascii="Arial" w:cs="Arial" w:eastAsia="Arial" w:hAnsi="Arial"/>
          <w:sz w:val="16"/>
          <w:szCs w:val="16"/>
          <w:color w:val="auto"/>
        </w:rPr>
        <w:t>.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with respect to a Member for a Taxable Year equals the amount of the excess, if any, of</w:t>
      </w:r>
    </w:p>
    <w:p>
      <w:pPr>
        <w:spacing w:after="0" w:line="46" w:lineRule="exact"/>
        <w:rPr>
          <w:rFonts w:ascii="Arial" w:cs="Arial" w:eastAsia="Arial" w:hAnsi="Arial"/>
          <w:sz w:val="16"/>
          <w:szCs w:val="16"/>
          <w:color w:val="auto"/>
        </w:rPr>
      </w:pPr>
    </w:p>
    <w:p>
      <w:pPr>
        <w:ind w:left="10" w:right="60" w:hanging="10"/>
        <w:spacing w:after="0" w:line="252" w:lineRule="auto"/>
        <w:tabs>
          <w:tab w:leader="none" w:pos="30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85% of the Cumulative Net Realized Tax Benefit Attributable to such Member as of the end of such Taxable Year over (B) the aggregate amount of all Tax Benefit Payments previously made to such Member under this Section 3.01 (excluding payments attributable to Extension Rate Interest). For the avoidance of doubt, if the Cumulative Net Realized Tax Benefit that is Attributable to a Member as of the end of any Taxable Year is less than the aggregate amount of all Tax Benefit Payments previously made to such Member, such Member shall not be required to return any portion of any Tax Benefit Payment previously made by the Corporation to such Member.</w:t>
      </w:r>
    </w:p>
    <w:p>
      <w:pPr>
        <w:spacing w:after="0" w:line="86" w:lineRule="exact"/>
        <w:rPr>
          <w:rFonts w:ascii="Arial" w:cs="Arial" w:eastAsia="Arial" w:hAnsi="Arial"/>
          <w:sz w:val="18"/>
          <w:szCs w:val="18"/>
          <w:color w:val="auto"/>
        </w:rPr>
      </w:pPr>
    </w:p>
    <w:p>
      <w:pPr>
        <w:ind w:left="10" w:right="40" w:firstLine="1421"/>
        <w:spacing w:after="0" w:line="279" w:lineRule="auto"/>
        <w:tabs>
          <w:tab w:leader="none" w:pos="1755" w:val="left"/>
        </w:tabs>
        <w:numPr>
          <w:ilvl w:val="2"/>
          <w:numId w:val="364"/>
        </w:numPr>
        <w:rPr>
          <w:rFonts w:ascii="Arial" w:cs="Arial" w:eastAsia="Arial" w:hAnsi="Arial"/>
          <w:sz w:val="17"/>
          <w:szCs w:val="17"/>
          <w:color w:val="auto"/>
        </w:rPr>
      </w:pP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The “</w:t>
      </w: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0" w:right="439" w:bottom="1440" w:gutter="0" w:footer="0" w:header="0"/>
        </w:sectPr>
      </w:pPr>
    </w:p>
    <w:bookmarkStart w:id="446" w:name="page447"/>
    <w:bookmarkEnd w:id="446"/>
    <w:p>
      <w:pPr>
        <w:ind w:left="-20" w:right="60" w:firstLine="1421"/>
        <w:spacing w:after="0" w:line="259" w:lineRule="auto"/>
        <w:tabs>
          <w:tab w:leader="none" w:pos="1715"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Realized Tax Benefit</w:t>
      </w:r>
      <w:r>
        <w:rPr>
          <w:rFonts w:ascii="Arial" w:cs="Arial" w:eastAsia="Arial" w:hAnsi="Arial"/>
          <w:sz w:val="18"/>
          <w:szCs w:val="18"/>
          <w:color w:val="auto"/>
        </w:rPr>
        <w:t>. The “</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 Year, such liability shall not be included in determining the Realized Tax Benefit unless and until there has been a Determination.</w:t>
      </w:r>
    </w:p>
    <w:p>
      <w:pPr>
        <w:spacing w:after="0" w:line="77" w:lineRule="exact"/>
        <w:rPr>
          <w:rFonts w:ascii="Arial" w:cs="Arial" w:eastAsia="Arial" w:hAnsi="Arial"/>
          <w:sz w:val="18"/>
          <w:szCs w:val="18"/>
          <w:color w:val="auto"/>
        </w:rPr>
      </w:pPr>
    </w:p>
    <w:p>
      <w:pPr>
        <w:ind w:left="-20" w:right="160" w:firstLine="1421"/>
        <w:spacing w:after="0" w:line="259" w:lineRule="auto"/>
        <w:tabs>
          <w:tab w:leader="none" w:pos="1665"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Realized Tax Detriment</w:t>
      </w:r>
      <w:r>
        <w:rPr>
          <w:rFonts w:ascii="Arial" w:cs="Arial" w:eastAsia="Arial" w:hAnsi="Arial"/>
          <w:sz w:val="18"/>
          <w:szCs w:val="18"/>
          <w:color w:val="auto"/>
        </w:rPr>
        <w:t>. The “</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shall not be included in determining the Realized Tax Detriment unless and until there has been a Determination.</w:t>
      </w:r>
    </w:p>
    <w:p>
      <w:pPr>
        <w:spacing w:after="0" w:line="77" w:lineRule="exact"/>
        <w:rPr>
          <w:rFonts w:ascii="Arial" w:cs="Arial" w:eastAsia="Arial" w:hAnsi="Arial"/>
          <w:sz w:val="18"/>
          <w:szCs w:val="18"/>
          <w:color w:val="auto"/>
        </w:rPr>
      </w:pPr>
    </w:p>
    <w:p>
      <w:pPr>
        <w:ind w:left="-20" w:firstLine="1421"/>
        <w:spacing w:after="0" w:line="275" w:lineRule="auto"/>
        <w:tabs>
          <w:tab w:leader="none" w:pos="1715"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Imputed Interest</w:t>
      </w:r>
      <w:r>
        <w:rPr>
          <w:rFonts w:ascii="Arial" w:cs="Arial" w:eastAsia="Arial" w:hAnsi="Arial"/>
          <w:sz w:val="17"/>
          <w:szCs w:val="17"/>
          <w:color w:val="auto"/>
        </w:rPr>
        <w:t>. The principles of Sections 1272, 1274 or 483 of the Code, as applicable, and the principles of any similar provision of U.S. state, local or foreign law, will apply to cause a portion of any Net Tax Benefit payable by the Corporation to a Member under this Agreement to be treated as imputed interest (“</w:t>
      </w:r>
      <w:r>
        <w:rPr>
          <w:rFonts w:ascii="Arial" w:cs="Arial" w:eastAsia="Arial" w:hAnsi="Arial"/>
          <w:sz w:val="17"/>
          <w:szCs w:val="17"/>
          <w:u w:val="single" w:color="auto"/>
          <w:color w:val="auto"/>
        </w:rPr>
        <w:t>Imputed Interest</w:t>
      </w:r>
      <w:r>
        <w:rPr>
          <w:rFonts w:ascii="Arial" w:cs="Arial" w:eastAsia="Arial" w:hAnsi="Arial"/>
          <w:sz w:val="17"/>
          <w:szCs w:val="17"/>
          <w:color w:val="auto"/>
        </w:rPr>
        <w:t>”). For the avoidance of doubt, the deduction for the amount of Imputed Interest as determined with respect to any Net Tax Benefit payable by the Corporation to a Member shall be excluded in determining the Hypothetical Tax Liability of the Corporation for purposes of calculating Realized Tax Benefits and Realized Tax Detriments pursuant to this Agreement.</w:t>
      </w:r>
    </w:p>
    <w:p>
      <w:pPr>
        <w:spacing w:after="0" w:line="67" w:lineRule="exact"/>
        <w:rPr>
          <w:rFonts w:ascii="Arial" w:cs="Arial" w:eastAsia="Arial" w:hAnsi="Arial"/>
          <w:sz w:val="17"/>
          <w:szCs w:val="17"/>
          <w:color w:val="auto"/>
        </w:rPr>
      </w:pPr>
    </w:p>
    <w:p>
      <w:pPr>
        <w:ind w:left="-20" w:right="60" w:firstLine="1421"/>
        <w:spacing w:after="0" w:line="259" w:lineRule="auto"/>
        <w:tabs>
          <w:tab w:leader="none" w:pos="1765"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Extension Rate Interest</w:t>
      </w:r>
      <w:r>
        <w:rPr>
          <w:rFonts w:ascii="Arial" w:cs="Arial" w:eastAsia="Arial" w:hAnsi="Arial"/>
          <w:sz w:val="18"/>
          <w:szCs w:val="18"/>
          <w:color w:val="auto"/>
        </w:rPr>
        <w:t>. The “</w:t>
      </w:r>
      <w:r>
        <w:rPr>
          <w:rFonts w:ascii="Arial" w:cs="Arial" w:eastAsia="Arial" w:hAnsi="Arial"/>
          <w:sz w:val="18"/>
          <w:szCs w:val="18"/>
          <w:u w:val="single" w:color="auto"/>
          <w:color w:val="auto"/>
        </w:rPr>
        <w:t>Extension Rate Interest</w:t>
      </w:r>
      <w:r>
        <w:rPr>
          <w:rFonts w:ascii="Arial" w:cs="Arial" w:eastAsia="Arial" w:hAnsi="Arial"/>
          <w:sz w:val="18"/>
          <w:szCs w:val="18"/>
          <w:color w:val="auto"/>
        </w:rPr>
        <w:t>” calculated in respect of the Net Tax Benefit (including previously accrued Imputed Interest for a Taxable Year) will equal interest calculated at the Agreed Rate from the due date (without extensions) for filing the U.S. federal income Tax Return of the Corporation for such Taxable Year until the date on which the Corporation makes a timely Tax Benefit Payment to the Member on or before the Final Payment Date as determined pursuant to Section 3.01(a).</w:t>
      </w:r>
    </w:p>
    <w:p>
      <w:pPr>
        <w:spacing w:after="0" w:line="77" w:lineRule="exact"/>
        <w:rPr>
          <w:rFonts w:ascii="Arial" w:cs="Arial" w:eastAsia="Arial" w:hAnsi="Arial"/>
          <w:sz w:val="18"/>
          <w:szCs w:val="18"/>
          <w:color w:val="auto"/>
        </w:rPr>
      </w:pPr>
    </w:p>
    <w:p>
      <w:pPr>
        <w:ind w:left="-20" w:right="60" w:firstLine="1421"/>
        <w:spacing w:after="0" w:line="291" w:lineRule="auto"/>
        <w:tabs>
          <w:tab w:leader="none" w:pos="1815"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Default Rate Interest</w:t>
      </w:r>
      <w:r>
        <w:rPr>
          <w:rFonts w:ascii="Arial" w:cs="Arial" w:eastAsia="Arial" w:hAnsi="Arial"/>
          <w:sz w:val="16"/>
          <w:szCs w:val="16"/>
          <w:color w:val="auto"/>
        </w:rPr>
        <w:t>. In the event that the Corporation does not make timely payment of all or any portion of a Tax Benefit Payment to a Member on or before the Final Payment Date as determined pursuant to Section 3.01(a), the amount of “</w:t>
      </w:r>
      <w:r>
        <w:rPr>
          <w:rFonts w:ascii="Arial" w:cs="Arial" w:eastAsia="Arial" w:hAnsi="Arial"/>
          <w:sz w:val="16"/>
          <w:szCs w:val="16"/>
          <w:u w:val="single" w:color="auto"/>
          <w:color w:val="auto"/>
        </w:rPr>
        <w:t>Default Rate Interest</w:t>
      </w:r>
      <w:r>
        <w:rPr>
          <w:rFonts w:ascii="Arial" w:cs="Arial" w:eastAsia="Arial" w:hAnsi="Arial"/>
          <w:sz w:val="16"/>
          <w:szCs w:val="16"/>
          <w:color w:val="auto"/>
        </w:rPr>
        <w:t>” calculated in respect of the Net Tax Benefit (including previously accrued Imputed Interest and the Extension Rate Interest) for a Taxable Year will equal interest calculated at the Default Rate from the Final Payment Date for a Tax Benefit Payment as determined pursuant to Section 3.01(a) until the date on which the Corporation makes such Tax Benefit Payment to such Member. For the avoidance of doubt, the amount of any Default Rate Interest as determined with respect to any Net Tax Benefit payable by the Corporation to a Member shall be included in determining the Hypothetical Tax Liability of the Corporation for purposes of calculating Realized Tax Benefits and Realized Tax Detriments pursuant to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80" w:top="273" w:right="459" w:bottom="1440" w:gutter="0" w:footer="0" w:header="0"/>
        </w:sectPr>
      </w:pPr>
    </w:p>
    <w:bookmarkStart w:id="447" w:name="page448"/>
    <w:bookmarkEnd w:id="44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7"/>
          <w:szCs w:val="17"/>
          <w:u w:val="single" w:color="auto"/>
          <w:color w:val="auto"/>
        </w:rPr>
        <w:t>Interest</w:t>
      </w:r>
      <w:r>
        <w:rPr>
          <w:rFonts w:ascii="Arial" w:cs="Arial" w:eastAsia="Arial" w:hAnsi="Arial"/>
          <w:sz w:val="17"/>
          <w:szCs w:val="17"/>
          <w:color w:val="auto"/>
        </w:rPr>
        <w:t>. The provisions of Section 3.01(b) are intended to operate so that interest will effectively accrue for any Taxable Year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9" w:lineRule="exact"/>
        <w:rPr>
          <w:sz w:val="20"/>
          <w:szCs w:val="20"/>
          <w:color w:val="auto"/>
        </w:rPr>
      </w:pPr>
    </w:p>
    <w:p>
      <w:pPr>
        <w:ind w:right="40" w:firstLine="1421"/>
        <w:spacing w:after="0" w:line="289" w:lineRule="auto"/>
        <w:tabs>
          <w:tab w:leader="none" w:pos="1646" w:val="left"/>
        </w:tabs>
        <w:numPr>
          <w:ilvl w:val="1"/>
          <w:numId w:val="366"/>
        </w:numPr>
        <w:rPr>
          <w:rFonts w:ascii="Arial" w:cs="Arial" w:eastAsia="Arial" w:hAnsi="Arial"/>
          <w:sz w:val="17"/>
          <w:szCs w:val="17"/>
          <w:color w:val="auto"/>
        </w:rPr>
      </w:pPr>
      <w:r>
        <w:rPr>
          <w:rFonts w:ascii="Arial" w:cs="Arial" w:eastAsia="Arial" w:hAnsi="Arial"/>
          <w:sz w:val="17"/>
          <w:szCs w:val="17"/>
          <w:color w:val="auto"/>
        </w:rPr>
        <w:t>first, at the applicable rate used to determine the amount of Imputed Interest under the Code (from the relevant Basis Transaction Date until the due date (without extensions) for filing the U.S. federal income Tax Return of the Corporation for such Taxable Year);</w:t>
      </w:r>
    </w:p>
    <w:p>
      <w:pPr>
        <w:spacing w:after="0" w:line="54" w:lineRule="exact"/>
        <w:rPr>
          <w:rFonts w:ascii="Arial" w:cs="Arial" w:eastAsia="Arial" w:hAnsi="Arial"/>
          <w:sz w:val="17"/>
          <w:szCs w:val="17"/>
          <w:color w:val="auto"/>
        </w:rPr>
      </w:pPr>
    </w:p>
    <w:p>
      <w:pPr>
        <w:ind w:right="120" w:firstLine="1421"/>
        <w:spacing w:after="0" w:line="263" w:lineRule="auto"/>
        <w:tabs>
          <w:tab w:leader="none" w:pos="1696" w:val="left"/>
        </w:tabs>
        <w:numPr>
          <w:ilvl w:val="1"/>
          <w:numId w:val="366"/>
        </w:numPr>
        <w:rPr>
          <w:rFonts w:ascii="Arial" w:cs="Arial" w:eastAsia="Arial" w:hAnsi="Arial"/>
          <w:sz w:val="18"/>
          <w:szCs w:val="18"/>
          <w:color w:val="auto"/>
        </w:rPr>
      </w:pPr>
      <w:r>
        <w:rPr>
          <w:rFonts w:ascii="Arial" w:cs="Arial" w:eastAsia="Arial" w:hAnsi="Arial"/>
          <w:sz w:val="18"/>
          <w:szCs w:val="18"/>
          <w:color w:val="auto"/>
        </w:rPr>
        <w:t>second, at the Agreed Rate in respect of any Extension Rate Interest (from the due date (without extensions) for filing the U.S. federal income Tax Return of the Corporation for such Taxable Year until the Final Payment Date for a Tax Benefit Payment as determined pursuant to Section 3.01(a)); and</w:t>
      </w:r>
    </w:p>
    <w:p>
      <w:pPr>
        <w:spacing w:after="0" w:line="74" w:lineRule="exact"/>
        <w:rPr>
          <w:rFonts w:ascii="Arial" w:cs="Arial" w:eastAsia="Arial" w:hAnsi="Arial"/>
          <w:sz w:val="18"/>
          <w:szCs w:val="18"/>
          <w:color w:val="auto"/>
        </w:rPr>
      </w:pPr>
    </w:p>
    <w:p>
      <w:pPr>
        <w:ind w:right="340" w:firstLine="1421"/>
        <w:spacing w:after="0" w:line="341" w:lineRule="auto"/>
        <w:tabs>
          <w:tab w:leader="none" w:pos="1746"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third, at the Default Rate in respect of any Default Rate Interest (from the Final Payment Date for a Tax Benefit Payment as determined pursuant to Section 3.01(a) until the date on which the Corporation makes the relevant Tax Benefit Payment to a Member).</w:t>
      </w:r>
    </w:p>
    <w:p>
      <w:pPr>
        <w:spacing w:after="0" w:line="16" w:lineRule="exact"/>
        <w:rPr>
          <w:rFonts w:ascii="Arial" w:cs="Arial" w:eastAsia="Arial" w:hAnsi="Arial"/>
          <w:sz w:val="16"/>
          <w:szCs w:val="16"/>
          <w:color w:val="auto"/>
        </w:rPr>
      </w:pPr>
    </w:p>
    <w:p>
      <w:pPr>
        <w:jc w:val="both"/>
        <w:ind w:firstLine="981"/>
        <w:spacing w:after="0" w:line="263" w:lineRule="auto"/>
        <w:tabs>
          <w:tab w:leader="none" w:pos="124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Parties acknowledge and agree that, as of the date of this Agreement and as of the date of any future Basis Transaction that may be subject to this Agreement, the aggregate value of the Tax Benefit Payments cannot be reasonably ascertained for U.S. federal income or other applicable tax purposes.</w:t>
      </w:r>
    </w:p>
    <w:p>
      <w:pPr>
        <w:spacing w:after="0" w:line="183"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It is intended that the provisions of this Agreement will not result in duplicative payment of any amount (including interest) required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Pro-Ration of Payments as Among the Members</w:t>
      </w:r>
      <w:r>
        <w:rPr>
          <w:rFonts w:ascii="Arial" w:cs="Arial" w:eastAsia="Arial" w:hAnsi="Arial"/>
          <w:sz w:val="18"/>
          <w:szCs w:val="18"/>
          <w:color w:val="auto"/>
        </w:rPr>
        <w:t>.</w:t>
      </w:r>
    </w:p>
    <w:p>
      <w:pPr>
        <w:spacing w:after="0" w:line="117" w:lineRule="exact"/>
        <w:rPr>
          <w:sz w:val="20"/>
          <w:szCs w:val="20"/>
          <w:color w:val="auto"/>
        </w:rPr>
      </w:pPr>
    </w:p>
    <w:p>
      <w:pPr>
        <w:ind w:right="40" w:firstLine="981"/>
        <w:spacing w:after="0" w:line="255" w:lineRule="auto"/>
        <w:tabs>
          <w:tab w:leader="none" w:pos="123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Insufficient Taxable Income</w:t>
      </w:r>
      <w:r>
        <w:rPr>
          <w:rFonts w:ascii="Arial" w:cs="Arial" w:eastAsia="Arial" w:hAnsi="Arial"/>
          <w:sz w:val="18"/>
          <w:szCs w:val="18"/>
          <w:color w:val="auto"/>
        </w:rPr>
        <w:t>. Notwithstanding anything in Section 3.01(b) to the contrary, if the aggregate potential Covered Tax benefit of the Corporation as calculated with respect to the Basis Adjustments, Section 704(c) Benefits, Section 707(c) Deductions and Imputed Interest (in each case, without regard to the Taxable Year of origination) is limited in a particular Taxable Year because the Corporation does not have sufficient actual taxable income to utilize available deductions fully, then the Covered Tax benefit for the Corporation actually utilized in such Taxable Year shall be allocated among the Members in proportion to the respective Tax Benefit Payment that would have been payable if the Corporation had sufficient taxable income such that there was no limitation.</w:t>
      </w:r>
    </w:p>
    <w:p>
      <w:pPr>
        <w:spacing w:after="0" w:line="83" w:lineRule="exact"/>
        <w:rPr>
          <w:rFonts w:ascii="Arial" w:cs="Arial" w:eastAsia="Arial" w:hAnsi="Arial"/>
          <w:sz w:val="18"/>
          <w:szCs w:val="18"/>
          <w:color w:val="auto"/>
        </w:rPr>
      </w:pPr>
    </w:p>
    <w:p>
      <w:pPr>
        <w:ind w:right="20" w:firstLine="981"/>
        <w:spacing w:after="0" w:line="296" w:lineRule="auto"/>
        <w:tabs>
          <w:tab w:leader="none" w:pos="1245"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Late Payments</w:t>
      </w:r>
      <w:r>
        <w:rPr>
          <w:rFonts w:ascii="Arial" w:cs="Arial" w:eastAsia="Arial" w:hAnsi="Arial"/>
          <w:sz w:val="16"/>
          <w:szCs w:val="16"/>
          <w:color w:val="auto"/>
        </w:rPr>
        <w:t>. If for any reason the Corporation is not able to timely and fully satisfy its payment obligations under this Agreement in respect of a particular Taxable Year, then Default Rate Interest will begin to accrue pursuant to Section 5.01 and the Corporation and other Parties agree that (i) the Corporation shall pay the Tax Benefit Payments (and any applicable Default Rate Interest) due in respect of such Taxable Year to each Member pro rata in accordance with the principles of Section 3.03(a) and (ii) no Tax Benefit Payment shall be made in respect of any Taxable Year until all Tax Benefit Payments (and any applicable Default Rate Interest) to all Members in respect of all prior Taxable Years have been made in full.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448" w:name="page449"/>
    <w:bookmarkEnd w:id="448"/>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TERMINATION</w:t>
      </w:r>
    </w:p>
    <w:p>
      <w:pPr>
        <w:spacing w:after="0" w:line="21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Termination, Breach of Agreement, Change of Control</w:t>
      </w:r>
      <w:r>
        <w:rPr>
          <w:rFonts w:ascii="Arial" w:cs="Arial" w:eastAsia="Arial" w:hAnsi="Arial"/>
          <w:sz w:val="18"/>
          <w:szCs w:val="18"/>
          <w:color w:val="auto"/>
        </w:rPr>
        <w:t>.</w:t>
      </w:r>
    </w:p>
    <w:p>
      <w:pPr>
        <w:spacing w:after="0" w:line="117" w:lineRule="exact"/>
        <w:rPr>
          <w:sz w:val="20"/>
          <w:szCs w:val="20"/>
          <w:color w:val="auto"/>
        </w:rPr>
      </w:pPr>
    </w:p>
    <w:p>
      <w:pPr>
        <w:ind w:left="10" w:right="320" w:firstLine="981"/>
        <w:spacing w:after="0" w:line="277" w:lineRule="auto"/>
        <w:tabs>
          <w:tab w:leader="none" w:pos="1245"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shall terminate at the time that there is no potential for any future Tax Benefit Payments to be made to the Members under this Agreement.</w:t>
      </w:r>
    </w:p>
    <w:p>
      <w:pPr>
        <w:spacing w:after="0" w:line="61" w:lineRule="exact"/>
        <w:rPr>
          <w:rFonts w:ascii="Arial" w:cs="Arial" w:eastAsia="Arial" w:hAnsi="Arial"/>
          <w:sz w:val="18"/>
          <w:szCs w:val="18"/>
          <w:color w:val="auto"/>
        </w:rPr>
      </w:pPr>
    </w:p>
    <w:p>
      <w:pPr>
        <w:ind w:left="10" w:right="100" w:firstLine="981"/>
        <w:spacing w:after="0" w:line="255" w:lineRule="auto"/>
        <w:tabs>
          <w:tab w:leader="none" w:pos="1255"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Early Complete Termination</w:t>
      </w:r>
      <w:r>
        <w:rPr>
          <w:rFonts w:ascii="Arial" w:cs="Arial" w:eastAsia="Arial" w:hAnsi="Arial"/>
          <w:sz w:val="18"/>
          <w:szCs w:val="18"/>
          <w:color w:val="auto"/>
        </w:rPr>
        <w:t>. With the written approval of a majority of the Independent Directors, the Corporation may elect to terminate this Agreement (an “</w:t>
      </w:r>
      <w:r>
        <w:rPr>
          <w:rFonts w:ascii="Arial" w:cs="Arial" w:eastAsia="Arial" w:hAnsi="Arial"/>
          <w:sz w:val="18"/>
          <w:szCs w:val="18"/>
          <w:u w:val="single" w:color="auto"/>
          <w:color w:val="auto"/>
        </w:rPr>
        <w:t>Early Complete Termination</w:t>
      </w:r>
      <w:r>
        <w:rPr>
          <w:rFonts w:ascii="Arial" w:cs="Arial" w:eastAsia="Arial" w:hAnsi="Arial"/>
          <w:sz w:val="18"/>
          <w:szCs w:val="18"/>
          <w:color w:val="auto"/>
        </w:rPr>
        <w:t>”) by (i) delivering to the Members notice of its intention to exercise such right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Notice</w:t>
      </w:r>
      <w:r>
        <w:rPr>
          <w:rFonts w:ascii="Arial" w:cs="Arial" w:eastAsia="Arial" w:hAnsi="Arial"/>
          <w:sz w:val="18"/>
          <w:szCs w:val="18"/>
          <w:color w:val="auto"/>
        </w:rPr>
        <w:t>”) and (ii) paying to the Members (1) the Early Termination Payment, (2) any Tax Benefit Payment and Default Rate Interest agreed to by the Corporation and the Members as due and payable but unpaid as of the Early Termination Notice and (3) any Tax Benefit Payment due for the Taxable Year ending prior to, with or including the date of the Early Termination Effective Date (except to the extent that any amounts described in clauses (2) or (3) are included in the Early Termination Payment).</w:t>
      </w:r>
    </w:p>
    <w:p>
      <w:pPr>
        <w:spacing w:after="0" w:line="83" w:lineRule="exact"/>
        <w:rPr>
          <w:rFonts w:ascii="Arial" w:cs="Arial" w:eastAsia="Arial" w:hAnsi="Arial"/>
          <w:sz w:val="18"/>
          <w:szCs w:val="18"/>
          <w:color w:val="auto"/>
        </w:rPr>
      </w:pPr>
    </w:p>
    <w:p>
      <w:pPr>
        <w:ind w:left="10" w:right="80" w:firstLine="981"/>
        <w:spacing w:after="0" w:line="283" w:lineRule="auto"/>
        <w:tabs>
          <w:tab w:leader="none" w:pos="1245"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Material Breach</w:t>
      </w:r>
      <w:r>
        <w:rPr>
          <w:rFonts w:ascii="Arial" w:cs="Arial" w:eastAsia="Arial" w:hAnsi="Arial"/>
          <w:sz w:val="16"/>
          <w:szCs w:val="16"/>
          <w:color w:val="auto"/>
        </w:rPr>
        <w:t>. In the event that the Corporation breaches any of its material obligations under this Agreement, whether as a result of failure to make any payment when due (as described below), failure to honor any other material obligation required hereunder or by operation of law as a result of the rejection of this Agreement in a case commenced under the Bankruptcy Code or otherwise (“</w:t>
      </w:r>
      <w:r>
        <w:rPr>
          <w:rFonts w:ascii="Arial" w:cs="Arial" w:eastAsia="Arial" w:hAnsi="Arial"/>
          <w:sz w:val="16"/>
          <w:szCs w:val="16"/>
          <w:u w:val="single" w:color="auto"/>
          <w:color w:val="auto"/>
        </w:rPr>
        <w:t>Material Breach</w:t>
      </w:r>
      <w:r>
        <w:rPr>
          <w:rFonts w:ascii="Arial" w:cs="Arial" w:eastAsia="Arial" w:hAnsi="Arial"/>
          <w:sz w:val="16"/>
          <w:szCs w:val="16"/>
          <w:color w:val="auto"/>
        </w:rPr>
        <w:t>”), then all obligations hereunder shall be accelerated and the Corporation shall pay to the Members (i) the Early Termination Payment, (ii) any Tax Benefit Payment and Default Rate Interest agreed to by the Corporation and the Members as due and payable, but unpaid as of the Early Termination Notice and (iii) any Tax Benefit Payment due for the Taxable Year ending prior to, with or including the date of the Early Termination Effective Date (except to the extent that any amounts described in clauses (ii) or (iii) are included in the Early Termination Payment). Notwithstanding the foregoing, in the event that the Corporation breaches this Agreement and such breach is a Material Breach, the Members shall be entitled to elect to receive the amounts set forth in (i),</w:t>
      </w:r>
    </w:p>
    <w:p>
      <w:pPr>
        <w:spacing w:after="0" w:line="5" w:lineRule="exact"/>
        <w:rPr>
          <w:rFonts w:ascii="Arial" w:cs="Arial" w:eastAsia="Arial" w:hAnsi="Arial"/>
          <w:sz w:val="16"/>
          <w:szCs w:val="16"/>
          <w:color w:val="auto"/>
        </w:rPr>
      </w:pPr>
    </w:p>
    <w:p>
      <w:pPr>
        <w:ind w:left="10" w:hanging="10"/>
        <w:spacing w:after="0" w:line="268" w:lineRule="auto"/>
        <w:tabs>
          <w:tab w:leader="none" w:pos="274"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and (iii) above or to seek specific performance of the terms hereof. The Parties agree that the failure to make any payment pursuant to this Agreement within three months of the date such payment is due shall be deemed a Material Breach for all purposes of this Agreement, and that it will not be considered to be a Material Breach to make a payment due pursuant to this Agreement within three months of the date such payment is due,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provisions of Section 5.01 shall apply to such late payment (unless the Corporation does not have sufficient funds to make such payment as a result of limitations imposed by any Senior Obligations, in which case Section 5.01 shall apply, but the Default Rate shall be replaced by the Agreed Rate),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event that payment is not made within three months of the date such payment is due, a Member shall be required to give written notice to the Corporation that the Corporation has breached its material obligations, and so long as such payment is made within ten (10) Business Days of the delivery of such notice to the Corporation, the Corporation shall no longer be deemed to be in Material Breach of its obligations under this Agreement.</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10"/>
          </w:cols>
          <w:pgMar w:left="450" w:top="270" w:right="439" w:bottom="1440" w:gutter="0" w:footer="0" w:header="0"/>
        </w:sectPr>
      </w:pPr>
    </w:p>
    <w:bookmarkStart w:id="449" w:name="page450"/>
    <w:bookmarkEnd w:id="449"/>
    <w:p>
      <w:pPr>
        <w:ind w:right="100" w:firstLine="981"/>
        <w:spacing w:after="0" w:line="256" w:lineRule="auto"/>
        <w:tabs>
          <w:tab w:leader="none" w:pos="1245"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w:t>
      </w:r>
      <w:r>
        <w:rPr>
          <w:rFonts w:ascii="Arial" w:cs="Arial" w:eastAsia="Arial" w:hAnsi="Arial"/>
          <w:sz w:val="18"/>
          <w:szCs w:val="18"/>
          <w:color w:val="auto"/>
        </w:rPr>
        <w:t>. In the event of a Change of Control, then all obligations hereunder shall be accelerated and the Corporation shall pay to the Members (i) the Early Termination Payment, (ii) any Tax Benefit Payment and Default Rate Interest agreed to by the Corporation and the Members as due and payable but unpaid as of the Early Termination Notice and (iii) any Tax Benefit Payment due for the Taxable Year ending prior to, with or including the date of the Early Termination Effective Date (except to the extent that any amounts described in clauses (ii) or (iii) are included in the Early Termination Payment).</w:t>
      </w:r>
    </w:p>
    <w:p>
      <w:pPr>
        <w:spacing w:after="0" w:line="19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In the event of a Change of Control or a Material Breach, the Corporation shall deliver to the Members, as soon as reasonably practical, and in the case of an Early Complete Termination, contemporaneously with the Early Termination Notice, a Schedule (the “</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showing in reasonable detail the information required or requested pursuant to the first sentence of Section 2.03 and the calculation of the Early Termination Payment. The Early Termination Schedule shall become final and binding on all Parties unless a Member, within thirty (30) calendar days after receiving the Early Termination Schedule, provides the Corporation with notice of a material objection to such Schedule made in good faith (“</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If the Parties for any reason are unable to successfully resolve the issues raised in such notice within thirty (30) calendar days after receipt by the Corporation of the Termination Objection Notice, the Corporation and the Members shall employ the Reconciliation Procedures. The date on which such Early Termination Schedule becomes final shall be the “</w:t>
      </w:r>
      <w:r>
        <w:rPr>
          <w:rFonts w:ascii="Arial" w:cs="Arial" w:eastAsia="Arial" w:hAnsi="Arial"/>
          <w:sz w:val="18"/>
          <w:szCs w:val="18"/>
          <w:u w:val="single" w:color="auto"/>
          <w:color w:val="auto"/>
        </w:rPr>
        <w:t>Early Termination Reference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117" w:lineRule="exact"/>
        <w:rPr>
          <w:sz w:val="20"/>
          <w:szCs w:val="20"/>
          <w:color w:val="auto"/>
        </w:rPr>
      </w:pPr>
    </w:p>
    <w:p>
      <w:pPr>
        <w:ind w:right="20" w:firstLine="981"/>
        <w:spacing w:after="0" w:line="256" w:lineRule="auto"/>
        <w:tabs>
          <w:tab w:leader="none" w:pos="1235"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Within ten (10) Business Days after the Early Termination Reference Date (such date, the “</w:t>
      </w:r>
      <w:r>
        <w:rPr>
          <w:rFonts w:ascii="Arial" w:cs="Arial" w:eastAsia="Arial" w:hAnsi="Arial"/>
          <w:sz w:val="18"/>
          <w:szCs w:val="18"/>
          <w:u w:val="single" w:color="auto"/>
          <w:color w:val="auto"/>
        </w:rPr>
        <w:t>Final Payment Date</w:t>
      </w:r>
      <w:r>
        <w:rPr>
          <w:rFonts w:ascii="Arial" w:cs="Arial" w:eastAsia="Arial" w:hAnsi="Arial"/>
          <w:sz w:val="18"/>
          <w:szCs w:val="18"/>
          <w:color w:val="auto"/>
        </w:rPr>
        <w:t>” in respect of any Early Termination Payment), the Corporation shall pay to each relevant Member an amount equal to the Early Termination Payment for such Member and any other payment required to be made pursuant to Section 4.01(b), Section 4.01(c) and Section 4.01(d). Such payment shall be made by wire transfer of immediately available funds to a bank account designated by the applicable Member or as otherwise agreed by the Corporation and the Member.</w:t>
      </w:r>
    </w:p>
    <w:p>
      <w:pPr>
        <w:spacing w:after="0" w:line="83" w:lineRule="exact"/>
        <w:rPr>
          <w:rFonts w:ascii="Arial" w:cs="Arial" w:eastAsia="Arial" w:hAnsi="Arial"/>
          <w:sz w:val="18"/>
          <w:szCs w:val="18"/>
          <w:color w:val="auto"/>
        </w:rPr>
      </w:pPr>
    </w:p>
    <w:p>
      <w:pPr>
        <w:ind w:right="80" w:firstLine="981"/>
        <w:spacing w:after="0" w:line="254" w:lineRule="auto"/>
        <w:tabs>
          <w:tab w:leader="none" w:pos="1245"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Amount of Payment</w:t>
      </w:r>
      <w:r>
        <w:rPr>
          <w:rFonts w:ascii="Arial" w:cs="Arial" w:eastAsia="Arial" w:hAnsi="Arial"/>
          <w:sz w:val="18"/>
          <w:szCs w:val="18"/>
          <w:color w:val="auto"/>
        </w:rPr>
        <w:t>.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as of the Early Termination Effective Date, shall equal with respect to the relevant Member the present value, discounted at the Early Termination Rate as of the applicable Early Termination Reference Date, of all Tax Benefit Payments that would be required to be paid by the Corporation to such Member beginning from the Early Termination Effective Date, applying the Valuation Assumptions. For purposes of calculating the present value pursuant to this Section 4.03(b) of all Tax Benefit Payments that would be required to be paid, it shall be assumed that absent the Early Termination Event all Tax Benefit Payments would be paid on the due date (without extensions) for filing the Corporation Return with respect to Taxes for each Taxable Year. The computation of the Early Termination Payment is subject to the Reconciliation Procedures.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450" w:name="page451"/>
    <w:bookmarkEnd w:id="4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LATE PAYMENTS, ETC.</w:t>
      </w:r>
    </w:p>
    <w:p>
      <w:pPr>
        <w:spacing w:after="0" w:line="210"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Late Payments by the Corporation</w:t>
      </w:r>
      <w:r>
        <w:rPr>
          <w:rFonts w:ascii="Arial" w:cs="Arial" w:eastAsia="Arial" w:hAnsi="Arial"/>
          <w:sz w:val="16"/>
          <w:szCs w:val="16"/>
          <w:color w:val="auto"/>
        </w:rPr>
        <w:t>. The amount of all or any portion of any Tax Benefit Payment or Early Termination Payment that is required to be made by the Corporation to the Members under this Agreement but is not made by the applicable Final Payment Date shall be payable together with any interest thereon, computed at the Default Rate and commencing from the applicable Final Payment Date.</w:t>
      </w:r>
    </w:p>
    <w:p>
      <w:pPr>
        <w:spacing w:after="0" w:line="148"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Subordination</w:t>
      </w:r>
      <w:r>
        <w:rPr>
          <w:rFonts w:ascii="Arial" w:cs="Arial" w:eastAsia="Arial" w:hAnsi="Arial"/>
          <w:sz w:val="17"/>
          <w:szCs w:val="17"/>
          <w:color w:val="auto"/>
        </w:rPr>
        <w:t>. Notwithstanding any other provision of this Agreement to the contrary, any payment required to be made by the Corporation to the Members under this Agreement shall rank subordinate and junior in right of payment to any principal, interest or other amounts due and payable in respect of any obligations owed in respect of indebtedness for borrowed money of the Corporation (“</w:t>
      </w:r>
      <w:r>
        <w:rPr>
          <w:rFonts w:ascii="Arial" w:cs="Arial" w:eastAsia="Arial" w:hAnsi="Arial"/>
          <w:sz w:val="17"/>
          <w:szCs w:val="17"/>
          <w:u w:val="single" w:color="auto"/>
          <w:color w:val="auto"/>
        </w:rPr>
        <w:t>Senior Obligations</w:t>
      </w:r>
      <w:r>
        <w:rPr>
          <w:rFonts w:ascii="Arial" w:cs="Arial" w:eastAsia="Arial" w:hAnsi="Arial"/>
          <w:sz w:val="17"/>
          <w:szCs w:val="17"/>
          <w:color w:val="auto"/>
        </w:rPr>
        <w:t xml:space="preserve">”) and shall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current or future obligations of the Corporation that are not Senior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CONSISTENCY; COOPERATION</w:t>
      </w:r>
    </w:p>
    <w:p>
      <w:pPr>
        <w:spacing w:after="0" w:line="21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The Member’s Participation in Corporation Tax Matters</w:t>
      </w:r>
      <w:r>
        <w:rPr>
          <w:rFonts w:ascii="Arial" w:cs="Arial" w:eastAsia="Arial" w:hAnsi="Arial"/>
          <w:sz w:val="17"/>
          <w:szCs w:val="17"/>
          <w:color w:val="auto"/>
        </w:rPr>
        <w:t xml:space="preserve">. Except as otherwise provided herein or in the LLC Agreement, the Corporation shall have full responsibility for, and sole discretion over, all Tax matters concerning the Corporation, including without limitation the preparation, filing or amending of any Tax Return and defending, contesting or settling any issue pertaining to Taxes, and certain Tax matters concerning BellRing LLC. Notwithstanding the foregoing, the Corporation shall promptly notify the Members of, and keep the Members reasonably informed with respect to, the portion of any audit of the Corporation or BellRing LLC by a Taxing Authority the outcome of which is reasonably expected to affect any Member’s rights and obligations under this Agreement, and any such Member shall have the right to participate in and to monitor at its own expense (but not to control) any such portion of any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Corporation shall not settle or fail to contest any issue pertaining to Covered Taxes that is reasonably expected to materially affect any Member’s rights or obligations under this Agreement without the prior written consent of such Member, such consent not to be unreasonably withheld, conditioned or delayed.</w:t>
      </w:r>
    </w:p>
    <w:p>
      <w:pPr>
        <w:spacing w:after="0" w:line="17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Consistency</w:t>
      </w:r>
      <w:r>
        <w:rPr>
          <w:rFonts w:ascii="Arial" w:cs="Arial" w:eastAsia="Arial" w:hAnsi="Arial"/>
          <w:sz w:val="18"/>
          <w:szCs w:val="18"/>
          <w:color w:val="auto"/>
        </w:rPr>
        <w:t>. Except upon the written advice of an Advisory Firm and except for items that are explicitly described as “deemed” or treated in a similar manner by the terms of this Agreement, the Corporation and the Members agree to report and cause to be reported for all purposes, including federal, state, local and foreign tax purposes and financial reporting purposes, all tax-related items (including without limitation the Tax Benefit Payment) in a manner consistent with that specified by the Corporation in any Schedule required to be provided by or on behalf of the Corporation under this Agreement and agreed to by the Members. Any dispute concerning such advice shall be subject to the Reconciliation Procedures. In the event the Advisory Firm 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60" w:top="270" w:right="439" w:bottom="1440" w:gutter="0" w:footer="0" w:header="0"/>
        </w:sectPr>
      </w:pPr>
    </w:p>
    <w:bookmarkStart w:id="451" w:name="page452"/>
    <w:bookmarkEnd w:id="451"/>
    <w:p>
      <w:pPr>
        <w:jc w:val="both"/>
        <w:ind w:left="1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replaced with another firm acceptable to the Corporation and the Members pursuant to the definition of Advisory Firm, such replacement Advisory Firm shall be required to perform its services under this Agreement using procedures and methodologies consistent with those used by the previous Advisory Firm, unless otherwise required by law or the Corporation and the Members agree to the use of other procedures and methodologies.</w:t>
      </w:r>
    </w:p>
    <w:p>
      <w:pPr>
        <w:spacing w:after="0" w:line="148" w:lineRule="exact"/>
        <w:rPr>
          <w:sz w:val="20"/>
          <w:szCs w:val="20"/>
          <w:color w:val="auto"/>
        </w:rPr>
      </w:pPr>
    </w:p>
    <w:p>
      <w:pPr>
        <w:ind w:left="10" w:right="40" w:firstLine="440"/>
        <w:spacing w:after="0" w:line="29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Cooperation</w:t>
      </w:r>
      <w:r>
        <w:rPr>
          <w:rFonts w:ascii="Arial" w:cs="Arial" w:eastAsia="Arial" w:hAnsi="Arial"/>
          <w:sz w:val="16"/>
          <w:szCs w:val="16"/>
          <w:color w:val="auto"/>
        </w:rPr>
        <w:t>. Each of the Corporation, BellRing LLC and the Members shall (i) furnish to the other Parties in a timely manner such information, documents and other materials as the other Parties may reasonably request for purposes of making or approving any determination or computation necessary or appropriate under this Agreement, preparing any Tax Return or contesting or defending any audit, examination or controversy with any Taxing Authority, (ii) make itself available to the other Parties and their respective representatives to provide explanations of documents and materials and such other information as the requesting Parties or their respective representatives may reasonably request in connection with any of the matters described in clause (i) above, and (iii) reasonably cooperate in connection with any such matter, and the requesting Party shall reimburse the other Parties for any reasonable third party costs and expenses incurred pursuant to this Section 6.03.</w:t>
      </w:r>
    </w:p>
    <w:p>
      <w:pPr>
        <w:spacing w:after="0" w:line="37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MISCELLANEOUS</w:t>
      </w:r>
    </w:p>
    <w:p>
      <w:pPr>
        <w:spacing w:after="0" w:line="21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10" w:right="40" w:firstLine="981"/>
        <w:spacing w:after="0" w:line="290" w:lineRule="auto"/>
        <w:tabs>
          <w:tab w:leader="none" w:pos="124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All notices, requests, claims, demands and other communications hereunder shall be in writing (including email, so long as a receipt of such email is requested and received) and shall be deemed duly given and received (i) on the date of delivery if delivered personally or via email or</w:t>
      </w:r>
    </w:p>
    <w:p>
      <w:pPr>
        <w:spacing w:after="0" w:line="1" w:lineRule="exact"/>
        <w:rPr>
          <w:rFonts w:ascii="Arial" w:cs="Arial" w:eastAsia="Arial" w:hAnsi="Arial"/>
          <w:sz w:val="16"/>
          <w:szCs w:val="16"/>
          <w:color w:val="auto"/>
        </w:rPr>
      </w:pPr>
    </w:p>
    <w:p>
      <w:pPr>
        <w:ind w:left="10" w:right="660" w:hanging="10"/>
        <w:spacing w:after="0" w:line="323" w:lineRule="auto"/>
        <w:tabs>
          <w:tab w:leader="none" w:pos="274" w:val="left"/>
        </w:tabs>
        <w:numPr>
          <w:ilvl w:val="0"/>
          <w:numId w:val="374"/>
        </w:numPr>
        <w:rPr>
          <w:rFonts w:ascii="Arial" w:cs="Arial" w:eastAsia="Arial" w:hAnsi="Arial"/>
          <w:sz w:val="16"/>
          <w:szCs w:val="16"/>
          <w:color w:val="auto"/>
        </w:rPr>
      </w:pPr>
      <w:r>
        <w:rPr>
          <w:rFonts w:ascii="Arial" w:cs="Arial" w:eastAsia="Arial" w:hAnsi="Arial"/>
          <w:sz w:val="16"/>
          <w:szCs w:val="16"/>
          <w:color w:val="auto"/>
        </w:rPr>
        <w:t>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30" w:lineRule="exact"/>
        <w:rPr>
          <w:sz w:val="20"/>
          <w:szCs w:val="20"/>
          <w:color w:val="auto"/>
        </w:rPr>
      </w:pPr>
    </w:p>
    <w:p>
      <w:pPr>
        <w:ind w:left="450"/>
        <w:spacing w:after="0"/>
        <w:rPr>
          <w:sz w:val="20"/>
          <w:szCs w:val="20"/>
          <w:color w:val="auto"/>
        </w:rPr>
      </w:pPr>
      <w:r>
        <w:rPr>
          <w:rFonts w:ascii="Arial" w:cs="Arial" w:eastAsia="Arial" w:hAnsi="Arial"/>
          <w:sz w:val="18"/>
          <w:szCs w:val="18"/>
          <w:color w:val="auto"/>
        </w:rPr>
        <w:t>If to the Corporation, to:</w:t>
      </w:r>
    </w:p>
    <w:p>
      <w:pPr>
        <w:spacing w:after="0" w:line="117" w:lineRule="exact"/>
        <w:rPr>
          <w:sz w:val="20"/>
          <w:szCs w:val="20"/>
          <w:color w:val="auto"/>
        </w:rPr>
      </w:pPr>
    </w:p>
    <w:p>
      <w:pPr>
        <w:ind w:left="45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If to BellRing LLC, to:</w:t>
      </w:r>
    </w:p>
    <w:p>
      <w:pPr>
        <w:spacing w:after="0" w:line="117" w:lineRule="exact"/>
        <w:rPr>
          <w:sz w:val="20"/>
          <w:szCs w:val="20"/>
          <w:color w:val="auto"/>
        </w:rPr>
      </w:pPr>
    </w:p>
    <w:p>
      <w:pPr>
        <w:ind w:left="45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0"/>
          </w:cols>
          <w:pgMar w:left="450" w:top="273" w:right="459" w:bottom="1440" w:gutter="0" w:footer="0" w:header="0"/>
        </w:sectPr>
      </w:pPr>
    </w:p>
    <w:bookmarkStart w:id="452" w:name="page453"/>
    <w:bookmarkEnd w:id="4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Post,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Randy Ridenhour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If to any other Member, to the address and e-mail address specified on such Member’s signature page to the applicable Joinder.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contact information by giving the other Parties written notice of its new contact information in the manner set forth above.</w:t>
      </w:r>
    </w:p>
    <w:p>
      <w:pPr>
        <w:spacing w:after="0" w:line="24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electronic transmission shall be as effective as delivery of a manually signed counterpart of this Agreement.</w:t>
      </w:r>
    </w:p>
    <w:p>
      <w:pPr>
        <w:spacing w:after="0" w:line="170"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constitutes the entire agreement and supersedes prior agreements and understandings, both written and oral, among the Parties with respect to the subject matter hereof. This Agreement shall be binding upon and inure solely to the benefit of each Party hereto and its respective successors and permitted assigns. Other than as provided in the preceding sentence, nothing in this Agreement, express or implied, is intended to or shall confer upon any other Person any right, benefit or remedy of any nature whatsoever under or by reason of this Agreement.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60" w:top="274" w:right="519" w:bottom="1440" w:gutter="0" w:footer="0" w:header="0"/>
        </w:sectPr>
      </w:pPr>
    </w:p>
    <w:bookmarkStart w:id="453" w:name="page454"/>
    <w:bookmarkEnd w:id="45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w:t>
      </w:r>
    </w:p>
    <w:p>
      <w:pPr>
        <w:spacing w:after="0" w:line="236"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84" w:lineRule="auto"/>
        <w:tabs>
          <w:tab w:leader="none" w:pos="1235"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Member may assign, sell, pledge or otherwise alienate or transfer any interest in this Agreement, including the right to receive any payment under this Agreement, to any Person without the prior written consent of the Corporation, which consent shall not be unreasonably withheld, conditioned or delayed, and without such Person executing and delivering a Joinder agreeing to succeed to the applicable portion of such Member’s interest in this Agreement and to become a Party for all purposes of this Agreement (the “</w:t>
      </w:r>
      <w:r>
        <w:rPr>
          <w:rFonts w:ascii="Arial" w:cs="Arial" w:eastAsia="Arial" w:hAnsi="Arial"/>
          <w:sz w:val="16"/>
          <w:szCs w:val="16"/>
          <w:u w:val="single" w:color="auto"/>
          <w:color w:val="auto"/>
        </w:rPr>
        <w:t>Joinder Requirement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Member sells, exchanges, distributes or otherwise transfers Units to any Person (other than the Corporation or BellRing LLC) in accordance with the terms of the LLC Agreement, such Member shall have the option to assign to the transferee of such Units its rights under this Agreement with respect to such transferred Units, so long as such transferee has satisfied the Joinder Requirement. For the avoidance of doubt, if a Member transfers Units in accordance with the terms of the LLC Agreement but does not assign to the transferee of such Units its rights under this Agreement with respect to such transferred Units, such Member shall continue to be entitled to receive the Tax Benefit Payments arising in respect of any subsequent Basis Transactions or Section 704(c) Benefits that are Attributable to the transferred Units. The Corporation may not assign any of its rights or obligations under this Agreement to any Person without approval by the Members (and any purported assignment without such consent shall be null and void). The transferee and transferor of any Transfer permitted under this Section 7.06 shall ensure that the Corporation is provided with a copy (which may be by PDF) of the fully executed instrument of Transfer, which instrument must clearly identify the name of the transferor and transferee and the number of Units being transferred, within five (5) days of the effective date of such Transfer. Any Transfer, or attempted Transfer in violation of this Agreement, including any failure of a purported transferee to enter into a Joinder to this Agreement or to provide any forms or other information to the extent required hereunder, shall be null and void, and shall not bind or be recognized by the Corporation or the Members. The Corporation shall be entitled to treat the record owner of any rights under this Agreement as the absolute owner thereof and shall incur no liability for payments made in good faith to such owner until such time as a written assignment of such rights is permitted pursuant to the terms and conditions of this Section 7.06 and has been recorded on the books of the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60" w:top="274" w:right="439" w:bottom="1440" w:gutter="0" w:footer="0" w:header="0"/>
        </w:sectPr>
      </w:pPr>
    </w:p>
    <w:bookmarkStart w:id="454" w:name="page455"/>
    <w:bookmarkEnd w:id="454"/>
    <w:p>
      <w:pPr>
        <w:ind w:right="60" w:firstLine="981"/>
        <w:spacing w:after="0" w:line="263" w:lineRule="auto"/>
        <w:tabs>
          <w:tab w:leader="none" w:pos="1245"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r>
        <w:rPr>
          <w:rFonts w:ascii="Arial" w:cs="Arial" w:eastAsia="Arial" w:hAnsi="Arial"/>
          <w:sz w:val="18"/>
          <w:szCs w:val="18"/>
          <w:color w:val="auto"/>
        </w:rPr>
        <w:t xml:space="preserve">. No provision of this Agreement may be amended unless such amendment is approved in writing by the Corporation and the Members, whereupon all Parties shall be bound;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amendment of the definition of Change of Control will also require the written approval of a majority of the Independent Directors.</w:t>
      </w:r>
    </w:p>
    <w:p>
      <w:pPr>
        <w:spacing w:after="0" w:line="74" w:lineRule="exact"/>
        <w:rPr>
          <w:rFonts w:ascii="Arial" w:cs="Arial" w:eastAsia="Arial" w:hAnsi="Arial"/>
          <w:sz w:val="18"/>
          <w:szCs w:val="18"/>
          <w:color w:val="auto"/>
        </w:rPr>
      </w:pPr>
    </w:p>
    <w:p>
      <w:pPr>
        <w:ind w:right="120" w:firstLine="981"/>
        <w:spacing w:after="0" w:line="275" w:lineRule="auto"/>
        <w:tabs>
          <w:tab w:leader="none" w:pos="1235"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All of the terms and provisions of this Agreement shall be binding upon, shall inure to the benefit of and shall be enforceable by the Parties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67" w:lineRule="exact"/>
        <w:rPr>
          <w:rFonts w:ascii="Arial" w:cs="Arial" w:eastAsia="Arial" w:hAnsi="Arial"/>
          <w:sz w:val="17"/>
          <w:szCs w:val="17"/>
          <w:color w:val="auto"/>
        </w:rPr>
      </w:pPr>
    </w:p>
    <w:p>
      <w:pPr>
        <w:ind w:right="20" w:firstLine="981"/>
        <w:spacing w:after="0" w:line="259" w:lineRule="auto"/>
        <w:tabs>
          <w:tab w:leader="none" w:pos="1245"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waived unless such waiver is in writing and signed by the Party against whom the waiver is to be effective.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117" w:lineRule="exact"/>
        <w:rPr>
          <w:sz w:val="20"/>
          <w:szCs w:val="20"/>
          <w:color w:val="auto"/>
        </w:rPr>
      </w:pPr>
    </w:p>
    <w:p>
      <w:pPr>
        <w:ind w:right="40" w:firstLine="981"/>
        <w:spacing w:after="0" w:line="291" w:lineRule="auto"/>
        <w:tabs>
          <w:tab w:leader="none" w:pos="123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Except for Reconciliation Disputes subject to Section 7.08, any and all disputes which cannot be settled after good faith negotiation,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in St. Louis, Missouri by a single arbitrator in accordance with the then-existing Rules of Arbitration of the International Chamber of Commerce. If the Parties to the dispute fail to agree on the selection of an arbitrator within thirty (30) calendar days of the receipt of the request for arbitration, the International Chamber of Commerce shall make the appointment. The arbitrator shall be a lawyer and shall conduct the proceedings in the English language. Performance under this Agreement shall continue if reasonably possible during any arbitration proceedings.</w:t>
      </w:r>
    </w:p>
    <w:p>
      <w:pPr>
        <w:spacing w:after="0" w:line="57" w:lineRule="exact"/>
        <w:rPr>
          <w:rFonts w:ascii="Arial" w:cs="Arial" w:eastAsia="Arial" w:hAnsi="Arial"/>
          <w:sz w:val="16"/>
          <w:szCs w:val="16"/>
          <w:color w:val="auto"/>
        </w:rPr>
      </w:pPr>
    </w:p>
    <w:p>
      <w:pPr>
        <w:ind w:firstLine="981"/>
        <w:spacing w:after="0" w:line="256" w:lineRule="auto"/>
        <w:tabs>
          <w:tab w:leader="none" w:pos="124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Notwithstanding the provisions of Section 7.07(a), any Party may bring an action or special proceeding in any court of competent jurisdiction for the purpose of compelling a Party to arbitrate, seeking temporary or preliminary relief in aid of an arbitration hereunder, and/or enforcing an arbitration award and, for the purposes of this Section 7.07(b), each Party (i) expressly consents to the application of Section 7.07(c) to any such action or proceeding, and (ii) agrees that proof shall not be required that monetary damages for breach of the provisions of this Agreement would be difficult to calculate and that remedies at law would be inadequate.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455" w:name="page456"/>
    <w:bookmarkEnd w:id="455"/>
    <w:p>
      <w:pPr>
        <w:ind w:right="240" w:firstLine="981"/>
        <w:spacing w:after="0" w:line="273" w:lineRule="auto"/>
        <w:tabs>
          <w:tab w:leader="none" w:pos="1235" w:val="left"/>
        </w:tabs>
        <w:numPr>
          <w:ilvl w:val="0"/>
          <w:numId w:val="3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Member hereby irrevocably submits to the jurisdiction of the Delaware Chancery Court or, if such court shall not have jurisdiction, any federal court located in the State of Delaware or other Delaware state court for the purpose of any judicial proceeding brought in accordance with the provisions of Section 7.07(b),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forum designated by this Section 7.07(c) has a reasonable relation to this Agreement, and to the Parties’ relationship with one another.</w:t>
      </w:r>
    </w:p>
    <w:p>
      <w:pPr>
        <w:spacing w:after="0" w:line="68" w:lineRule="exact"/>
        <w:rPr>
          <w:rFonts w:ascii="Arial" w:cs="Arial" w:eastAsia="Arial" w:hAnsi="Arial"/>
          <w:sz w:val="17"/>
          <w:szCs w:val="17"/>
          <w:color w:val="auto"/>
        </w:rPr>
      </w:pPr>
    </w:p>
    <w:p>
      <w:pPr>
        <w:ind w:right="80" w:firstLine="981"/>
        <w:spacing w:after="0" w:line="263" w:lineRule="auto"/>
        <w:tabs>
          <w:tab w:leader="none" w:pos="124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Section 7.07(c) and the Parties agree not to plead or claim the same.</w:t>
      </w:r>
    </w:p>
    <w:p>
      <w:pPr>
        <w:spacing w:after="0" w:line="74" w:lineRule="exact"/>
        <w:rPr>
          <w:rFonts w:ascii="Arial" w:cs="Arial" w:eastAsia="Arial" w:hAnsi="Arial"/>
          <w:sz w:val="18"/>
          <w:szCs w:val="18"/>
          <w:color w:val="auto"/>
        </w:rPr>
      </w:pPr>
    </w:p>
    <w:p>
      <w:pPr>
        <w:ind w:right="240" w:firstLine="981"/>
        <w:spacing w:after="0" w:line="277" w:lineRule="auto"/>
        <w:tabs>
          <w:tab w:leader="none" w:pos="123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Party irrevocably consents to service of process by means of notice in the manner provided for in Section 7.01. Nothing in this Agreement shall affect the right of any Party to serve process in any other manner permitted by law.</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Corporation and any of the Members are unable to resolve a disagreement with respect to a Schedule prepared in accordance with the procedures set forth in Section 2.04 or Section 4.02 within the relevant period designated in this Agreement, or any other disagreement regarding the calculation of Tax Benefit Payments, the treatment of transactions for tax purposes or any similar matter the resolution of which requires substantial tax expertise (a “Reconciliation Dispute”), the Reconciliation Dispute shall be submitted by the applicable Parties for determination to a nationally recognized expert (the “Expert”) in the particular area of disagreement mutually acceptable to the applicable Parties. The Expert shall be a partner in a nationally recognized accounting firm or a law firm (other than the Advisory Firm), and the Expert shall not, and the firm that employs the Expert shall not, have any material relationship with the Corporation or the Members or other actual or potential conflict of interest. If the applicable Parties are unable to agree on an Expert within fifteen (15) calendar days after any of the applicable Parties have provided the other applicable Parties with written notice of a Reconciliation Dispute, the Expert shall be appointed by the International Chamber of Commerce Centre for Expertise. The Expert shall resolve any matter relating to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is due or any Tax Return reflecting the subject of a disagreement is due, such payment shall be made on the date prescribed by this Agreement and such Tax Return may be filed as prepared by the Corporation, subject to adjustment or amendment upon resolution. The costs and expenses related to the engagement of such Expert or amending any Tax Return shall be borne by the Corporation, except as provided in the next sentence. Each of the Corporation and the applicable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456" w:name="page457"/>
    <w:bookmarkEnd w:id="45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Members shall bear their own costs and expenses of such proceeding. Any dispute as to whether a dispute is a Reconciliation Dispute within the meaning of this Section 7.08 shall be decided by the Expert. The Expert shall finally determine any Reconciliation Dispute and the determinations of the Expert pursuant to this Section 7.08 shall be binding on the Corporation and the applicable Members and may be entered and enforced in any court having jurisdiction.</w:t>
      </w:r>
    </w:p>
    <w:p>
      <w:pPr>
        <w:spacing w:after="0" w:line="18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The Corporation shall be entitled to deduct and withhold from any payment payable pursuant to this Agreement such amounts as the Corporation reasonably believes it is required to deduct and withhold as a result of the execution of this Agreement or with respect to the making of such payment, in each case, under the Code, or any provision of state, local or foreign tax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Corporation shall have first notified the applicable Member of its intent to deduct or withhold, and the Corporation and the applicable Member shall have discussed in good faith whether such taxes can be mitigated to the extent permitted under applicable law. To the extent that amounts are so withheld and paid over to the appropriate Taxing Authority by the Corporation, such withheld amounts shall be treated for all purposes of this Agreement as having been paid to the relevant Member in respect of whom the deduction and withholding was made. The Corporation shall provide evidence of such payment to the Members to the extent that such evidence is available. Each Member shall promptly provide the Corporation with any applicable tax forms and certifications reasonably requested by the Corporation in connection with determining whether any such deductions and withholdings are required by applicable law.</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Affiliated Corporations; Admission of the Corporation into a Consolidated Group; Transfers of Corporate Assets</w:t>
      </w:r>
      <w:r>
        <w:rPr>
          <w:rFonts w:ascii="Arial" w:cs="Arial" w:eastAsia="Arial" w:hAnsi="Arial"/>
          <w:sz w:val="18"/>
          <w:szCs w:val="18"/>
          <w:color w:val="auto"/>
        </w:rPr>
        <w:t>.</w:t>
      </w:r>
    </w:p>
    <w:p>
      <w:pPr>
        <w:spacing w:after="0" w:line="117" w:lineRule="exact"/>
        <w:rPr>
          <w:sz w:val="20"/>
          <w:szCs w:val="20"/>
          <w:color w:val="auto"/>
        </w:rPr>
      </w:pPr>
    </w:p>
    <w:p>
      <w:pPr>
        <w:ind w:right="40" w:firstLine="981"/>
        <w:spacing w:after="0" w:line="256" w:lineRule="auto"/>
        <w:tabs>
          <w:tab w:leader="none" w:pos="123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If the Corporation is or becomes a member of an affiliated or consolidated group of corporations that files a consolidated income tax return pursuant to Sections 1501 et seq. of the Code or a similar provision of state or local law (other than if the Corporation becomes a member of such a group as a result of a Change of Control, in which case the provisions of Article IV shall control), then: (i) the provisions of this Agreement shall be applied with respect to the group as a whole and (ii) Tax Benefit Payments and Early Termination Payments shall be computed with reference to the consolidated taxable income of the group as a whole.</w:t>
      </w:r>
    </w:p>
    <w:p>
      <w:pPr>
        <w:spacing w:after="0" w:line="83" w:lineRule="exact"/>
        <w:rPr>
          <w:rFonts w:ascii="Arial" w:cs="Arial" w:eastAsia="Arial" w:hAnsi="Arial"/>
          <w:sz w:val="18"/>
          <w:szCs w:val="18"/>
          <w:color w:val="auto"/>
        </w:rPr>
      </w:pPr>
    </w:p>
    <w:p>
      <w:pPr>
        <w:ind w:right="20" w:firstLine="981"/>
        <w:spacing w:after="0" w:line="254" w:lineRule="auto"/>
        <w:tabs>
          <w:tab w:leader="none" w:pos="124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If any Person, the income of which is included in the income of the Corporation’s affiliated or consolidated group, transfers one or more assets to a corporation or any Person treated as such for tax purposes with which such entity does not file a consolidated tax return pursuant to Section 1501 et seq. of the Code, for purposes of calculating the amount of any Tax Benefit Payment (e.g., calculating the gross income of the Corporation’s affiliated or consolidated group and determining the Realized Tax Benefit) due hereunder, such Person shall be treated as having disposed of such asset in a fully taxable transaction on the date of such contribution. The consideration deemed to be received by such entity shall be determined as if such transfer occurred on an arm’s-length basis with an unrelated third party. For purposes of this Section 7.10, a transfer of a partnership interest shall be treated as a transfer of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3" w:right="479" w:bottom="1440" w:gutter="0" w:footer="0" w:header="0"/>
        </w:sectPr>
      </w:pPr>
    </w:p>
    <w:bookmarkStart w:id="457" w:name="page458"/>
    <w:bookmarkEnd w:id="457"/>
    <w:p>
      <w:pPr>
        <w:jc w:val="both"/>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transferring partner’s applicable share of each of the assets and liabilities of that partnership. Notwithstanding anything to the contrary set forth herein, if the Corporation or any other entity that is obligated to make a Tax Benefit Payment or Early Termination Payment hereunder transfers its assets pursuant to a transaction that qualifies as a “reorganization” (within the meaning of Section 368(a) of the Code) in which such entity does not survive or pursuant to any other transaction to which Section 381(a) of the Code applies, the transfer will not cause such entity to be treated as having transferred any assets to a corporation (or a Person classified as a corporation for U.S. income tax purposes) pursuant to this Section 7.10(b).</w:t>
      </w:r>
    </w:p>
    <w:p>
      <w:pPr>
        <w:spacing w:after="0" w:line="16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Notwithstanding anything herein to the contrary, if, in connection with an actual or proposed change in law, a Member reasonably believes that the existence of this Agreement could cause material adverse tax consequences to such Member or any direct or indirect owner of such Member, then at the written election of such Member in its sole discretion (in an instrument signed by such Member and delivered to the Corporation) and to the extent specified therein by such Member, this Agreement shall cease to have further effect and shall not apply to any Basis Transactions occurring after a date specified by such Member, or may be amended in a manner reasonably determined by such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any payments owed by the Corporation under this Agreement at any time as compared to the amounts and times of payments that would have been due in the absence of such amendment.</w:t>
      </w:r>
    </w:p>
    <w:p>
      <w:pPr>
        <w:spacing w:after="0" w:line="176"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herein, the interest paid or agreed to be paid hereunder with respect to amounts due to any Member hereunder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any Member shall receive interest in an amount that exceeds the Maximum Rate, the excess interest shall be applied to the Tax Benefit Payment or Early Termination Payment, as applicable (but in each case exclusive of any component thereof comprising interest) or, if it exceeds such unpaid non-interest amount, refunded to the Corporation. In determining whether the interest contracted for, charged or received by any Member exceeds the Maximum Rate, such Member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payment obligations owed by the Corporation to such Member hereunder. Notwithstanding the foregoing, it is the intention of the Parties to conform strictly to any applicable usury laws.</w:t>
      </w:r>
    </w:p>
    <w:p>
      <w:pPr>
        <w:spacing w:after="0" w:line="16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Independent Nature of Rights and Obligations</w:t>
      </w:r>
      <w:r>
        <w:rPr>
          <w:rFonts w:ascii="Arial" w:cs="Arial" w:eastAsia="Arial" w:hAnsi="Arial"/>
          <w:sz w:val="18"/>
          <w:szCs w:val="18"/>
          <w:color w:val="auto"/>
        </w:rPr>
        <w:t>. The rights and obligations of each Member hereunder are several and not joint with the rights and obligations of any other Person. A Member shall not be responsible in any way for the performance of the obligations of any other Person hereunder, nor shall a Member have the right to enforce the rights or obligations of any other Person hereunder (other than the Corporation). The obligations of a Member hereunder are solely for the benefit of, and shall be enforceable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4" w:right="459" w:bottom="1440" w:gutter="0" w:footer="0" w:header="0"/>
        </w:sectPr>
      </w:pPr>
    </w:p>
    <w:bookmarkStart w:id="458" w:name="page459"/>
    <w:bookmarkEnd w:id="45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solely by, the Corporation. Nothing contained herein or in any other agreement or document delivered at any closing, and no action taken by any Member pursuant hereto or thereto, shall be deemed to constitute the Members acting as a partnership, an association, a joint venture or any other kind of entity, or create a presumption that the Members are in any way acting in concert or as a group with respect to such rights or obligations or the transactions contemplated hereby, and the Corporation acknowledges that the Members are not acting in concert or as a group and will not assert any such claim with respect to such rights or obligations or the transactions contemplated hereby.</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[Signatures pages follow]</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460" w:top="274" w:right="619" w:bottom="1440" w:gutter="0" w:footer="0" w:header="0"/>
        </w:sectPr>
      </w:pPr>
    </w:p>
    <w:bookmarkStart w:id="459" w:name="page460"/>
    <w:bookmarkEnd w:id="45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BELLRING BRANDS, INC.</w:t>
      </w:r>
    </w:p>
    <w:p>
      <w:pPr>
        <w:spacing w:after="0" w:line="2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14605</wp:posOffset>
            </wp:positionV>
            <wp:extent cx="222694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BELLRING BRANDS, LLC</w:t>
      </w:r>
    </w:p>
    <w:p>
      <w:pPr>
        <w:spacing w:after="0" w:line="2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14605</wp:posOffset>
            </wp:positionV>
            <wp:extent cx="222694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14605</wp:posOffset>
            </wp:positionV>
            <wp:extent cx="222694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Tax Receivable Agreement]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74" w:right="1440" w:bottom="1440" w:gutter="0" w:footer="0" w:header="0"/>
        </w:sectPr>
      </w:pPr>
    </w:p>
    <w:bookmarkStart w:id="460" w:name="page461"/>
    <w:bookmarkEnd w:id="460"/>
    <w:tbl>
      <w:tblPr>
        <w:tblLayout w:type="fixed"/>
        <w:tblInd w:w="1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A</w:t>
            </w:r>
          </w:p>
        </w:tc>
        <w:tc>
          <w:tcPr>
            <w:tcW w:w="2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2"/>
        </w:trPr>
        <w:tc>
          <w:tcPr>
            <w:tcW w:w="7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180" w:type="dxa"/>
            <w:vAlign w:val="bottom"/>
            <w:gridSpan w:val="5"/>
          </w:tcPr>
          <w:p>
            <w:pPr>
              <w:ind w:left="240"/>
              <w:spacing w:after="0"/>
              <w:rPr>
                <w:sz w:val="20"/>
                <w:szCs w:val="20"/>
                <w:color w:val="auto"/>
              </w:rPr>
            </w:pPr>
            <w:r>
              <w:rPr>
                <w:rFonts w:ascii="Arial" w:cs="Arial" w:eastAsia="Arial" w:hAnsi="Arial"/>
                <w:sz w:val="18"/>
                <w:szCs w:val="18"/>
                <w:b w:val="1"/>
                <w:bCs w:val="1"/>
                <w:color w:val="auto"/>
              </w:rPr>
              <w:t>FORM OF JOINDER AGREEMENT</w:t>
            </w:r>
          </w:p>
        </w:tc>
      </w:tr>
      <w:tr>
        <w:trPr>
          <w:trHeight w:val="391"/>
        </w:trPr>
        <w:tc>
          <w:tcPr>
            <w:tcW w:w="3800" w:type="dxa"/>
            <w:vAlign w:val="bottom"/>
            <w:gridSpan w:val="3"/>
          </w:tcPr>
          <w:p>
            <w:pPr>
              <w:ind w:left="440"/>
              <w:spacing w:after="0"/>
              <w:rPr>
                <w:sz w:val="20"/>
                <w:szCs w:val="20"/>
                <w:color w:val="auto"/>
              </w:rPr>
            </w:pPr>
            <w:r>
              <w:rPr>
                <w:rFonts w:ascii="Arial" w:cs="Arial" w:eastAsia="Arial" w:hAnsi="Arial"/>
                <w:sz w:val="18"/>
                <w:szCs w:val="18"/>
                <w:color w:val="auto"/>
                <w:w w:val="99"/>
              </w:rPr>
              <w:t>This JOINDER AGREEMENT, dated as of</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 20</w:t>
            </w:r>
          </w:p>
        </w:tc>
        <w:tc>
          <w:tcPr>
            <w:tcW w:w="6020" w:type="dxa"/>
            <w:vAlign w:val="bottom"/>
            <w:gridSpan w:val="4"/>
          </w:tcPr>
          <w:p>
            <w:pPr>
              <w:ind w:left="220"/>
              <w:spacing w:after="0"/>
              <w:rPr>
                <w:sz w:val="20"/>
                <w:szCs w:val="20"/>
                <w:color w:val="auto"/>
              </w:rPr>
            </w:pPr>
            <w:r>
              <w:rPr>
                <w:rFonts w:ascii="Arial" w:cs="Arial" w:eastAsia="Arial" w:hAnsi="Arial"/>
                <w:sz w:val="18"/>
                <w:szCs w:val="18"/>
                <w:color w:val="auto"/>
                <w:w w:val="91"/>
              </w:rPr>
              <w:t>(this “Joinder”), is delivered pursuant to that certain Tax Receivable Agreement,</w:t>
            </w:r>
          </w:p>
        </w:tc>
      </w:tr>
      <w:tr>
        <w:trPr>
          <w:trHeight w:val="20"/>
        </w:trPr>
        <w:tc>
          <w:tcPr>
            <w:tcW w:w="12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dated as of</w:t>
            </w:r>
          </w:p>
        </w:tc>
        <w:tc>
          <w:tcPr>
            <w:tcW w:w="9740" w:type="dxa"/>
            <w:vAlign w:val="bottom"/>
            <w:gridSpan w:val="6"/>
          </w:tcPr>
          <w:p>
            <w:pPr>
              <w:ind w:left="480"/>
              <w:spacing w:after="0" w:line="196" w:lineRule="exact"/>
              <w:rPr>
                <w:sz w:val="20"/>
                <w:szCs w:val="20"/>
                <w:color w:val="auto"/>
              </w:rPr>
            </w:pPr>
            <w:r>
              <w:rPr>
                <w:rFonts w:ascii="Arial" w:cs="Arial" w:eastAsia="Arial" w:hAnsi="Arial"/>
                <w:sz w:val="18"/>
                <w:szCs w:val="18"/>
                <w:color w:val="auto"/>
                <w:w w:val="89"/>
              </w:rPr>
              <w:t>, 2019 (as amended, restated, amended and restated, supplemented or otherwise modified from time to time, the “Tax Receivable</w:t>
            </w: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0" w:right="360"/>
        <w:spacing w:after="0" w:line="263"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by and among BellRing Brands,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BellRing Brands, LLC, a Delaware limited liability company, and each of the Members from time to time party thereto. Capitalized terms used but not otherwise defined herein have the respective meanings set forth in the Tax Receivable Agreement.</w:t>
      </w:r>
    </w:p>
    <w:p>
      <w:pPr>
        <w:spacing w:after="0" w:line="75" w:lineRule="exact"/>
        <w:rPr>
          <w:sz w:val="20"/>
          <w:szCs w:val="20"/>
          <w:color w:val="auto"/>
        </w:rPr>
      </w:pPr>
    </w:p>
    <w:p>
      <w:pPr>
        <w:ind w:left="10" w:right="720" w:hanging="10"/>
        <w:spacing w:after="0" w:line="277" w:lineRule="auto"/>
        <w:tabs>
          <w:tab w:leader="none" w:pos="19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The undersigned hereby represents and warrants to the Corporation that, as of the date hereof, the undersigned has been assigned an interest in the Tax Receivable Agreement from a Member.</w:t>
      </w:r>
    </w:p>
    <w:p>
      <w:pPr>
        <w:spacing w:after="0" w:line="61" w:lineRule="exact"/>
        <w:rPr>
          <w:rFonts w:ascii="Arial" w:cs="Arial" w:eastAsia="Arial" w:hAnsi="Arial"/>
          <w:sz w:val="18"/>
          <w:szCs w:val="18"/>
          <w:color w:val="auto"/>
        </w:rPr>
      </w:pPr>
    </w:p>
    <w:p>
      <w:pPr>
        <w:ind w:left="10" w:right="60" w:hanging="10"/>
        <w:spacing w:after="0" w:line="259" w:lineRule="auto"/>
        <w:tabs>
          <w:tab w:leader="none" w:pos="19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Upon the execution of this Joinder by the undersigned and delivery hereof to the Corporation, the undersigned hereby is and hereafter will be a Member under the Tax Receivable Agreement and a Party thereto, with all of the rights, privileges and responsibilities of a Member thereunder. The undersigned hereby agrees that it shall comply with and be fully bound by the terms of the Tax Receivable Agreement as if it had been a signatory thereto as of the date thereof.</w:t>
      </w:r>
    </w:p>
    <w:p>
      <w:pPr>
        <w:spacing w:after="0" w:line="77" w:lineRule="exact"/>
        <w:rPr>
          <w:rFonts w:ascii="Arial" w:cs="Arial" w:eastAsia="Arial" w:hAnsi="Arial"/>
          <w:sz w:val="18"/>
          <w:szCs w:val="18"/>
          <w:color w:val="auto"/>
        </w:rPr>
      </w:pPr>
    </w:p>
    <w:p>
      <w:pPr>
        <w:ind w:left="10" w:right="160" w:hanging="10"/>
        <w:spacing w:after="0" w:line="277" w:lineRule="auto"/>
        <w:tabs>
          <w:tab w:leader="none" w:pos="19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Tax Receivable Agreement are hereby incorporated by reference in this Joinder as if set forth herein in full.</w:t>
      </w:r>
    </w:p>
    <w:p>
      <w:pPr>
        <w:spacing w:after="0" w:line="61" w:lineRule="exact"/>
        <w:rPr>
          <w:rFonts w:ascii="Arial" w:cs="Arial" w:eastAsia="Arial" w:hAnsi="Arial"/>
          <w:sz w:val="18"/>
          <w:szCs w:val="18"/>
          <w:color w:val="auto"/>
        </w:rPr>
      </w:pPr>
    </w:p>
    <w:p>
      <w:pPr>
        <w:ind w:left="190" w:hanging="190"/>
        <w:spacing w:after="0"/>
        <w:tabs>
          <w:tab w:leader="none" w:pos="19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Tax Receivable Agreement to the undersigned shall be directed to:</w:t>
      </w:r>
    </w:p>
    <w:p>
      <w:pPr>
        <w:spacing w:after="0" w:line="117" w:lineRule="exact"/>
        <w:rPr>
          <w:sz w:val="20"/>
          <w:szCs w:val="20"/>
          <w:color w:val="auto"/>
        </w:rPr>
      </w:pPr>
    </w:p>
    <w:p>
      <w:pPr>
        <w:ind w:left="45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[City, State, Zip Code]</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[Exhibit A]</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90"/>
          </w:cols>
          <w:pgMar w:left="450" w:top="256" w:right="459" w:bottom="1440" w:gutter="0" w:footer="0" w:header="0"/>
        </w:sectPr>
      </w:pPr>
    </w:p>
    <w:bookmarkStart w:id="461" w:name="page462"/>
    <w:bookmarkEnd w:id="461"/>
    <w:p>
      <w:pPr>
        <w:ind w:left="6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NEW PARTY]</w:t>
      </w:r>
    </w:p>
    <w:p>
      <w:pPr>
        <w:spacing w:after="0" w:line="2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14605</wp:posOffset>
            </wp:positionV>
            <wp:extent cx="25609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wp:posOffset>
            </wp:positionV>
            <wp:extent cx="25609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[Exhibit A]</w:t>
      </w:r>
    </w:p>
    <w:p>
      <w:pPr>
        <w:spacing w:after="0" w:line="15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999"/>
          </w:cols>
          <w:pgMar w:left="460" w:top="274" w:right="1440" w:bottom="1440" w:gutter="0" w:footer="0" w:header="0"/>
        </w:sectPr>
      </w:pPr>
    </w:p>
    <w:bookmarkStart w:id="462" w:name="page463"/>
    <w:bookmarkEnd w:id="462"/>
    <w:tbl>
      <w:tblPr>
        <w:tblLayout w:type="fixed"/>
        <w:tblInd w:w="4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ind w:left="3080"/>
              <w:spacing w:after="0"/>
              <w:rPr>
                <w:sz w:val="20"/>
                <w:szCs w:val="20"/>
                <w:color w:val="auto"/>
              </w:rPr>
            </w:pPr>
            <w:r>
              <w:rPr>
                <w:rFonts w:ascii="Arial" w:cs="Arial" w:eastAsia="Arial" w:hAnsi="Arial"/>
                <w:sz w:val="18"/>
                <w:szCs w:val="18"/>
                <w:b w:val="1"/>
                <w:bCs w:val="1"/>
                <w:color w:val="auto"/>
                <w:w w:val="91"/>
              </w:rPr>
              <w:t>Exhibit 10.7</w:t>
            </w:r>
          </w:p>
        </w:tc>
      </w:tr>
      <w:tr>
        <w:trPr>
          <w:trHeight w:val="647"/>
        </w:trPr>
        <w:tc>
          <w:tcPr>
            <w:tcW w:w="3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40" w:type="dxa"/>
            <w:vAlign w:val="bottom"/>
            <w:gridSpan w:val="2"/>
          </w:tcPr>
          <w:p>
            <w:pPr>
              <w:jc w:val="center"/>
              <w:ind w:right="840"/>
              <w:spacing w:after="0"/>
              <w:rPr>
                <w:sz w:val="20"/>
                <w:szCs w:val="20"/>
                <w:color w:val="auto"/>
              </w:rPr>
            </w:pPr>
            <w:r>
              <w:rPr>
                <w:rFonts w:ascii="Arial" w:cs="Arial" w:eastAsia="Arial" w:hAnsi="Arial"/>
                <w:sz w:val="18"/>
                <w:szCs w:val="18"/>
                <w:color w:val="auto"/>
                <w:w w:val="93"/>
              </w:rPr>
              <w:t>FORM OF</w:t>
            </w:r>
          </w:p>
        </w:tc>
        <w:tc>
          <w:tcPr>
            <w:tcW w:w="402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294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MASTER SERVICES AGREEMENT</w:t>
            </w:r>
          </w:p>
        </w:tc>
        <w:tc>
          <w:tcPr>
            <w:tcW w:w="4020" w:type="dxa"/>
            <w:vAlign w:val="bottom"/>
          </w:tcPr>
          <w:p>
            <w:pPr>
              <w:spacing w:after="0"/>
              <w:rPr>
                <w:sz w:val="24"/>
                <w:szCs w:val="24"/>
                <w:color w:val="auto"/>
              </w:rPr>
            </w:pPr>
          </w:p>
        </w:tc>
      </w:tr>
      <w:tr>
        <w:trPr>
          <w:trHeight w:val="391"/>
        </w:trPr>
        <w:tc>
          <w:tcPr>
            <w:tcW w:w="6540" w:type="dxa"/>
            <w:vAlign w:val="bottom"/>
            <w:gridSpan w:val="4"/>
          </w:tcPr>
          <w:p>
            <w:pPr>
              <w:spacing w:after="0"/>
              <w:rPr>
                <w:sz w:val="20"/>
                <w:szCs w:val="20"/>
                <w:color w:val="auto"/>
              </w:rPr>
            </w:pPr>
            <w:r>
              <w:rPr>
                <w:rFonts w:ascii="Arial" w:cs="Arial" w:eastAsia="Arial" w:hAnsi="Arial"/>
                <w:sz w:val="18"/>
                <w:szCs w:val="18"/>
                <w:color w:val="auto"/>
              </w:rPr>
              <w:t>This MASTER SERVICES AGREEMENT (this “Agreement”), dated as of</w:t>
            </w:r>
          </w:p>
        </w:tc>
        <w:tc>
          <w:tcPr>
            <w:tcW w:w="4020" w:type="dxa"/>
            <w:vAlign w:val="bottom"/>
          </w:tcPr>
          <w:p>
            <w:pPr>
              <w:ind w:left="40"/>
              <w:spacing w:after="0"/>
              <w:rPr>
                <w:sz w:val="20"/>
                <w:szCs w:val="20"/>
                <w:color w:val="auto"/>
              </w:rPr>
            </w:pPr>
            <w:r>
              <w:rPr>
                <w:rFonts w:ascii="Arial" w:cs="Arial" w:eastAsia="Arial" w:hAnsi="Arial"/>
                <w:sz w:val="18"/>
                <w:szCs w:val="18"/>
                <w:color w:val="auto"/>
                <w:w w:val="94"/>
              </w:rPr>
              <w:t>, 2019, is made by and among Post Holdings, Inc., a</w:t>
            </w:r>
          </w:p>
        </w:tc>
      </w:tr>
      <w:tr>
        <w:trPr>
          <w:trHeight w:val="20"/>
        </w:trPr>
        <w:tc>
          <w:tcPr>
            <w:tcW w:w="3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BellRing Inc.</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BellRing Inc., BellRing, LLC and Post are parties to that certain Master Transaction Agreement, dated as of _______________, 2019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w:t>
      </w:r>
    </w:p>
    <w:p>
      <w:pPr>
        <w:spacing w:after="0" w:line="102" w:lineRule="exact"/>
        <w:rPr>
          <w:sz w:val="20"/>
          <w:szCs w:val="20"/>
          <w:color w:val="auto"/>
        </w:rPr>
      </w:pPr>
    </w:p>
    <w:p>
      <w:pPr>
        <w:ind w:right="500" w:firstLine="440"/>
        <w:spacing w:after="0" w:line="341" w:lineRule="auto"/>
        <w:rPr>
          <w:sz w:val="20"/>
          <w:szCs w:val="20"/>
          <w:color w:val="auto"/>
        </w:rPr>
      </w:pPr>
      <w:r>
        <w:rPr>
          <w:rFonts w:ascii="Arial" w:cs="Arial" w:eastAsia="Arial" w:hAnsi="Arial"/>
          <w:sz w:val="16"/>
          <w:szCs w:val="16"/>
          <w:color w:val="auto"/>
        </w:rPr>
        <w:t>B. As part of the transactions described in the Transaction Agreement, Post has agreed to provide or cause to be provided certain services to BellRing Inc., BellRing LLC or BellRing LLC’s Subsidiaries from and after the Effective Time on the terms and conditions set forth herein.</w:t>
      </w:r>
    </w:p>
    <w:p>
      <w:pPr>
        <w:spacing w:after="0" w:line="1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 CONSTRUCTION</w:t>
      </w:r>
    </w:p>
    <w:p>
      <w:pPr>
        <w:spacing w:after="0" w:line="21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u w:val="single" w:color="auto"/>
          <w:color w:val="auto"/>
        </w:rPr>
        <w:t>Section 1.1 Certain Defined Terms</w:t>
      </w:r>
      <w:r>
        <w:rPr>
          <w:rFonts w:ascii="Arial" w:cs="Arial" w:eastAsia="Arial" w:hAnsi="Arial"/>
          <w:sz w:val="18"/>
          <w:szCs w:val="18"/>
          <w:color w:val="auto"/>
        </w:rPr>
        <w:t>. Unless otherwise provided herein, the capitalized terms used herein shall have the meanings given to them in the Transaction Agreement. In addition to the other terms defined elsewhere in this Agreement, for the purposes of this Agreement, the following terms shall have the meaning set forth below:</w:t>
      </w:r>
    </w:p>
    <w:p>
      <w:pPr>
        <w:spacing w:after="0" w:line="183"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Law(s) in any jurisdiction applicable to a given activity, service, situation, circumstance, Service Provider, Recipient, other Person or provider, this Agreement or the rights, obligations and benefits of the parties hereunder, including the performance or receipt of any Service hereunder.</w:t>
      </w:r>
    </w:p>
    <w:p>
      <w:pPr>
        <w:spacing w:after="0" w:line="183"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Change of Control</w:t>
      </w:r>
      <w:r>
        <w:rPr>
          <w:rFonts w:ascii="Arial" w:cs="Arial" w:eastAsia="Arial" w:hAnsi="Arial"/>
          <w:sz w:val="18"/>
          <w:szCs w:val="18"/>
          <w:color w:val="auto"/>
        </w:rPr>
        <w:t>” of BellRing Inc., BellRing LLC and each of the other Recipients shall have occurred in the event any transaction or series of transactions (however structured or evidenced) is/are consummated:</w:t>
      </w:r>
    </w:p>
    <w:p>
      <w:pPr>
        <w:spacing w:after="0" w:line="62" w:lineRule="exact"/>
        <w:rPr>
          <w:sz w:val="20"/>
          <w:szCs w:val="20"/>
          <w:color w:val="auto"/>
        </w:rPr>
      </w:pPr>
    </w:p>
    <w:p>
      <w:pPr>
        <w:ind w:right="40" w:firstLine="981"/>
        <w:spacing w:after="0" w:line="254" w:lineRule="auto"/>
        <w:tabs>
          <w:tab w:leader="none" w:pos="123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which result(s) in Post no longer controlling more than 50% of the combined voting power of the capital stock of BellRing Inc. entitled to vote generally in the election of directors of BellRing Inc. (including, for avoidance of doubt, (x) the granting or entry into by Post or any of its Affiliates (other than BellRing Inc. or any of its Subsidiaries) of proxies, voting agreements or other voting arrangements with third parties in accordance with the BellRing Limited Liability Company Agreement pursuant to which such third parties have the right to direct how Post or any of its Affiliates (other than BellRing Inc. or any of its Subsidiaries) shall cast all or a portion of the votes to which the Class B Common Stock of BellRing Inc. is entitled, or (y) the distribution by Post of its retained beneficial interest in BellRing Inc. by means of a tax-free spin-off or split-off to its shareholders (however structured)),</w:t>
      </w:r>
    </w:p>
    <w:p>
      <w:pPr>
        <w:sectPr>
          <w:pgSz w:w="11900" w:h="16838" w:orient="portrait"/>
          <w:cols w:equalWidth="0" w:num="1">
            <w:col w:w="11000"/>
          </w:cols>
          <w:pgMar w:left="460" w:top="122" w:right="439" w:bottom="1440" w:gutter="0" w:footer="0" w:header="0"/>
        </w:sectPr>
      </w:pPr>
    </w:p>
    <w:bookmarkStart w:id="463" w:name="page464"/>
    <w:bookmarkEnd w:id="463"/>
    <w:p>
      <w:pPr>
        <w:ind w:right="100" w:firstLine="981"/>
        <w:spacing w:after="0" w:line="277" w:lineRule="auto"/>
        <w:tabs>
          <w:tab w:leader="none" w:pos="1245"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involve(s) the sale, assignment, conveyance, transfer, lease or other disposition of all or substantially all of the assets of BellRing Inc. and its Subsidiaries taken as a whole, or</w:t>
      </w:r>
    </w:p>
    <w:p>
      <w:pPr>
        <w:spacing w:after="0" w:line="61" w:lineRule="exact"/>
        <w:rPr>
          <w:rFonts w:ascii="Arial" w:cs="Arial" w:eastAsia="Arial" w:hAnsi="Arial"/>
          <w:sz w:val="18"/>
          <w:szCs w:val="18"/>
          <w:color w:val="auto"/>
        </w:rPr>
      </w:pPr>
    </w:p>
    <w:p>
      <w:pPr>
        <w:ind w:right="700" w:firstLine="981"/>
        <w:spacing w:after="0" w:line="277" w:lineRule="auto"/>
        <w:tabs>
          <w:tab w:leader="none" w:pos="12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which (i) result(s) in such Recipient no longer being a direct or indirect Subsidiary of BellRing Inc. or (ii) involve(s) the sale, assignment, conveyance, transfer, lease or other disposition of all or substantially all of the assets of such Recipient.</w:t>
      </w:r>
    </w:p>
    <w:p>
      <w:pPr>
        <w:spacing w:after="0" w:line="170"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xml:space="preserve">” shall mean, with regard to Post, a “Change in Control” as defined in the Post Holdings, Inc. 2019 Long-Term Incentive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requirement in such definition that an event described therein must also constitute a “change in control event” under Section 409A of the Code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to, or be required to be considered, a “</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for the purposes of this Agreement.</w:t>
      </w:r>
    </w:p>
    <w:p>
      <w:pPr>
        <w:spacing w:after="0" w:line="14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as applicable, BellRing LLC or one of its Subsidiaries and, with respect to its operation as a public holding company, BellRing Inc., to the extent any such entity is receiving Services pursuant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Post or one of its Affiliates to the extent such entity is providing Services pursuant to this Agreement.</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the services described on the schedules forming </w:t>
      </w:r>
      <w:r>
        <w:rPr>
          <w:rFonts w:ascii="Arial" w:cs="Arial" w:eastAsia="Arial" w:hAnsi="Arial"/>
          <w:sz w:val="18"/>
          <w:szCs w:val="18"/>
          <w:u w:val="single" w:color="auto"/>
          <w:color w:val="auto"/>
        </w:rPr>
        <w:t>Exhibit A</w:t>
      </w:r>
      <w:r>
        <w:rPr>
          <w:rFonts w:ascii="Arial" w:cs="Arial" w:eastAsia="Arial" w:hAnsi="Arial"/>
          <w:sz w:val="18"/>
          <w:szCs w:val="18"/>
          <w:color w:val="auto"/>
        </w:rPr>
        <w:t>, attached hereto and incorporated herein by this reference (collectively, the “</w:t>
      </w:r>
      <w:r>
        <w:rPr>
          <w:rFonts w:ascii="Arial" w:cs="Arial" w:eastAsia="Arial" w:hAnsi="Arial"/>
          <w:sz w:val="18"/>
          <w:szCs w:val="18"/>
          <w:u w:val="single" w:color="auto"/>
          <w:color w:val="auto"/>
        </w:rPr>
        <w:t>Services Schedules</w:t>
      </w:r>
      <w:r>
        <w:rPr>
          <w:rFonts w:ascii="Arial" w:cs="Arial" w:eastAsia="Arial" w:hAnsi="Arial"/>
          <w:sz w:val="18"/>
          <w:szCs w:val="18"/>
          <w:color w:val="auto"/>
        </w:rPr>
        <w:t>” and each a “</w:t>
      </w:r>
      <w:r>
        <w:rPr>
          <w:rFonts w:ascii="Arial" w:cs="Arial" w:eastAsia="Arial" w:hAnsi="Arial"/>
          <w:sz w:val="18"/>
          <w:szCs w:val="18"/>
          <w:u w:val="single" w:color="auto"/>
          <w:color w:val="auto"/>
        </w:rPr>
        <w:t>Services Schedule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 Interpretive Matters</w:t>
      </w:r>
      <w:r>
        <w:rPr>
          <w:rFonts w:ascii="Arial" w:cs="Arial" w:eastAsia="Arial" w:hAnsi="Arial"/>
          <w:sz w:val="18"/>
          <w:szCs w:val="18"/>
          <w:color w:val="auto"/>
        </w:rPr>
        <w:t>.</w:t>
      </w:r>
    </w:p>
    <w:p>
      <w:pPr>
        <w:spacing w:after="0" w:line="117" w:lineRule="exact"/>
        <w:rPr>
          <w:sz w:val="20"/>
          <w:szCs w:val="20"/>
          <w:color w:val="auto"/>
        </w:rPr>
      </w:pPr>
    </w:p>
    <w:p>
      <w:pPr>
        <w:ind w:firstLine="981"/>
        <w:spacing w:after="0" w:line="268" w:lineRule="auto"/>
        <w:tabs>
          <w:tab w:leader="none" w:pos="123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Except as otherwise provided or unless the context otherwise requires, whenever used in this Agreement, (i) any noun or pronoun shall be deemed to include the plural and the singular, (ii) the use of masculine pronouns shall include the feminine and neuter, (iii) the terms “include” and “including” shall be deemed to be followed by the phrase “without limitation,” (iv) the word “or” shall be inclusive and not exclusive, (v) all references to Sections refer to the Sections of this Agreement, and all references to Exhibits refer to the Exhibits attached to this Agreement, (vi) each reference to “herein” means a reference to “in this Agreement,” (vii) each reference to “$” or “dollars” shall be to United States dollars, (viii) each reference to “days” shall be to calendar days, (ix) the word “extent” in the phrase “to the extent” shall mean the degree to which a subject or other thing extends, and such phrase shall not mean simply “if” (x) each reference to any contract or agreement shall be to such contract or agreement as amended, supplemented, waived or otherwise modified from time to time, (xi) unless expressly provided otherwise, the measure of a period of one month or year for purposes of this Agreement shall be that date of the following month or year corresponding to the starting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no corresponding date exists, the measure shall be that date of the following month or year corresponding to the next day following the starting date (for example, one month following February 18 is March 18, and one month following March 31 is May 1), (xii) a reference to an entity includes any successor entity, whether by way of merger, amalgamation, consolidation or other business combination and (xiii) if any payment required to be made hereunder is required to be made on a day that is not a Business Day, then, instead of such day, such payment shall be made on the immediately succeeding Business Day.</w:t>
      </w:r>
    </w:p>
    <w:p>
      <w:pPr>
        <w:spacing w:after="0" w:line="73" w:lineRule="exact"/>
        <w:rPr>
          <w:rFonts w:ascii="Arial" w:cs="Arial" w:eastAsia="Arial" w:hAnsi="Arial"/>
          <w:sz w:val="17"/>
          <w:szCs w:val="17"/>
          <w:color w:val="auto"/>
        </w:rPr>
      </w:pPr>
    </w:p>
    <w:p>
      <w:pPr>
        <w:ind w:firstLine="981"/>
        <w:spacing w:after="0" w:line="259" w:lineRule="auto"/>
        <w:tabs>
          <w:tab w:leader="none" w:pos="124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headings contained in this Agreement and in any Exhibit hereto are for reference purposes only and shall not affect in any way the meaning or interpretation of this Agreement. The provisions of this Agreement shall be construed according to their fair meaning and neither for nor against any party hereto irrespective of which party caused such provisions to be drafted. Each of the parties hereto acknowledges that it has been represented by an attorney in connection with the preparation and execution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60" w:top="274" w:right="499" w:bottom="1440" w:gutter="0" w:footer="0" w:header="0"/>
        </w:sectPr>
      </w:pPr>
    </w:p>
    <w:bookmarkStart w:id="464" w:name="page465"/>
    <w:bookmarkEnd w:id="464"/>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SERVICES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2.1 Services and Contracts.</w:t>
      </w:r>
    </w:p>
    <w:p>
      <w:pPr>
        <w:spacing w:after="0" w:line="117" w:lineRule="exact"/>
        <w:rPr>
          <w:sz w:val="20"/>
          <w:szCs w:val="20"/>
          <w:color w:val="auto"/>
        </w:rPr>
      </w:pPr>
    </w:p>
    <w:p>
      <w:pPr>
        <w:ind w:right="60" w:firstLine="981"/>
        <w:spacing w:after="0" w:line="254" w:lineRule="auto"/>
        <w:tabs>
          <w:tab w:leader="none" w:pos="1235"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Service Provider shall provide, or cause to be provided, to Recipient or its Subsidiaries, the Services. For each Service,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sets forth, among other things, a description of the Service to be provided, the fees to be paid in respect thereof, and, if applicable, any other terms or standards applicable thereto. Service Provider shall perform, or cause to be performed, the Services (i) in a commercially reasonable manner with a degree of care, and at a level of quality, timeliness, efficacy, priority and service, at least consistent with that provided by Service Provider or its Affiliates to similarly-situated Affiliates of Post (i.e., Affiliates of Post that are of similar size and operations and are similarly relying on Service Provider or its Affiliates for such or similar services) and (ii) in accordance with applicable industry standards and any specific terms and/or performance standards set forth in this Agreement and the relevant Services Schedule. In providing the Services, Service Provider shall comply with all Applicable Laws.</w:t>
      </w:r>
    </w:p>
    <w:p>
      <w:pPr>
        <w:spacing w:after="0" w:line="82" w:lineRule="exact"/>
        <w:rPr>
          <w:rFonts w:ascii="Arial" w:cs="Arial" w:eastAsia="Arial" w:hAnsi="Arial"/>
          <w:sz w:val="18"/>
          <w:szCs w:val="18"/>
          <w:color w:val="auto"/>
        </w:rPr>
      </w:pPr>
    </w:p>
    <w:p>
      <w:pPr>
        <w:ind w:firstLine="981"/>
        <w:spacing w:after="0" w:line="285" w:lineRule="auto"/>
        <w:tabs>
          <w:tab w:leader="none" w:pos="1245"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Contracts</w:t>
      </w:r>
      <w:r>
        <w:rPr>
          <w:rFonts w:ascii="Arial" w:cs="Arial" w:eastAsia="Arial" w:hAnsi="Arial"/>
          <w:sz w:val="16"/>
          <w:szCs w:val="16"/>
          <w:color w:val="auto"/>
        </w:rPr>
        <w:t>. Post and its Subsidiaries have certain contracts or agreements under which it and its Affiliates may purchase, procure, use or utilize goods and/or services as an Affiliate of Post and/or the given contracting Affiliate of Post (collectively the “</w:t>
      </w:r>
      <w:r>
        <w:rPr>
          <w:rFonts w:ascii="Arial" w:cs="Arial" w:eastAsia="Arial" w:hAnsi="Arial"/>
          <w:sz w:val="16"/>
          <w:szCs w:val="16"/>
          <w:u w:val="single" w:color="auto"/>
          <w:color w:val="auto"/>
        </w:rPr>
        <w:t>Shared Contracts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Shared Contract</w:t>
      </w:r>
      <w:r>
        <w:rPr>
          <w:rFonts w:ascii="Arial" w:cs="Arial" w:eastAsia="Arial" w:hAnsi="Arial"/>
          <w:sz w:val="16"/>
          <w:szCs w:val="16"/>
          <w:color w:val="auto"/>
        </w:rPr>
        <w:t xml:space="preserve">”). Shared Contracts will change from time to time in the ordinary course of Post’s and the applicable Affiliate’s business, and none of Post or any of its Affiliates are obligated to have or maintain any, or any certain, Shared Contract(s) during the term of this Agreement. Pursuant to the terms of the given Shared Contract, Recipient, as an Affiliate of Post or the given contracting Post Subsidiary, may have the right to purchase, procure, use or utilize goods and/or services and/or to execute purchase orders or statements of work (jointly and/or separately from Service Provider) under such Shared Contract. Service Provider agrees to use commercially reasonable efforts to facilitate Recipient’s receipt of goods and/or services and/or execution of purchase orders or statements of work under the Shared Contracts. Service Provider further agrees to use commercially reasonable efforts to ensure that Recipient is treated on the same or substantially similar terms as similarly-situated Affiliates of Post. Service Provider shall notify Recipient of any material changes to Shared Contracts that could affect Recipient’s receipt of the Services. All fees, costs and expenses associated with Recipient’s receipt of any goods and/or services under the Shared Contracts that are incurred by Service Provider shall be reimbursable out-of-pocket expenses passed-through to and payable by Recipient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Recipient and each of its Subsidiaries shall comply with each Shared Contract to the extent that such Shared Contract is applicable to Recipient or such Subsidiary and, upon Recipient’s request, either a copy of such Shared Contract shall be made available to Recipient (with any information reasonably considered by Service Provider to be proprietary or confidential redacted) or a summary of the substantive purchase or use terms of such Shared Contract that are applicable to Recipient or its Subsidiary shall be made available to Recipient. Service Provider and each of its Affiliates shall comply with each Shared Contract to the extent such Shared Contract is applicable to Service Provider or such Affiliate.</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u w:val="single" w:color="auto"/>
          <w:color w:val="auto"/>
        </w:rPr>
        <w:t>Section 2.2 Modification of Existing Services</w:t>
      </w:r>
      <w:r>
        <w:rPr>
          <w:rFonts w:ascii="Arial" w:cs="Arial" w:eastAsia="Arial" w:hAnsi="Arial"/>
          <w:sz w:val="18"/>
          <w:szCs w:val="18"/>
          <w:color w:val="auto"/>
        </w:rPr>
        <w:t>. From time to time, Recipient or Service Provider may desire to implement changes to the Services. Such party will notify the other party through its Service Manager (as defined below) of the desired change. The parties will discuss in good faith the nature of the modification to the Services and any resulting changes in fees, costs, specifications and scheduling. Changes to Services will only be effective upon the mutual written agreement of the parties.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465" w:name="page466"/>
    <w:bookmarkEnd w:id="465"/>
    <w:p>
      <w:pPr>
        <w:ind w:right="80" w:firstLine="440"/>
        <w:spacing w:after="0" w:line="29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2.3 Additional Services</w:t>
      </w:r>
      <w:r>
        <w:rPr>
          <w:rFonts w:ascii="Arial" w:cs="Arial" w:eastAsia="Arial" w:hAnsi="Arial"/>
          <w:sz w:val="16"/>
          <w:szCs w:val="16"/>
          <w:color w:val="auto"/>
        </w:rPr>
        <w:t>. If Recipient reasonably requests that Service Provider perform additional services not included within the scope of the Services specified in this Agreement that are necessary for, with respect to BellRing LLC, the operation of Recipient’s or one of its Subsidiaries’ business or, with respect to BellRing Inc., its operation as a public holding company, then the parties will promptly negotiate in good faith regarding whether such additional services should be added to this Agreement and any additional charges that will be paid by Recipient for such additional services. Service Provider will not be obligated to perform any additional services unless the parties so agree in writing.</w:t>
      </w:r>
    </w:p>
    <w:p>
      <w:pPr>
        <w:spacing w:after="0" w:line="160"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u w:val="single" w:color="auto"/>
          <w:color w:val="auto"/>
        </w:rPr>
        <w:t>Section 2.4 Subcontractors; Service Providers</w:t>
      </w:r>
      <w:r>
        <w:rPr>
          <w:rFonts w:ascii="Arial" w:cs="Arial" w:eastAsia="Arial" w:hAnsi="Arial"/>
          <w:sz w:val="16"/>
          <w:szCs w:val="16"/>
          <w:color w:val="auto"/>
        </w:rPr>
        <w:t xml:space="preserve">. The Services may, at Service Provider’s sole discretion, be provided in whole or in part by Affiliates of Service Provider or by third party subcontractors or service providers selected by Service Provider, </w:t>
      </w:r>
      <w:r>
        <w:rPr>
          <w:rFonts w:ascii="Arial" w:cs="Arial" w:eastAsia="Arial" w:hAnsi="Arial"/>
          <w:sz w:val="16"/>
          <w:szCs w:val="16"/>
          <w:u w:val="single" w:color="auto"/>
          <w:color w:val="auto"/>
        </w:rPr>
        <w:t>provided that</w:t>
      </w:r>
      <w:r>
        <w:rPr>
          <w:rFonts w:ascii="Arial" w:cs="Arial" w:eastAsia="Arial" w:hAnsi="Arial"/>
          <w:sz w:val="16"/>
          <w:szCs w:val="16"/>
          <w:color w:val="auto"/>
        </w:rPr>
        <w:t>, Service Provider shall obtain Recipient’s prior written consent to subcontract any Service in whole to a third party subcontractor or service provider that is not an Affiliate of the Service Provider where such Service will be provided by such third party subcontractor or service provider solely to Recipient (i.e., consent is not required for Service Provider’s subcontracts where services are performed for Post or its other Affiliates along with Recipient, but consent is required for any subcontract to be dedicated to Recipient alone). Service Provider shall retain responsibility for the provision to Recipient of any Services regardless of whether such Service is performed by any such Affiliate, third party subcontractor or third party service provider.</w:t>
      </w:r>
    </w:p>
    <w:p>
      <w:pPr>
        <w:spacing w:after="0" w:line="16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u w:val="single" w:color="auto"/>
          <w:color w:val="auto"/>
        </w:rPr>
        <w:t>Section 2.5 Personnel</w:t>
      </w:r>
      <w:r>
        <w:rPr>
          <w:rFonts w:ascii="Arial" w:cs="Arial" w:eastAsia="Arial" w:hAnsi="Arial"/>
          <w:sz w:val="16"/>
          <w:szCs w:val="16"/>
          <w:color w:val="auto"/>
        </w:rPr>
        <w:t>. All Service Provider’s (or its Affiliates’, third party contractors’ or service providers’) personnel providing Services under this Agreement will be under the direction, control, and supervision of Service Provider, and Service Provider will have the sole right to exercise all authority with respect to the employment, termination, assignment and compensation of Service Provider’s (or such Affiliates’, third party contractors’ or service providers’) personnel. Service Provider is not obligated to hire any additional employees or maintain the employment of any specific employee. All Service Provider’s (or such Affiliates’, third party contractors’ or service providers’) personnel providing Services under this Agreement will be deemed to be representatives solely of Service Provider (or such Affiliates, third party contractors or service providers) for purposes of all compensation and (as applicable) employee benefits and not to be employees or representatives of Recipient.</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Section 2.6 Compliance with Policies; Safety of Personnel</w:t>
      </w:r>
      <w:r>
        <w:rPr>
          <w:rFonts w:ascii="Arial" w:cs="Arial" w:eastAsia="Arial" w:hAnsi="Arial"/>
          <w:sz w:val="17"/>
          <w:szCs w:val="17"/>
          <w:color w:val="auto"/>
        </w:rPr>
        <w:t>. Recipient acknowledges that Service Provider has instituted and may continue to institute and revise a variety of policies and procedures related to its operations and the provision of the Services. Service Provider shall perform all Services in a manner that is consistent with such policies and procedures of Service Provider and any reasonable policies and procedures of Recipient, including, in each case, those relating to anti-trust, health, safety and environmental laws, to the extent that (i) such policies and procedures of Recipient have been provided to Service Provider, (ii) such policies and procedures of Recipient do not conflict with Service Provider’s own policies and procedures and (iii) the subject Services are not also being jointly performed for Post or one or more of its Affiliates. Service Provider shall use reasonable efforts to provide Recipient with advance written notice in the event Service Provider believes any Service is not consistent with Recipient’s policies or procedures where the same would have a material adverse effect on the Services to be provided. To the extent Services are performed onsite at Recipient’s place(s) of business, Service Provider will be permitted to withdraw any personnel providing Services at that time if Service Provider has a reasonable opinion that such personnel face any risk to their personal safety.</w:t>
      </w:r>
    </w:p>
    <w:p>
      <w:pPr>
        <w:spacing w:after="0" w:line="183"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u w:val="single" w:color="auto"/>
          <w:color w:val="auto"/>
        </w:rPr>
        <w:t>Section 2.7 Third Party Costs and Consents</w:t>
      </w:r>
      <w:r>
        <w:rPr>
          <w:rFonts w:ascii="Arial" w:cs="Arial" w:eastAsia="Arial" w:hAnsi="Arial"/>
          <w:sz w:val="18"/>
          <w:szCs w:val="18"/>
          <w:color w:val="auto"/>
        </w:rPr>
        <w:t>. The parties will work together to obtain any consents required for the provision of the Services for Recipient by the applicable Service Provider hereunder (the “</w:t>
      </w: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Service Provider shall directly pay any amounts that are required to be paid to any licensors or third party providers in order to obtain the Required Consents that are necessary for the provision of the Services to Recipient, including without limitation, any consent or documentation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costs associated with the purchase or maintenance of additional licenses or use rights required for Recipient to use or utilize a given product or service that is being provided as a Service hereunder will be reimbursable out-of-pocket expenses paid by Recipient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For example, if a given Service involves providing Recipient (for its own use)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60" w:top="273" w:right="499" w:bottom="1440" w:gutter="0" w:footer="0" w:header="0"/>
        </w:sectPr>
      </w:pPr>
    </w:p>
    <w:bookmarkStart w:id="466" w:name="page467"/>
    <w:bookmarkEnd w:id="46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 licenses of “Software Product X,” the costs associated with purchasing and maintaining such 40 licenses will be reimbursed by Recipient, but the costs associated with obtaining the consent from the third party provider of “Software Product X” necessary for Recipient to use such 40 licenses under Post’s license agreement with such third party provider (if such consent is required) would be Service Provider’s responsibility. Notwithstanding anything contained in this Agreement or the Transaction Agreement, Service Provider shall not be required to provide any Services to the extent that a Required Consent is needed for such Services and such Required Consent has not been, or cannot be, obtained despite Service Provider’s commercially reasonable attempts to do so, or if providing such Services would otherwise violate the terms of any of Service Provider’s agreements with its third party providers. Notwithstanding the foregoing, if Service Provider is not able to obtain any such Required Consent, despite Service Provider’s commercially reasonable attempts to do so, Service Provider shall promptly notify Recipient thereof and the parties will work together to arrange an alternative means of providing such Service or for Recipient to receive the Service, which may include Recipient obtaining replacement services directly from a third party provider.</w:t>
      </w:r>
    </w:p>
    <w:p>
      <w:pPr>
        <w:spacing w:after="0" w:line="183"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auto"/>
        </w:rPr>
        <w:t>Section 2.8 Services Managers</w:t>
      </w:r>
      <w:r>
        <w:rPr>
          <w:rFonts w:ascii="Arial" w:cs="Arial" w:eastAsia="Arial" w:hAnsi="Arial"/>
          <w:sz w:val="18"/>
          <w:szCs w:val="18"/>
          <w:color w:val="auto"/>
        </w:rPr>
        <w:t>. Service Provider and Recipient shall select one or more service managers (each a “</w:t>
      </w:r>
      <w:r>
        <w:rPr>
          <w:rFonts w:ascii="Arial" w:cs="Arial" w:eastAsia="Arial" w:hAnsi="Arial"/>
          <w:sz w:val="18"/>
          <w:szCs w:val="18"/>
          <w:u w:val="single" w:color="auto"/>
          <w:color w:val="auto"/>
        </w:rPr>
        <w:t>Service Manager</w:t>
      </w:r>
      <w:r>
        <w:rPr>
          <w:rFonts w:ascii="Arial" w:cs="Arial" w:eastAsia="Arial" w:hAnsi="Arial"/>
          <w:sz w:val="18"/>
          <w:szCs w:val="18"/>
          <w:color w:val="auto"/>
        </w:rPr>
        <w:t xml:space="preserve">”) to act as its primary contact person(s) for the provision or receipt, as applicable, of the Services. Communications relating to the provision of the particular Services shall be directed to the applicable Service Manager of the other party. A party may change a Service Manager upon prior written notice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before assigning a new Service Manager, such party will notify the other of the proposed assignment, introduce the individual to the appropriate representatives of the other party and provide such party with any information regarding the individual that may be reasonably requested by the other party. Service Provider’s Service Manager shall initially be Bryan Schack. Recipient’s Service Manager shall initially be Paul Rode.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 OF SERVICES</w:t>
      </w:r>
    </w:p>
    <w:p>
      <w:pPr>
        <w:spacing w:after="0" w:line="21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u w:val="single" w:color="auto"/>
          <w:color w:val="auto"/>
        </w:rPr>
        <w:t>Section 3.1 No Secondment</w:t>
      </w:r>
      <w:r>
        <w:rPr>
          <w:rFonts w:ascii="Arial" w:cs="Arial" w:eastAsia="Arial" w:hAnsi="Arial"/>
          <w:sz w:val="18"/>
          <w:szCs w:val="18"/>
          <w:color w:val="auto"/>
        </w:rPr>
        <w:t>. For the avoidance of doubt, Service Provider is not under any obligation to second or procure the secondment to Recipient of any employee or other personnel in connection with the provision of the Services.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u w:val="single" w:color="auto"/>
          <w:color w:val="auto"/>
        </w:rPr>
        <w:t>Section 3.2 Access to and Use of Facilities</w:t>
      </w:r>
      <w:r>
        <w:rPr>
          <w:rFonts w:ascii="Arial" w:cs="Arial" w:eastAsia="Arial" w:hAnsi="Arial"/>
          <w:sz w:val="18"/>
          <w:szCs w:val="18"/>
          <w:color w:val="auto"/>
        </w:rPr>
        <w:t>. To the extent reasonably required to perform the Services hereunder, Recipient will provide (or as necessary will cause its Affiliates to provide) Service Provider with access to and use of such Recipient’s applicable facilities. Recipient shall provide all information reasonably required or requested by Service Provider to perform its obligations under this Agreement. Any visit to any of Recipient’s facilities required in connection with the Services will be provided at Recipient’s sole risk except with respect to any violation of Law, negligence or willful misconduct by Service Provider, its Affiliates or its or their respective Representatives. Recipient shall be liable for, and shall fully defend, indemnify and hold Service Provider and its Affiliates harmless from, any and all injuries or death suffered by any Service Provider personnel arising in connection with any visit by such personnel to Recipient’s facilities to the extent such injury or death is caused by Recipient’s violation of Law, negligence or willful misconduct.</w:t>
      </w:r>
    </w:p>
    <w:p>
      <w:pPr>
        <w:spacing w:after="0" w:line="19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auto"/>
        </w:rPr>
        <w:t>Section 3.3 Dispute Resolution</w:t>
      </w:r>
      <w:r>
        <w:rPr>
          <w:rFonts w:ascii="Arial" w:cs="Arial" w:eastAsia="Arial" w:hAnsi="Arial"/>
          <w:sz w:val="17"/>
          <w:szCs w:val="17"/>
          <w:color w:val="auto"/>
        </w:rPr>
        <w:t xml:space="preserve">. In the event that the parties are unable to agree upon any matters related to the performance of Services under this Agreement, the disputed matter will be first referred to the Service Managers for resolution. If a mutually acceptable agreement is not reached within a reasonable time, the matter will then be referred to the applicable senior management at each party hereto for resolution. Thereafter, the parties may seek the other rights and remedies available to such party.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no way limits, delays or restricts a party’s ability to seek specific performance, injunctive relief or other equitable relief as provided under </w:t>
      </w:r>
      <w:r>
        <w:rPr>
          <w:rFonts w:ascii="Arial" w:cs="Arial" w:eastAsia="Arial" w:hAnsi="Arial"/>
          <w:sz w:val="17"/>
          <w:szCs w:val="17"/>
          <w:u w:val="single" w:color="auto"/>
          <w:color w:val="auto"/>
        </w:rPr>
        <w:t>Section 12.12</w:t>
      </w:r>
      <w:r>
        <w:rPr>
          <w:rFonts w:ascii="Arial" w:cs="Arial" w:eastAsia="Arial" w:hAnsi="Arial"/>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FOR SERVICES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4.1 Payment Obligation</w:t>
      </w:r>
      <w:r>
        <w:rPr>
          <w:rFonts w:ascii="Arial" w:cs="Arial" w:eastAsia="Arial" w:hAnsi="Arial"/>
          <w:sz w:val="18"/>
          <w:szCs w:val="18"/>
          <w:color w:val="auto"/>
        </w:rPr>
        <w:t>.</w:t>
      </w:r>
    </w:p>
    <w:p>
      <w:pPr>
        <w:spacing w:after="0" w:line="117" w:lineRule="exact"/>
        <w:rPr>
          <w:sz w:val="20"/>
          <w:szCs w:val="20"/>
          <w:color w:val="auto"/>
        </w:rPr>
      </w:pPr>
    </w:p>
    <w:p>
      <w:pPr>
        <w:ind w:right="40" w:firstLine="981"/>
        <w:spacing w:after="0" w:line="288" w:lineRule="auto"/>
        <w:tabs>
          <w:tab w:leader="none" w:pos="123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Recipient shall pay Service Provider or, to the extent specified on an invoice delivered to Recipient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 applicable Affiliate thereof, the undisputed fees described on the applicable Services Schedule for the Services provided to Recipient by Service Provider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Recipient shall reimburse Service Provider for all reasonable, documented, undisputed out-of-pocket expenses incurred by Service Provider during the rendering of the applicable Services for Recipient (including third party contractors or professional fees and any license, service or access fees, including any third party vendor fees and other third party supply costs). For avoidance of doubt, the monthly costs/fees set forth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any third party costs or pass through expenses (whether separately billed to Recipient or amounts allocated to Recipient out of the overall bill to Service Provider) paid by Service Provider for goods and services used by Recipient, but Service Provider has provided in the footnotes to the Services Schedules estimates of what Service Provider believes, as of the Effective Time, the reimbursable expenses for certain given Services may be. All such third party costs and pass through expenses will be reimbursed by Recipient as provided above. For example, the monthly costs/fees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any license fees paid for any software licenses or services purchased by Service Provider and used by Recipient.</w:t>
      </w:r>
    </w:p>
    <w:p>
      <w:pPr>
        <w:spacing w:after="0" w:line="58" w:lineRule="exact"/>
        <w:rPr>
          <w:rFonts w:ascii="Arial" w:cs="Arial" w:eastAsia="Arial" w:hAnsi="Arial"/>
          <w:sz w:val="16"/>
          <w:szCs w:val="16"/>
          <w:color w:val="auto"/>
        </w:rPr>
      </w:pPr>
    </w:p>
    <w:p>
      <w:pPr>
        <w:ind w:right="40" w:firstLine="981"/>
        <w:spacing w:after="0" w:line="231" w:lineRule="auto"/>
        <w:tabs>
          <w:tab w:leader="none" w:pos="1245"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Monthly Cost/Fee Adjustments</w:t>
      </w:r>
      <w:r>
        <w:rPr>
          <w:rFonts w:ascii="Arial" w:cs="Arial" w:eastAsia="Arial" w:hAnsi="Arial"/>
          <w:sz w:val="17"/>
          <w:szCs w:val="17"/>
          <w:color w:val="auto"/>
        </w:rPr>
        <w:t xml:space="preserve">. Beginning on the anniversary of the Effective Time (starting the next term year), the monthly costs/fees for the given Services for which there has not been a monthly costs/fees adjustment shall automatically increase by two and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percent (2.5%) over the monthly costs/fees charged for such Services during the just completed term year. Such monthly costs shall continue in effect until the monthly costs/fees are again adjusted (whether automatically as provided above or upon mutual agreement of the parties).</w:t>
      </w:r>
    </w:p>
    <w:p>
      <w:pPr>
        <w:spacing w:after="0" w:line="20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u w:val="single" w:color="auto"/>
          <w:color w:val="auto"/>
        </w:rPr>
        <w:t>Section 4.2 Certain Third Party Costs</w:t>
      </w:r>
      <w:r>
        <w:rPr>
          <w:rFonts w:ascii="Arial" w:cs="Arial" w:eastAsia="Arial" w:hAnsi="Arial"/>
          <w:sz w:val="16"/>
          <w:szCs w:val="16"/>
          <w:color w:val="auto"/>
        </w:rPr>
        <w:t>. Recipient acknowledges and agrees that the prices charged by third party suppliers for any goods (e.g., software, raw materials and packaging) and services (e.g., promotions) procured from third party service providers which Service Provider is procuring on Recipient’s behalf as part of the Services provided hereunder may be subject to fluctuation and, as such, Service Provider cannot guarantee that it will be able to maintain certain pricing levels for any such goods or services. Recipient shall reimburse Service Provider for the applicable amounts charged by such third parties to Service Provider to purchase such goods and services, regardless of any such fluctuation in price.</w:t>
      </w:r>
    </w:p>
    <w:p>
      <w:pPr>
        <w:spacing w:after="0" w:line="16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u w:val="single" w:color="auto"/>
          <w:color w:val="auto"/>
        </w:rPr>
        <w:t>Section 4.3 Invoices; Payment Due Date</w:t>
      </w:r>
      <w:r>
        <w:rPr>
          <w:rFonts w:ascii="Arial" w:cs="Arial" w:eastAsia="Arial" w:hAnsi="Arial"/>
          <w:sz w:val="17"/>
          <w:szCs w:val="17"/>
          <w:color w:val="auto"/>
        </w:rPr>
        <w:t>. Unless otherwise agreed to by Service Provider and Recipient in accordance with past practice, Service Provider or an applicable Affiliate thereof shall provide Recipient with a monthly invoice reflecting in reasonable detail (a) the Services provided during the preceding month, (b) monthly costs/fees owed for such Services and (c) all reasonable out-of-pocket expenses incurred by Service Provider or its Affiliates. All amounts shall be due and payable within thirty (30) days of the date the invoice is received. In the event Recipient disputes the amounts reflected on an invoice, Recipient shall deliver a written statement to Service Provider or such Affiliate within ten (10) days following receipt of Service Provider’s or such Affiliate’s invoice listing all disputed items and providing a reasonably detailed description of each disputed item. Amounts not so disputed shall be deemed accepted and shall be paid, notwithstanding disputes on other items.</w:t>
      </w:r>
    </w:p>
    <w:p>
      <w:pPr>
        <w:spacing w:after="0" w:line="17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u w:val="single" w:color="auto"/>
          <w:color w:val="auto"/>
        </w:rPr>
        <w:t>Section 4.4 Interest on Late Payment</w:t>
      </w:r>
      <w:r>
        <w:rPr>
          <w:rFonts w:ascii="Arial" w:cs="Arial" w:eastAsia="Arial" w:hAnsi="Arial"/>
          <w:sz w:val="18"/>
          <w:szCs w:val="18"/>
          <w:color w:val="auto"/>
        </w:rPr>
        <w:t>. Any amounts owed by Recipient under this Agreement that are not paid when due shall bear interest, from the time the payment was due until the time paid, at a rate per annum compounded annually, equal to the lesser of one and a half percent (1.5%) per month or the highest rate allowed by Applicable Law.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468" w:name="page469"/>
    <w:bookmarkEnd w:id="468"/>
    <w:p>
      <w:pPr>
        <w:ind w:firstLine="44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4.5 Taxes</w:t>
      </w:r>
      <w:r>
        <w:rPr>
          <w:rFonts w:ascii="Arial" w:cs="Arial" w:eastAsia="Arial" w:hAnsi="Arial"/>
          <w:sz w:val="18"/>
          <w:szCs w:val="18"/>
          <w:color w:val="auto"/>
        </w:rPr>
        <w:t xml:space="preserve">. The fees under this Agreement </w:t>
      </w:r>
      <w:r>
        <w:rPr>
          <w:rFonts w:ascii="Arial" w:cs="Arial" w:eastAsia="Arial" w:hAnsi="Arial"/>
          <w:sz w:val="18"/>
          <w:szCs w:val="18"/>
          <w:u w:val="single" w:color="auto"/>
          <w:color w:val="auto"/>
        </w:rPr>
        <w:t>exclude</w:t>
      </w:r>
      <w:r>
        <w:rPr>
          <w:rFonts w:ascii="Arial" w:cs="Arial" w:eastAsia="Arial" w:hAnsi="Arial"/>
          <w:sz w:val="18"/>
          <w:szCs w:val="18"/>
          <w:color w:val="auto"/>
        </w:rPr>
        <w:t xml:space="preserve"> all applicable excise, sales, use, value added, goods and services or similar tax imposed by any federal, state, provincial, local or foreign taxing authority (“</w:t>
      </w:r>
      <w:r>
        <w:rPr>
          <w:rFonts w:ascii="Arial" w:cs="Arial" w:eastAsia="Arial" w:hAnsi="Arial"/>
          <w:sz w:val="18"/>
          <w:szCs w:val="18"/>
          <w:u w:val="single" w:color="auto"/>
          <w:color w:val="auto"/>
        </w:rPr>
        <w:t>Sales Tax</w:t>
      </w:r>
      <w:r>
        <w:rPr>
          <w:rFonts w:ascii="Arial" w:cs="Arial" w:eastAsia="Arial" w:hAnsi="Arial"/>
          <w:sz w:val="18"/>
          <w:szCs w:val="18"/>
          <w:color w:val="auto"/>
        </w:rPr>
        <w:t>” or “</w:t>
      </w:r>
      <w:r>
        <w:rPr>
          <w:rFonts w:ascii="Arial" w:cs="Arial" w:eastAsia="Arial" w:hAnsi="Arial"/>
          <w:sz w:val="18"/>
          <w:szCs w:val="18"/>
          <w:u w:val="single" w:color="auto"/>
          <w:color w:val="auto"/>
        </w:rPr>
        <w:t>Sales Taxes</w:t>
      </w:r>
      <w:r>
        <w:rPr>
          <w:rFonts w:ascii="Arial" w:cs="Arial" w:eastAsia="Arial" w:hAnsi="Arial"/>
          <w:sz w:val="18"/>
          <w:szCs w:val="18"/>
          <w:color w:val="auto"/>
        </w:rPr>
        <w:t>”), and Recipient will be responsible for payment of all such Sales Taxes for which Recipient bears primary liability under applicable law and any related penalties and interest arising from the payment of fees and expenses to Service Provider or its Affiliates. Recipient shall be entitled to withhold from any payment hereunder all taxes as are required to be withheld under Applicable Law. Service Provider and Recipient shall reasonably cooperate to minimize any applicable withholding taxes. For the avoidance of doubt, all taxes levied on Services Provider’s income or gross receipts or any franchise taxes of Service Provider shall be Service Provider’s responsibility.</w:t>
      </w:r>
    </w:p>
    <w:p>
      <w:pPr>
        <w:spacing w:after="0" w:line="193" w:lineRule="exact"/>
        <w:rPr>
          <w:sz w:val="20"/>
          <w:szCs w:val="20"/>
          <w:color w:val="auto"/>
        </w:rPr>
      </w:pPr>
    </w:p>
    <w:p>
      <w:pPr>
        <w:ind w:right="220" w:firstLine="440"/>
        <w:spacing w:after="0" w:line="341" w:lineRule="auto"/>
        <w:rPr>
          <w:sz w:val="20"/>
          <w:szCs w:val="20"/>
          <w:color w:val="auto"/>
        </w:rPr>
      </w:pPr>
      <w:r>
        <w:rPr>
          <w:rFonts w:ascii="Arial" w:cs="Arial" w:eastAsia="Arial" w:hAnsi="Arial"/>
          <w:sz w:val="16"/>
          <w:szCs w:val="16"/>
          <w:u w:val="single" w:color="auto"/>
          <w:color w:val="auto"/>
        </w:rPr>
        <w:t>Section 4.6 Expenses</w:t>
      </w:r>
      <w:r>
        <w:rPr>
          <w:rFonts w:ascii="Arial" w:cs="Arial" w:eastAsia="Arial" w:hAnsi="Arial"/>
          <w:sz w:val="16"/>
          <w:szCs w:val="16"/>
          <w:color w:val="auto"/>
        </w:rPr>
        <w:t xml:space="preserve">. Except as otherwise specified in this Agreement (including </w:t>
      </w:r>
      <w:r>
        <w:rPr>
          <w:rFonts w:ascii="Arial" w:cs="Arial" w:eastAsia="Arial" w:hAnsi="Arial"/>
          <w:sz w:val="16"/>
          <w:szCs w:val="16"/>
          <w:u w:val="single" w:color="auto"/>
          <w:color w:val="auto"/>
        </w:rPr>
        <w:t>Section 4.1</w:t>
      </w:r>
      <w:r>
        <w:rPr>
          <w:rFonts w:ascii="Arial" w:cs="Arial" w:eastAsia="Arial" w:hAnsi="Arial"/>
          <w:sz w:val="16"/>
          <w:szCs w:val="16"/>
          <w:color w:val="auto"/>
        </w:rPr>
        <w:t>), each party hereto shall pay its own legal, accounting, out-of-pocket and other expenses incident to this Agreement and to any action taken by such party in carrying this Agreement into effect.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SERVICE STANDARDS</w:t>
      </w:r>
    </w:p>
    <w:p>
      <w:pPr>
        <w:spacing w:after="0" w:line="210"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u w:val="single" w:color="auto"/>
          <w:color w:val="auto"/>
        </w:rPr>
        <w:t>Section 5.1 Standard of Service</w:t>
      </w:r>
      <w:r>
        <w:rPr>
          <w:rFonts w:ascii="Arial" w:cs="Arial" w:eastAsia="Arial" w:hAnsi="Arial"/>
          <w:sz w:val="18"/>
          <w:szCs w:val="18"/>
          <w:color w:val="auto"/>
        </w:rPr>
        <w:t>. Service Provider warrants that the Services will be provided in a workmanlike and professional manner by personnel of Service Provider or its Affiliates having a level of skill in the area commensurate with the requirements of the scope of Services to be performed as described in the Service Schedules.</w:t>
      </w:r>
    </w:p>
    <w:p>
      <w:pPr>
        <w:spacing w:after="0" w:line="183"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u w:val="single" w:color="auto"/>
          <w:color w:val="auto"/>
        </w:rPr>
        <w:t>Section 5.2 Remediation</w:t>
      </w:r>
      <w:r>
        <w:rPr>
          <w:rFonts w:ascii="Arial" w:cs="Arial" w:eastAsia="Arial" w:hAnsi="Arial"/>
          <w:sz w:val="18"/>
          <w:szCs w:val="18"/>
          <w:color w:val="auto"/>
        </w:rPr>
        <w:t xml:space="preserve">. Recipient agrees that the remedies available to it in the event of a failure of Service Provider to provide the Services in accordance with the applicable Services Schedule in breach of the warranty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should be limited to Service Provider using commercially reasonable efforts to correct the problems that resulted in such failure, and therefore no service credits, rebates or refunds will be awarded for a failure to provide the Services. In recognition of this, except with respect to Service Provider’s indemnification obligations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Recipient’s sole and exclusive remedy, and Service Provider’s sole and exclusive obligation, for any breach of the warranty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the remediation activities set forth in this </w:t>
      </w:r>
      <w:r>
        <w:rPr>
          <w:rFonts w:ascii="Arial" w:cs="Arial" w:eastAsia="Arial" w:hAnsi="Arial"/>
          <w:sz w:val="18"/>
          <w:szCs w:val="18"/>
          <w:u w:val="single" w:color="auto"/>
          <w:color w:val="auto"/>
        </w:rPr>
        <w:t>Section 5.2</w:t>
      </w:r>
      <w:r>
        <w:rPr>
          <w:rFonts w:ascii="Arial" w:cs="Arial" w:eastAsia="Arial" w:hAnsi="Arial"/>
          <w:sz w:val="18"/>
          <w:szCs w:val="18"/>
          <w:color w:val="auto"/>
        </w:rPr>
        <w:t>. In the event Service Provider does not provide a Service as specified in the applicable Services Schedule, then Service Provider agrees that it will use its commercially reasonable efforts to re-perform the applicable Service as soon as reasonably practicable thereafter.</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CONFIDENTIALITY</w:t>
      </w:r>
    </w:p>
    <w:p>
      <w:pPr>
        <w:spacing w:after="0" w:line="210"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u w:val="single" w:color="auto"/>
          <w:color w:val="auto"/>
        </w:rPr>
        <w:t>Section 6.1 Definition</w:t>
      </w:r>
      <w:r>
        <w:rPr>
          <w:rFonts w:ascii="Arial" w:cs="Arial" w:eastAsia="Arial" w:hAnsi="Arial"/>
          <w:sz w:val="16"/>
          <w:szCs w:val="16"/>
          <w:color w:val="auto"/>
        </w:rPr>
        <w: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with regard to any party hereto disclosing such information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the terms of this Agreement and any technical or non-technical confidential or proprietary information disclosed or otherwise made available in any manner by the Disclosing Party to the other party to this Agreement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or to which the Receiving Party may gain access because of this Agreement, whether disclosed orally, electronically, visually or in writing.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information (a) which is or becomes generally known or available by publication without violation of this Agreement; (b) which was known by the Receiving Party before receipt from the Disclosing Party as shown by the Receiving Party’s written records; (c) which is independently developed by the Receiving Party without use of or access to the Disclosing Party’s Confidential Information as shown by the Receiving Party’s written records; or (d) which is lawfully obtained from a third party that has the right to make such disclosure as shown by the Receiving Party’s written records.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469" w:name="page470"/>
    <w:bookmarkEnd w:id="469"/>
    <w:p>
      <w:pPr>
        <w:ind w:left="10" w:right="60" w:firstLine="44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6.2 Obligations</w:t>
      </w:r>
      <w:r>
        <w:rPr>
          <w:rFonts w:ascii="Arial" w:cs="Arial" w:eastAsia="Arial" w:hAnsi="Arial"/>
          <w:sz w:val="18"/>
          <w:szCs w:val="18"/>
          <w:color w:val="auto"/>
        </w:rPr>
        <w:t>. The Receiving Party agrees that, except as otherwise required by Applicable Law or order, it will (a) not use, reproduce, or exploit the Confidential Information of the Disclosing Party for any purpose other than performing or receiving Services as specified in this Agreement; and (b) hold all Confidential Information of the Disclosing Party in strict confidence and will not disclose or otherwise make available such Confidential Information to any third party other than its Representatives, third party contractors, advisors, Affiliates, actual or potential investors or financing sources and their advisors and Representatives, and the employees of the Receiving Party or its Representatives, third party contractors, advisors and Affiliates (i) who have a need to know such information for purposes of fulfilling the Receiving Party’s obligations, utilizing or enforcing the Receiving Party’s rights, or utilizing the Services provided, under this Agreement and (ii) who are bound by confidentiality obligations at least as stringent as those contained in this Agreement.</w:t>
      </w:r>
    </w:p>
    <w:p>
      <w:pPr>
        <w:spacing w:after="0" w:line="190" w:lineRule="exact"/>
        <w:rPr>
          <w:sz w:val="20"/>
          <w:szCs w:val="20"/>
          <w:color w:val="auto"/>
        </w:rPr>
      </w:pPr>
    </w:p>
    <w:p>
      <w:pPr>
        <w:ind w:left="10" w:right="140" w:firstLine="440"/>
        <w:spacing w:after="0" w:line="290" w:lineRule="auto"/>
        <w:rPr>
          <w:sz w:val="20"/>
          <w:szCs w:val="20"/>
          <w:color w:val="auto"/>
        </w:rPr>
      </w:pPr>
      <w:r>
        <w:rPr>
          <w:rFonts w:ascii="Arial" w:cs="Arial" w:eastAsia="Arial" w:hAnsi="Arial"/>
          <w:sz w:val="16"/>
          <w:szCs w:val="16"/>
          <w:u w:val="single" w:color="auto"/>
          <w:color w:val="auto"/>
        </w:rPr>
        <w:t>Section 6.3 Compelled Disclosure</w:t>
      </w:r>
      <w:r>
        <w:rPr>
          <w:rFonts w:ascii="Arial" w:cs="Arial" w:eastAsia="Arial" w:hAnsi="Arial"/>
          <w:sz w:val="16"/>
          <w:szCs w:val="16"/>
          <w:color w:val="auto"/>
        </w:rPr>
        <w:t>. In the event that the Receiving Party is required by Law or court decision, order or judgment to disclose any Confidential Information, the Receiving Party shall (a) to the extent permitted, notify the Disclosing Party in writing as soon as reasonably practicable;</w:t>
      </w:r>
    </w:p>
    <w:p>
      <w:pPr>
        <w:spacing w:after="0" w:line="1" w:lineRule="exact"/>
        <w:rPr>
          <w:sz w:val="20"/>
          <w:szCs w:val="20"/>
          <w:color w:val="auto"/>
        </w:rPr>
      </w:pPr>
    </w:p>
    <w:p>
      <w:pPr>
        <w:ind w:left="10" w:right="200" w:hanging="10"/>
        <w:spacing w:after="0" w:line="323" w:lineRule="auto"/>
        <w:tabs>
          <w:tab w:leader="none" w:pos="26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reasonably cooperate with the Disclosing Party to preserve the confidentiality of such Confidential Information consistent with Law and (c) use its reasonable efforts to limit any such disclosure to the minimum disclosure necessary to comply with such Law or court decision, order, or judgment.</w:t>
      </w:r>
    </w:p>
    <w:p>
      <w:pPr>
        <w:spacing w:after="0" w:line="138" w:lineRule="exact"/>
        <w:rPr>
          <w:sz w:val="20"/>
          <w:szCs w:val="20"/>
          <w:color w:val="auto"/>
        </w:rPr>
      </w:pPr>
    </w:p>
    <w:p>
      <w:pPr>
        <w:ind w:left="10" w:firstLine="440"/>
        <w:spacing w:after="0" w:line="291" w:lineRule="auto"/>
        <w:rPr>
          <w:sz w:val="20"/>
          <w:szCs w:val="20"/>
          <w:color w:val="auto"/>
        </w:rPr>
      </w:pPr>
      <w:r>
        <w:rPr>
          <w:rFonts w:ascii="Arial" w:cs="Arial" w:eastAsia="Arial" w:hAnsi="Arial"/>
          <w:sz w:val="16"/>
          <w:szCs w:val="16"/>
          <w:u w:val="single" w:color="auto"/>
          <w:color w:val="auto"/>
        </w:rPr>
        <w:t>Section 6.4 Termination</w:t>
      </w:r>
      <w:r>
        <w:rPr>
          <w:rFonts w:ascii="Arial" w:cs="Arial" w:eastAsia="Arial" w:hAnsi="Arial"/>
          <w:sz w:val="16"/>
          <w:szCs w:val="16"/>
          <w:color w:val="auto"/>
        </w:rPr>
        <w:t xml:space="preserve">. Upon termination of this Agreement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Receiving Party shall destroy all documents and materials in tangible form, and delete all data in electronic form, containing any Confidential Information of the Disclosing Party. Notwithstanding the foregoing, the parties hereto acknowledge that certain systems that may be utilized by a Receiving Party do not easily permit the true purging or deletion of data (e.g., email backup systems). In such cases, the Receiving Party shall be permitted to retain such data so long as such data is not readily available to end users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addition, the Receiving Party shall be permitted to retain such copies of Confidential Information as required by Applicable Law or legitimate record retention policies, so long as such Confidential Information is not readily accessible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5" w:lineRule="exact"/>
        <w:rPr>
          <w:sz w:val="20"/>
          <w:szCs w:val="20"/>
          <w:color w:val="auto"/>
        </w:rPr>
      </w:pPr>
    </w:p>
    <w:p>
      <w:pPr>
        <w:ind w:left="450"/>
        <w:spacing w:after="0"/>
        <w:rPr>
          <w:sz w:val="20"/>
          <w:szCs w:val="20"/>
          <w:color w:val="auto"/>
        </w:rPr>
      </w:pPr>
      <w:r>
        <w:rPr>
          <w:rFonts w:ascii="Arial" w:cs="Arial" w:eastAsia="Arial" w:hAnsi="Arial"/>
          <w:sz w:val="18"/>
          <w:szCs w:val="18"/>
          <w:u w:val="single" w:color="auto"/>
          <w:color w:val="auto"/>
        </w:rPr>
        <w:t>Section 6.5 Data Security</w:t>
      </w:r>
      <w:r>
        <w:rPr>
          <w:rFonts w:ascii="Arial" w:cs="Arial" w:eastAsia="Arial" w:hAnsi="Arial"/>
          <w:sz w:val="18"/>
          <w:szCs w:val="18"/>
          <w:color w:val="auto"/>
        </w:rPr>
        <w:t>.</w:t>
      </w:r>
    </w:p>
    <w:p>
      <w:pPr>
        <w:spacing w:after="0" w:line="117" w:lineRule="exact"/>
        <w:rPr>
          <w:sz w:val="20"/>
          <w:szCs w:val="20"/>
          <w:color w:val="auto"/>
        </w:rPr>
      </w:pPr>
    </w:p>
    <w:p>
      <w:pPr>
        <w:jc w:val="both"/>
        <w:ind w:left="10" w:right="380" w:firstLine="981"/>
        <w:spacing w:after="0" w:line="311" w:lineRule="auto"/>
        <w:tabs>
          <w:tab w:leader="none" w:pos="124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systems and security tools and processes utilized by Service Provider to perform the Services and to which Recipient is given access are either jointly operated and/or used systems (shared systems) or mutually dependent systems, and so both parties have joint obligations to protect the systems, environments and data used or utilized by the parties. Generally speaking, the data security duties are divided as follows:</w:t>
      </w:r>
    </w:p>
    <w:p>
      <w:pPr>
        <w:spacing w:after="0" w:line="40" w:lineRule="exact"/>
        <w:rPr>
          <w:rFonts w:ascii="Arial" w:cs="Arial" w:eastAsia="Arial" w:hAnsi="Arial"/>
          <w:sz w:val="16"/>
          <w:szCs w:val="16"/>
          <w:color w:val="auto"/>
        </w:rPr>
      </w:pPr>
    </w:p>
    <w:p>
      <w:pPr>
        <w:ind w:left="10" w:right="220" w:firstLine="1421"/>
        <w:spacing w:after="0" w:line="259" w:lineRule="auto"/>
        <w:tabs>
          <w:tab w:leader="none" w:pos="1655"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identification of security threats and vulnerabilities—Service Provider provides the security guidelines, policies, tool standards and timelines for security reviews (such as third party penetration testing and security assessments) and Recipient is responsible for timely and full participation in such identification efforts, with prompt response and commercially reasonable attempted remediation of any threat or issue found and for security (e.g., phishing) awareness and actions of users;</w:t>
      </w:r>
    </w:p>
    <w:p>
      <w:pPr>
        <w:spacing w:after="0" w:line="77" w:lineRule="exact"/>
        <w:rPr>
          <w:rFonts w:ascii="Arial" w:cs="Arial" w:eastAsia="Arial" w:hAnsi="Arial"/>
          <w:sz w:val="18"/>
          <w:szCs w:val="18"/>
          <w:color w:val="auto"/>
        </w:rPr>
      </w:pPr>
    </w:p>
    <w:p>
      <w:pPr>
        <w:ind w:left="10" w:firstLine="1421"/>
        <w:spacing w:after="0" w:line="255" w:lineRule="auto"/>
        <w:tabs>
          <w:tab w:leader="none" w:pos="1705" w:val="left"/>
        </w:tabs>
        <w:numPr>
          <w:ilvl w:val="1"/>
          <w:numId w:val="387"/>
        </w:numPr>
        <w:rPr>
          <w:rFonts w:ascii="Arial" w:cs="Arial" w:eastAsia="Arial" w:hAnsi="Arial"/>
          <w:sz w:val="18"/>
          <w:szCs w:val="18"/>
          <w:color w:val="auto"/>
        </w:rPr>
      </w:pPr>
      <w:r>
        <w:rPr>
          <w:rFonts w:ascii="Arial" w:cs="Arial" w:eastAsia="Arial" w:hAnsi="Arial"/>
          <w:sz w:val="18"/>
          <w:szCs w:val="18"/>
          <w:color w:val="auto"/>
        </w:rPr>
        <w:t>protection against threats or issues – Service Provider is responsible for protection of the shared services (services shared by Post, Recipient and other Affiliates) but Recipient is responsible for the host (e.g., PCs, laptops, servers, handhelds, and other end user devices), network and other protection of systems or services used or utilized by Recipient. Recipient’s protection responsibilities also include reasonable adherence to all security policies, guidelines, standards and processes, protection of devices connected to and accessing shared services and reasonably complete implementation and use of protection mechanisms involved in access/use of shared services under this Agreement, including multi-factor authentication and testing of user password strength;</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0"/>
          </w:cols>
          <w:pgMar w:left="450" w:top="274" w:right="459" w:bottom="1440" w:gutter="0" w:footer="0" w:header="0"/>
        </w:sectPr>
      </w:pPr>
    </w:p>
    <w:bookmarkStart w:id="470" w:name="page471"/>
    <w:bookmarkEnd w:id="470"/>
    <w:p>
      <w:pPr>
        <w:ind w:left="10" w:right="220" w:firstLine="1421"/>
        <w:spacing w:after="0" w:line="263" w:lineRule="auto"/>
        <w:tabs>
          <w:tab w:leader="none" w:pos="1755"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detection of threats or issues – Recipient is responsible for implementing at least the tools generally recommended by Service Provider to its Affiliates as necessary to detect the threats or issues within the systems and Service Provider is responsible for assisting in monitoring and notifying Recipient of issues detected; and</w:t>
      </w:r>
    </w:p>
    <w:p>
      <w:pPr>
        <w:spacing w:after="0" w:line="74" w:lineRule="exact"/>
        <w:rPr>
          <w:rFonts w:ascii="Arial" w:cs="Arial" w:eastAsia="Arial" w:hAnsi="Arial"/>
          <w:sz w:val="18"/>
          <w:szCs w:val="18"/>
          <w:color w:val="auto"/>
        </w:rPr>
      </w:pPr>
    </w:p>
    <w:p>
      <w:pPr>
        <w:ind w:left="10" w:right="220" w:firstLine="1421"/>
        <w:spacing w:after="0" w:line="263" w:lineRule="auto"/>
        <w:tabs>
          <w:tab w:leader="none" w:pos="174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response to and recovery after, an incident or vulnerability has been detected or issues have arisen—Service Provider coordinates joint response and recovery with regard to shared systems and Recipient is responsible for the response and recovery for all other systems used or utilized by Recipient.</w:t>
      </w:r>
    </w:p>
    <w:p>
      <w:pPr>
        <w:spacing w:after="0" w:line="183" w:lineRule="exact"/>
        <w:rPr>
          <w:sz w:val="20"/>
          <w:szCs w:val="20"/>
          <w:color w:val="auto"/>
        </w:rPr>
      </w:pPr>
    </w:p>
    <w:p>
      <w:pPr>
        <w:ind w:left="10" w:right="40"/>
        <w:spacing w:after="0" w:line="283" w:lineRule="auto"/>
        <w:rPr>
          <w:sz w:val="20"/>
          <w:szCs w:val="20"/>
          <w:color w:val="auto"/>
        </w:rPr>
      </w:pPr>
      <w:r>
        <w:rPr>
          <w:rFonts w:ascii="Arial" w:cs="Arial" w:eastAsia="Arial" w:hAnsi="Arial"/>
          <w:sz w:val="16"/>
          <w:szCs w:val="16"/>
          <w:color w:val="auto"/>
        </w:rPr>
        <w:t>For avoidance of doubt and notwithstanding anything herein to the contrary, Recipient is exclusively responsible for the protection, privacy and security within the manufacturing facilities and the plant technical environments (e.g. industrial control systems and related network security). Thus, the parties agree to cooperate in matters related to data protection and security. As part of such cooperation, Service Provider will develop and maintain certain enterprise-wide policies, processes, guidelines and architecture for data protection and security, Service Provider will develop and institute projects to accomplish the forgoing and all parties shall implement and maintain commercially reasonable technical and organizational measures to protect against any loss, destruction and damage and unauthorized access, use, modification, disclosure and other misuse, of (A) data or information of Recipient that is collected, processed, generated, calculated, derived, stored by or transmitted to Service Provider, any of its Affiliates or any other Person on its or their behalf in connection with the Services (such data and information, “</w:t>
      </w:r>
      <w:r>
        <w:rPr>
          <w:rFonts w:ascii="Arial" w:cs="Arial" w:eastAsia="Arial" w:hAnsi="Arial"/>
          <w:sz w:val="16"/>
          <w:szCs w:val="16"/>
          <w:u w:val="single" w:color="auto"/>
          <w:color w:val="auto"/>
        </w:rPr>
        <w:t>Recipient Data</w:t>
      </w:r>
      <w:r>
        <w:rPr>
          <w:rFonts w:ascii="Arial" w:cs="Arial" w:eastAsia="Arial" w:hAnsi="Arial"/>
          <w:sz w:val="16"/>
          <w:szCs w:val="16"/>
          <w:color w:val="auto"/>
        </w:rPr>
        <w:t>”) and (B) any data or information of Service Provider used, utilized or disclosed to Recipient in connection with the Services (“</w:t>
      </w:r>
      <w:r>
        <w:rPr>
          <w:rFonts w:ascii="Arial" w:cs="Arial" w:eastAsia="Arial" w:hAnsi="Arial"/>
          <w:sz w:val="16"/>
          <w:szCs w:val="16"/>
          <w:u w:val="single" w:color="auto"/>
          <w:color w:val="auto"/>
        </w:rPr>
        <w:t>Service Provider Data</w:t>
      </w:r>
      <w:r>
        <w:rPr>
          <w:rFonts w:ascii="Arial" w:cs="Arial" w:eastAsia="Arial" w:hAnsi="Arial"/>
          <w:sz w:val="16"/>
          <w:szCs w:val="16"/>
          <w:color w:val="auto"/>
        </w:rPr>
        <w:t>”). Furthermore, Recipient shall use commercially reasonable efforts to</w:t>
      </w:r>
    </w:p>
    <w:p>
      <w:pPr>
        <w:spacing w:after="0" w:line="4" w:lineRule="exact"/>
        <w:rPr>
          <w:sz w:val="20"/>
          <w:szCs w:val="20"/>
          <w:color w:val="auto"/>
        </w:rPr>
      </w:pPr>
    </w:p>
    <w:p>
      <w:pPr>
        <w:ind w:left="10" w:hanging="10"/>
        <w:spacing w:after="0" w:line="268" w:lineRule="auto"/>
        <w:tabs>
          <w:tab w:leader="none" w:pos="304"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timely comply with, implement and participate in such policies, procedures and projects and all changes thereto throughout the term of this Agreement, (Y) timely deploy, implement and participate in the security assessments, penetration testing, security vulnerability and issue detection efforts and deployment of additional security tools as directed by Service Provider and (Z) promptly respond to and make a commercially reasonable attempt to remediate all threats, vulnerabilities, issues or harm found. It is understood that Service Provider’s ability to protect and/or secure the systems, environments and data is only as good, effective and efficient as the level of sophistication, implementation and maintenance of Recipient’s own protection and security efforts. Service Provider is not responsible for any harm or damage resulting from Recipient failing to implement and maintain the policies, processes, guidelines and architecture provided by Service Provider, from Recipient failing to adequately protect and secure its own systems or facilities or from Recipient failing to perform its own data security duties in a timely and adequate manner.</w:t>
      </w:r>
    </w:p>
    <w:p>
      <w:pPr>
        <w:spacing w:after="0" w:line="73" w:lineRule="exact"/>
        <w:rPr>
          <w:rFonts w:ascii="Arial" w:cs="Arial" w:eastAsia="Arial" w:hAnsi="Arial"/>
          <w:sz w:val="17"/>
          <w:szCs w:val="17"/>
          <w:color w:val="auto"/>
        </w:rPr>
      </w:pPr>
    </w:p>
    <w:p>
      <w:pPr>
        <w:jc w:val="both"/>
        <w:ind w:left="10" w:right="140" w:firstLine="981"/>
        <w:spacing w:after="0" w:line="301" w:lineRule="auto"/>
        <w:tabs>
          <w:tab w:leader="none" w:pos="1255" w:val="left"/>
        </w:tabs>
        <w:numPr>
          <w:ilvl w:val="1"/>
          <w:numId w:val="389"/>
        </w:numPr>
        <w:rPr>
          <w:rFonts w:ascii="Arial" w:cs="Arial" w:eastAsia="Arial" w:hAnsi="Arial"/>
          <w:sz w:val="16"/>
          <w:szCs w:val="16"/>
          <w:color w:val="auto"/>
        </w:rPr>
      </w:pPr>
      <w:r>
        <w:rPr>
          <w:rFonts w:ascii="Arial" w:cs="Arial" w:eastAsia="Arial" w:hAnsi="Arial"/>
          <w:sz w:val="16"/>
          <w:szCs w:val="16"/>
          <w:color w:val="auto"/>
        </w:rPr>
        <w:t>Promptly upon discovery of (i) an actual or suspected breach of the privacy or security of any Recipient Data or any Service Provider Data or (ii) any violation of any privacy or data security Laws with respect to Recipient Data or Service Provider Data, the discovering party shall use commercially reasonable efforts to provide notice to the other parties explaining the nature and scope of the incident and reasonably cooperate with the other parties in any investigation and remediation that the parties mutually agree are reasonably necessary (including any forensic investigation).</w:t>
      </w:r>
    </w:p>
    <w:p>
      <w:pPr>
        <w:spacing w:after="0" w:line="37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0" w:lineRule="exact"/>
        <w:rPr>
          <w:sz w:val="20"/>
          <w:szCs w:val="20"/>
          <w:color w:val="auto"/>
        </w:rPr>
      </w:pPr>
    </w:p>
    <w:p>
      <w:pPr>
        <w:ind w:left="10" w:right="180" w:firstLine="440"/>
        <w:spacing w:after="0" w:line="311" w:lineRule="auto"/>
        <w:rPr>
          <w:sz w:val="20"/>
          <w:szCs w:val="20"/>
          <w:color w:val="auto"/>
        </w:rPr>
      </w:pPr>
      <w:r>
        <w:rPr>
          <w:rFonts w:ascii="Arial" w:cs="Arial" w:eastAsia="Arial" w:hAnsi="Arial"/>
          <w:sz w:val="16"/>
          <w:szCs w:val="16"/>
          <w:u w:val="single" w:color="auto"/>
          <w:color w:val="auto"/>
        </w:rPr>
        <w:t>Section 7.1 Mutual Representations</w:t>
      </w:r>
      <w:r>
        <w:rPr>
          <w:rFonts w:ascii="Arial" w:cs="Arial" w:eastAsia="Arial" w:hAnsi="Arial"/>
          <w:sz w:val="16"/>
          <w:szCs w:val="16"/>
          <w:color w:val="auto"/>
        </w:rPr>
        <w:t>. Each party represents and warrants to the other parties that it has the requisite corporate or other organizational power and authority to enter into and perform its obligations under this Agreement and has taken all corporate or other organizational action necessary to execute and deliver this Agreement, to consummate the transactions contemplated hereby and to perform its obligations hereunder.</w:t>
      </w:r>
    </w:p>
    <w:p>
      <w:pPr>
        <w:spacing w:after="0" w:line="8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0"/>
          </w:cols>
          <w:pgMar w:left="450" w:top="273" w:right="439" w:bottom="1440" w:gutter="0" w:footer="0" w:header="0"/>
        </w:sectPr>
      </w:pPr>
    </w:p>
    <w:bookmarkStart w:id="471" w:name="page472"/>
    <w:bookmarkEnd w:id="471"/>
    <w:p>
      <w:pPr>
        <w:ind w:left="10" w:firstLine="44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7.2 Disclaimer</w:t>
      </w:r>
      <w:r>
        <w:rPr>
          <w:rFonts w:ascii="Arial" w:cs="Arial" w:eastAsia="Arial" w:hAnsi="Arial"/>
          <w:sz w:val="18"/>
          <w:szCs w:val="18"/>
          <w:color w:val="auto"/>
        </w:rPr>
        <w:t>. Except as expressly set forth in this Agreement, no party makes any representation or warranty to the other parties, express or implied, with respect to the provision or receipt of the Services and all information or other deliverables provided by any party pursuant to this Agreement, including any representation or warranty as to merchantability, fitness for a particular purpose or future results. Each party hereby acknowledges that, other than as expressly provided in this Agreement, the Services and all information or deliverables provided hereunder are being provided “AS IS WHERE IS,” and each party has relied on its own examination and investigation in electing to enter into, and consummate the transactions under, this Agreement.</w:t>
      </w:r>
    </w:p>
    <w:p>
      <w:pPr>
        <w:spacing w:after="0" w:line="200" w:lineRule="exact"/>
        <w:rPr>
          <w:sz w:val="20"/>
          <w:szCs w:val="20"/>
          <w:color w:val="auto"/>
        </w:rPr>
      </w:pPr>
    </w:p>
    <w:p>
      <w:pPr>
        <w:spacing w:after="0" w:line="20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u w:val="single" w:color="auto"/>
          <w:color w:val="auto"/>
        </w:rPr>
        <w:t>INDEMNIFICATION</w:t>
      </w:r>
    </w:p>
    <w:p>
      <w:pPr>
        <w:spacing w:after="0" w:line="210" w:lineRule="exact"/>
        <w:rPr>
          <w:sz w:val="20"/>
          <w:szCs w:val="20"/>
          <w:color w:val="auto"/>
        </w:rPr>
      </w:pPr>
    </w:p>
    <w:p>
      <w:pPr>
        <w:ind w:left="10" w:right="140" w:firstLine="440"/>
        <w:spacing w:after="0" w:line="285" w:lineRule="auto"/>
        <w:rPr>
          <w:sz w:val="20"/>
          <w:szCs w:val="20"/>
          <w:color w:val="auto"/>
        </w:rPr>
      </w:pPr>
      <w:r>
        <w:rPr>
          <w:rFonts w:ascii="Arial" w:cs="Arial" w:eastAsia="Arial" w:hAnsi="Arial"/>
          <w:sz w:val="16"/>
          <w:szCs w:val="16"/>
          <w:u w:val="single" w:color="auto"/>
          <w:color w:val="auto"/>
        </w:rPr>
        <w:t>Section 8.1 Recipient Indemnity</w:t>
      </w:r>
      <w:r>
        <w:rPr>
          <w:rFonts w:ascii="Arial" w:cs="Arial" w:eastAsia="Arial" w:hAnsi="Arial"/>
          <w:sz w:val="16"/>
          <w:szCs w:val="16"/>
          <w:color w:val="auto"/>
        </w:rPr>
        <w:t>. Recipient shall indemnify, defend and hold Service Provider, Service Provider’s Affiliates and their respective Representatives harmless from and against any and all Losses resulting from any third party claims, actions, suits or proceedings or from any action, decision, order or judgment by any Governmental Authority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to the extent such Losses are caused by Recipient’s violation of Law, fraud, willful misconduct or gross negligence in connection with performing its duties, responsibilities and obligations under this Agreement or breach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Service Provider notifies Recipient promptly in writing of the Claim once Service Provider becomes aware of such Claim;</w:t>
      </w:r>
    </w:p>
    <w:p>
      <w:pPr>
        <w:spacing w:after="0" w:line="1" w:lineRule="exact"/>
        <w:rPr>
          <w:sz w:val="20"/>
          <w:szCs w:val="20"/>
          <w:color w:val="auto"/>
        </w:rPr>
      </w:pPr>
    </w:p>
    <w:p>
      <w:pPr>
        <w:ind w:left="10" w:right="160" w:hanging="10"/>
        <w:spacing w:after="0" w:line="295" w:lineRule="auto"/>
        <w:tabs>
          <w:tab w:leader="none" w:pos="26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Recipient has sole control of the defense and all related settlement negotiations, except that Service Provider must provide prior written consent to any settlement that does not expressly and unconditionally release Service Provider from all Liabilities with respect to such Claim without prejudice or that would be adverse to Service Provider, which consent will not be unreasonably withheld; and (c) Service Provider provides Recipient with all reasonably necessary assistance, information and authority, at Recipient’s reasonable expense, to perform these duties.</w:t>
      </w:r>
    </w:p>
    <w:p>
      <w:pPr>
        <w:spacing w:after="0" w:line="160" w:lineRule="exact"/>
        <w:rPr>
          <w:sz w:val="20"/>
          <w:szCs w:val="20"/>
          <w:color w:val="auto"/>
        </w:rPr>
      </w:pPr>
    </w:p>
    <w:p>
      <w:pPr>
        <w:ind w:left="10" w:right="80" w:firstLine="440"/>
        <w:spacing w:after="0" w:line="271" w:lineRule="auto"/>
        <w:rPr>
          <w:sz w:val="20"/>
          <w:szCs w:val="20"/>
          <w:color w:val="auto"/>
        </w:rPr>
      </w:pPr>
      <w:r>
        <w:rPr>
          <w:rFonts w:ascii="Arial" w:cs="Arial" w:eastAsia="Arial" w:hAnsi="Arial"/>
          <w:sz w:val="17"/>
          <w:szCs w:val="17"/>
          <w:u w:val="single" w:color="auto"/>
          <w:color w:val="auto"/>
        </w:rPr>
        <w:t>Section 8.2 Service Provider Indemnity</w:t>
      </w:r>
      <w:r>
        <w:rPr>
          <w:rFonts w:ascii="Arial" w:cs="Arial" w:eastAsia="Arial" w:hAnsi="Arial"/>
          <w:sz w:val="17"/>
          <w:szCs w:val="17"/>
          <w:color w:val="auto"/>
        </w:rPr>
        <w:t xml:space="preserve">. Service Provider shall indemnify, defend and hold Recipient, Recipient’s Affiliates and their respective Representatives harmless from and against any and all Losses resulting from any Claims to the extent such Losses are caused by Service Provider’s violation of Law, fraud, willful misconduct or gross negligence in connection with performing its duties, responsibilities and obligations under this Agreement or breach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Recipient notifies Service Provider promptly in writing of the Claim; (b) Service Provider has sole control of the defense and all related settlement negotiations, except that Recipient must provide prior written consent to any settlement that does not expressly and unconditionally release Recipient from all Liabilities with respect to such Claim without prejudice or that would be adverse to Recipient, which consent will not be unreasonably withheld; and (c) Recipient provides Service Provider with all reasonably necessary assistance, information and authority, at Service Provider’s reasonable expense, to perform these duties.</w:t>
      </w:r>
    </w:p>
    <w:p>
      <w:pPr>
        <w:spacing w:after="0" w:line="3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u w:val="single" w:color="auto"/>
          <w:color w:val="auto"/>
        </w:rPr>
        <w:t>LIMITATION OF LIABILITY</w:t>
      </w:r>
    </w:p>
    <w:p>
      <w:pPr>
        <w:spacing w:after="0" w:line="210" w:lineRule="exact"/>
        <w:rPr>
          <w:sz w:val="20"/>
          <w:szCs w:val="20"/>
          <w:color w:val="auto"/>
        </w:rPr>
      </w:pPr>
    </w:p>
    <w:p>
      <w:pPr>
        <w:ind w:left="10" w:right="20" w:firstLine="440"/>
        <w:spacing w:after="0" w:line="263" w:lineRule="auto"/>
        <w:rPr>
          <w:sz w:val="20"/>
          <w:szCs w:val="20"/>
          <w:color w:val="auto"/>
        </w:rPr>
      </w:pPr>
      <w:r>
        <w:rPr>
          <w:rFonts w:ascii="Arial" w:cs="Arial" w:eastAsia="Arial" w:hAnsi="Arial"/>
          <w:sz w:val="18"/>
          <w:szCs w:val="18"/>
          <w:u w:val="single" w:color="auto"/>
          <w:color w:val="auto"/>
        </w:rPr>
        <w:t>Section 9.1 Limitations on Claims</w:t>
      </w:r>
      <w:r>
        <w:rPr>
          <w:rFonts w:ascii="Arial" w:cs="Arial" w:eastAsia="Arial" w:hAnsi="Arial"/>
          <w:sz w:val="18"/>
          <w:szCs w:val="18"/>
          <w:color w:val="auto"/>
        </w:rPr>
        <w:t>. No party shall have any liability to another party under this Agreement unless a claim is made in writing by the first party within sixty (60) days after the circumstances giving rise to the claim first become known to the first party, or could, with reasonable diligence, have become known to the first party.</w:t>
      </w:r>
    </w:p>
    <w:p>
      <w:pPr>
        <w:spacing w:after="0" w:line="183" w:lineRule="exact"/>
        <w:rPr>
          <w:sz w:val="20"/>
          <w:szCs w:val="20"/>
          <w:color w:val="auto"/>
        </w:rPr>
      </w:pPr>
    </w:p>
    <w:p>
      <w:pPr>
        <w:ind w:left="10" w:right="60" w:firstLine="440"/>
        <w:spacing w:after="0" w:line="256" w:lineRule="auto"/>
        <w:rPr>
          <w:sz w:val="20"/>
          <w:szCs w:val="20"/>
          <w:color w:val="auto"/>
        </w:rPr>
      </w:pPr>
      <w:r>
        <w:rPr>
          <w:rFonts w:ascii="Arial" w:cs="Arial" w:eastAsia="Arial" w:hAnsi="Arial"/>
          <w:sz w:val="18"/>
          <w:szCs w:val="18"/>
          <w:u w:val="single" w:color="auto"/>
          <w:color w:val="auto"/>
        </w:rPr>
        <w:t>Section 9.2 Limitation of Liability</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 (i) in no event shall a party have any liability to another party for any punitive damages, lost profits, diminution of value, consequential damages, special damages, incidental damages, indirect damages, exemplary damages or other similar unforeseen damages, (ii) in no event shall any multiples or similar valuation methodology (whether based on “multiple of profits,” “multiple of earnings,” “multiple of cash flows” or similar terms) be used in calculating the amount of any liability and (iii) to the maximum extent permitted by Applicable</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10"/>
          </w:cols>
          <w:pgMar w:left="450" w:top="274" w:right="439" w:bottom="1440" w:gutter="0" w:footer="0" w:header="0"/>
        </w:sectPr>
      </w:pPr>
    </w:p>
    <w:bookmarkStart w:id="472" w:name="page473"/>
    <w:bookmarkEnd w:id="472"/>
    <w:p>
      <w:pPr>
        <w:jc w:val="both"/>
        <w:ind w:left="1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Law, each party’s (which, for the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a “party” includes the party and all of the Affiliates of such party and all of its respective Representatives) aggregate liability to another party in connection with a particular Service under this Agreement shall not exceed the greater of (A) the amounts expected to be paid by Recipient to Service Provider for such Service in the twelve (12) month period following the Effective Time; and</w:t>
      </w:r>
    </w:p>
    <w:p>
      <w:pPr>
        <w:spacing w:after="0" w:line="2" w:lineRule="exact"/>
        <w:rPr>
          <w:sz w:val="20"/>
          <w:szCs w:val="20"/>
          <w:color w:val="auto"/>
        </w:rPr>
      </w:pPr>
    </w:p>
    <w:p>
      <w:pPr>
        <w:ind w:left="10" w:right="400" w:hanging="10"/>
        <w:spacing w:after="0" w:line="260" w:lineRule="auto"/>
        <w:tabs>
          <w:tab w:leader="none" w:pos="29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amounts paid to such Service Provider under this Agreement for such Service in the twelve (12) month period immediately preceding the event giving rise to the given claim.</w:t>
      </w:r>
    </w:p>
    <w:p>
      <w:pPr>
        <w:spacing w:after="0" w:line="185" w:lineRule="exact"/>
        <w:rPr>
          <w:sz w:val="20"/>
          <w:szCs w:val="20"/>
          <w:color w:val="auto"/>
        </w:rPr>
      </w:pPr>
    </w:p>
    <w:p>
      <w:pPr>
        <w:ind w:left="10" w:right="20" w:firstLine="440"/>
        <w:spacing w:after="0" w:line="259" w:lineRule="auto"/>
        <w:rPr>
          <w:sz w:val="20"/>
          <w:szCs w:val="20"/>
          <w:color w:val="auto"/>
        </w:rPr>
      </w:pPr>
      <w:r>
        <w:rPr>
          <w:rFonts w:ascii="Arial" w:cs="Arial" w:eastAsia="Arial" w:hAnsi="Arial"/>
          <w:sz w:val="18"/>
          <w:szCs w:val="18"/>
          <w:u w:val="single" w:color="auto"/>
          <w:color w:val="auto"/>
        </w:rPr>
        <w:t>Section 9.3 Exceptions</w:t>
      </w:r>
      <w:r>
        <w:rPr>
          <w:rFonts w:ascii="Arial" w:cs="Arial" w:eastAsia="Arial" w:hAnsi="Arial"/>
          <w:sz w:val="18"/>
          <w:szCs w:val="18"/>
          <w:color w:val="auto"/>
        </w:rPr>
        <w:t xml:space="preserve">. Notwithstanding anything herein to the contrary, the parties hereby acknowledge and agree that none of the limitations, waivers or restrictions on Losses, Liabilities, damages or claims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apply to or any way affect a party’s Liability for, or a party’s ability to recover for, (i) a material breach of this Agreement arising from any breach of a Shared Contract or (ii) any breach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w:t>
      </w:r>
    </w:p>
    <w:p>
      <w:pPr>
        <w:spacing w:after="0" w:line="186" w:lineRule="exact"/>
        <w:rPr>
          <w:sz w:val="20"/>
          <w:szCs w:val="20"/>
          <w:color w:val="auto"/>
        </w:rPr>
      </w:pPr>
    </w:p>
    <w:p>
      <w:pPr>
        <w:ind w:left="10" w:right="120" w:firstLine="440"/>
        <w:spacing w:after="0" w:line="277" w:lineRule="auto"/>
        <w:rPr>
          <w:sz w:val="20"/>
          <w:szCs w:val="20"/>
          <w:color w:val="auto"/>
        </w:rPr>
      </w:pPr>
      <w:r>
        <w:rPr>
          <w:rFonts w:ascii="Arial" w:cs="Arial" w:eastAsia="Arial" w:hAnsi="Arial"/>
          <w:sz w:val="18"/>
          <w:szCs w:val="18"/>
          <w:u w:val="single" w:color="auto"/>
          <w:color w:val="auto"/>
        </w:rPr>
        <w:t>Section 9.4 Acknowledgement of Limitations</w:t>
      </w:r>
      <w:r>
        <w:rPr>
          <w:rFonts w:ascii="Arial" w:cs="Arial" w:eastAsia="Arial" w:hAnsi="Arial"/>
          <w:sz w:val="18"/>
          <w:szCs w:val="18"/>
          <w:color w:val="auto"/>
        </w:rPr>
        <w:t xml:space="preserve">. Each party agrees that in the absence of limitations of liability and claims and waivers of damages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economic and other terms of this Agreement would be substantially different.</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u w:val="single" w:color="auto"/>
          <w:color w:val="auto"/>
        </w:rPr>
        <w:t>INTELLECTUAL PROPERTY</w:t>
      </w:r>
    </w:p>
    <w:p>
      <w:pPr>
        <w:spacing w:after="0" w:line="210" w:lineRule="exact"/>
        <w:rPr>
          <w:sz w:val="20"/>
          <w:szCs w:val="20"/>
          <w:color w:val="auto"/>
        </w:rPr>
      </w:pPr>
    </w:p>
    <w:p>
      <w:pPr>
        <w:ind w:left="450"/>
        <w:spacing w:after="0"/>
        <w:rPr>
          <w:sz w:val="20"/>
          <w:szCs w:val="20"/>
          <w:color w:val="auto"/>
        </w:rPr>
      </w:pPr>
      <w:r>
        <w:rPr>
          <w:rFonts w:ascii="Arial" w:cs="Arial" w:eastAsia="Arial" w:hAnsi="Arial"/>
          <w:sz w:val="16"/>
          <w:szCs w:val="16"/>
          <w:u w:val="single" w:color="auto"/>
          <w:color w:val="auto"/>
        </w:rPr>
        <w:t>Section 10.1 Intellectual Property</w:t>
      </w:r>
      <w:r>
        <w:rPr>
          <w:rFonts w:ascii="Arial" w:cs="Arial" w:eastAsia="Arial" w:hAnsi="Arial"/>
          <w:sz w:val="16"/>
          <w:szCs w:val="16"/>
          <w:color w:val="auto"/>
        </w:rPr>
        <w:t>. To the extent Service Provider uses any know-how, processes, technology, trade secrets or other Intellectual</w:t>
      </w:r>
    </w:p>
    <w:p>
      <w:pPr>
        <w:spacing w:after="0" w:line="46" w:lineRule="exact"/>
        <w:rPr>
          <w:sz w:val="20"/>
          <w:szCs w:val="20"/>
          <w:color w:val="auto"/>
        </w:rPr>
      </w:pPr>
    </w:p>
    <w:p>
      <w:pPr>
        <w:ind w:left="10"/>
        <w:spacing w:after="0"/>
        <w:rPr>
          <w:sz w:val="20"/>
          <w:szCs w:val="20"/>
          <w:color w:val="auto"/>
        </w:rPr>
      </w:pPr>
      <w:r>
        <w:rPr>
          <w:rFonts w:ascii="Arial" w:cs="Arial" w:eastAsia="Arial" w:hAnsi="Arial"/>
          <w:sz w:val="16"/>
          <w:szCs w:val="16"/>
          <w:color w:val="auto"/>
        </w:rPr>
        <w:t>Property Rights owned by or licensed to Service Provider or any of its Affiliates (“</w:t>
      </w:r>
      <w:r>
        <w:rPr>
          <w:rFonts w:ascii="Arial" w:cs="Arial" w:eastAsia="Arial" w:hAnsi="Arial"/>
          <w:sz w:val="16"/>
          <w:szCs w:val="16"/>
          <w:u w:val="single" w:color="auto"/>
          <w:color w:val="auto"/>
        </w:rPr>
        <w:t>Service Provider IP</w:t>
      </w:r>
      <w:r>
        <w:rPr>
          <w:rFonts w:ascii="Arial" w:cs="Arial" w:eastAsia="Arial" w:hAnsi="Arial"/>
          <w:sz w:val="16"/>
          <w:szCs w:val="16"/>
          <w:color w:val="auto"/>
        </w:rPr>
        <w:t>”) in providing the Services, Service Provider IP</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and any derivative works of, or modifications or improvements to, Service Provider IP conceived or created by Service Provider or its Affiliates</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shall, as between the parties, remain the sole property of Service Provider. Recipient shall and hereby does assign to Service Provider,</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and agrees to assign automatically in the future upon first recordation in a tangible medium or first reduction to practice, all of Recipient’s right, title and</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interest in and to all Improvements, if any. Service Provider hereby, on behalf of itself and its Affiliates, grants to Recipient and its Affiliates a</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worldwide, nonexclusive, nontransferable and royalty-free right and license, during the term of the applicable Service, to use, reproduce, distribute and</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display, as applicable, all Service Provider IP and Improvements to the extent necessary to enable Recipient and its Affiliates to receive, use and utilize</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Services only. All rights not expressly granted herein are reserved.</w:t>
      </w:r>
    </w:p>
    <w:p>
      <w:pPr>
        <w:spacing w:after="0" w:line="200" w:lineRule="exact"/>
        <w:rPr>
          <w:sz w:val="20"/>
          <w:szCs w:val="20"/>
          <w:color w:val="auto"/>
        </w:rPr>
      </w:pPr>
    </w:p>
    <w:p>
      <w:pPr>
        <w:spacing w:after="0" w:line="2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u w:val="single" w:color="auto"/>
          <w:color w:val="auto"/>
        </w:rPr>
        <w:t>TERM, TERMINATION</w:t>
      </w:r>
    </w:p>
    <w:p>
      <w:pPr>
        <w:spacing w:after="0" w:line="210" w:lineRule="exact"/>
        <w:rPr>
          <w:sz w:val="20"/>
          <w:szCs w:val="20"/>
          <w:color w:val="auto"/>
        </w:rPr>
      </w:pPr>
    </w:p>
    <w:p>
      <w:pPr>
        <w:ind w:left="10" w:right="60" w:firstLine="440"/>
        <w:spacing w:after="0" w:line="284" w:lineRule="auto"/>
        <w:rPr>
          <w:sz w:val="20"/>
          <w:szCs w:val="20"/>
          <w:color w:val="auto"/>
        </w:rPr>
      </w:pPr>
      <w:r>
        <w:rPr>
          <w:rFonts w:ascii="Arial" w:cs="Arial" w:eastAsia="Arial" w:hAnsi="Arial"/>
          <w:sz w:val="16"/>
          <w:szCs w:val="16"/>
          <w:u w:val="single" w:color="auto"/>
          <w:color w:val="auto"/>
        </w:rPr>
        <w:t>Section 11.1 Term of Agreement; Early Termination of Services</w:t>
      </w:r>
      <w:r>
        <w:rPr>
          <w:rFonts w:ascii="Arial" w:cs="Arial" w:eastAsia="Arial" w:hAnsi="Arial"/>
          <w:sz w:val="16"/>
          <w:szCs w:val="16"/>
          <w:color w:val="auto"/>
        </w:rPr>
        <w:t xml:space="preserve">. This Agreement shall continue for so long as Services are provided to Recipient unless sooner terminated by the parties as set forth in this </w:t>
      </w:r>
      <w:r>
        <w:rPr>
          <w:rFonts w:ascii="Arial" w:cs="Arial" w:eastAsia="Arial" w:hAnsi="Arial"/>
          <w:sz w:val="16"/>
          <w:szCs w:val="16"/>
          <w:u w:val="single" w:color="auto"/>
          <w:color w:val="auto"/>
        </w:rPr>
        <w:t>Article XI</w:t>
      </w:r>
      <w:r>
        <w:rPr>
          <w:rFonts w:ascii="Arial" w:cs="Arial" w:eastAsia="Arial" w:hAnsi="Arial"/>
          <w:sz w:val="16"/>
          <w:szCs w:val="16"/>
          <w:color w:val="auto"/>
        </w:rPr>
        <w:t>. Recipient may elect to terminate Service Provider’s provision of all or any portion of the Services (or any Service)</w:t>
      </w:r>
      <w:r>
        <w:rPr>
          <w:rFonts w:ascii="Arial" w:cs="Arial" w:eastAsia="Arial" w:hAnsi="Arial"/>
          <w:sz w:val="13"/>
          <w:szCs w:val="13"/>
          <w:color w:val="auto"/>
        </w:rPr>
        <w:t>1</w:t>
      </w:r>
      <w:r>
        <w:rPr>
          <w:rFonts w:ascii="Arial" w:cs="Arial" w:eastAsia="Arial" w:hAnsi="Arial"/>
          <w:sz w:val="16"/>
          <w:szCs w:val="16"/>
          <w:color w:val="auto"/>
        </w:rPr>
        <w:t xml:space="preserve"> by providing Service Provider written notice of such election at least sixty (60) days in advance of the effective date of termination of any such Service (unless Service Provider agrees to shorten or waive such notice period in writing). If Service Provider discontinues providing a given Service for its own operations, Service Provider may, upon at least sixty (60) days’ notice to Recipient, terminate providing such Service hereunder (e.g., if Service Provider is no longer providing online training services for its own employees, Service Provider may, upon sixty</w:t>
      </w:r>
    </w:p>
    <w:p>
      <w:pPr>
        <w:spacing w:after="0" w:line="3" w:lineRule="exact"/>
        <w:rPr>
          <w:sz w:val="20"/>
          <w:szCs w:val="20"/>
          <w:color w:val="auto"/>
        </w:rPr>
      </w:pPr>
    </w:p>
    <w:p>
      <w:pPr>
        <w:ind w:left="10" w:right="600" w:hanging="10"/>
        <w:spacing w:after="0" w:line="260" w:lineRule="auto"/>
        <w:tabs>
          <w:tab w:leader="none" w:pos="35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days’ notice, terminate any online training services that are Services hereunder). In addition to other termination rights, this Agreement will automatically terminate when all Services have been terminated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70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38" w:lineRule="exact"/>
        <w:rPr>
          <w:sz w:val="20"/>
          <w:szCs w:val="20"/>
          <w:color w:val="auto"/>
        </w:rPr>
      </w:pPr>
    </w:p>
    <w:p>
      <w:pPr>
        <w:ind w:left="430" w:right="200" w:hanging="430"/>
        <w:spacing w:after="0" w:line="263" w:lineRule="auto"/>
        <w:tabs>
          <w:tab w:leader="none" w:pos="430" w:val="left"/>
        </w:tabs>
        <w:numPr>
          <w:ilvl w:val="0"/>
          <w:numId w:val="393"/>
        </w:numPr>
        <w:rPr>
          <w:rFonts w:ascii="Arial" w:cs="Arial" w:eastAsia="Arial" w:hAnsi="Arial"/>
          <w:sz w:val="15"/>
          <w:szCs w:val="15"/>
          <w:color w:val="auto"/>
        </w:rPr>
      </w:pPr>
      <w:r>
        <w:rPr>
          <w:rFonts w:ascii="Arial" w:cs="Arial" w:eastAsia="Arial" w:hAnsi="Arial"/>
          <w:sz w:val="18"/>
          <w:szCs w:val="18"/>
          <w:color w:val="auto"/>
        </w:rPr>
        <w:t xml:space="preserve">Certain Services are inter-related and thus would need to be terminated as a whole. For the purposes of </w:t>
      </w:r>
      <w:r>
        <w:rPr>
          <w:rFonts w:ascii="Arial" w:cs="Arial" w:eastAsia="Arial" w:hAnsi="Arial"/>
          <w:sz w:val="18"/>
          <w:szCs w:val="18"/>
          <w:u w:val="single" w:color="auto"/>
          <w:color w:val="auto"/>
        </w:rPr>
        <w:t>Section 11.1</w:t>
      </w:r>
      <w:r>
        <w:rPr>
          <w:rFonts w:ascii="Arial" w:cs="Arial" w:eastAsia="Arial" w:hAnsi="Arial"/>
          <w:sz w:val="18"/>
          <w:szCs w:val="18"/>
          <w:color w:val="auto"/>
        </w:rPr>
        <w:t>, each row in the Service Schedules is considered a single Service. When terminating a given Service, Recipient must terminate all of the services in that given row at the same time.</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0"/>
          </w:cols>
          <w:pgMar w:left="450" w:top="274" w:right="459" w:bottom="1440" w:gutter="0" w:footer="0" w:header="0"/>
        </w:sectPr>
      </w:pPr>
    </w:p>
    <w:bookmarkStart w:id="473" w:name="page474"/>
    <w:bookmarkEnd w:id="473"/>
    <w:p>
      <w:pPr>
        <w:jc w:val="both"/>
        <w:ind w:left="10" w:right="60" w:firstLine="44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11.2 Termination upon Breach</w:t>
      </w:r>
      <w:r>
        <w:rPr>
          <w:rFonts w:ascii="Arial" w:cs="Arial" w:eastAsia="Arial" w:hAnsi="Arial"/>
          <w:sz w:val="16"/>
          <w:szCs w:val="16"/>
          <w:color w:val="auto"/>
        </w:rPr>
        <w:t>. In the event of a material breach of this Agreement by a party (the “</w:t>
      </w:r>
      <w:r>
        <w:rPr>
          <w:rFonts w:ascii="Arial" w:cs="Arial" w:eastAsia="Arial" w:hAnsi="Arial"/>
          <w:sz w:val="16"/>
          <w:szCs w:val="16"/>
          <w:u w:val="single" w:color="auto"/>
          <w:color w:val="auto"/>
        </w:rPr>
        <w:t>Breaching Party</w:t>
      </w:r>
      <w:r>
        <w:rPr>
          <w:rFonts w:ascii="Arial" w:cs="Arial" w:eastAsia="Arial" w:hAnsi="Arial"/>
          <w:sz w:val="16"/>
          <w:szCs w:val="16"/>
          <w:color w:val="auto"/>
        </w:rPr>
        <w:t>”), the party claiming the breach (the “</w:t>
      </w:r>
      <w:r>
        <w:rPr>
          <w:rFonts w:ascii="Arial" w:cs="Arial" w:eastAsia="Arial" w:hAnsi="Arial"/>
          <w:sz w:val="16"/>
          <w:szCs w:val="16"/>
          <w:u w:val="single" w:color="auto"/>
          <w:color w:val="auto"/>
        </w:rPr>
        <w:t>Claiming Party</w:t>
      </w:r>
      <w:r>
        <w:rPr>
          <w:rFonts w:ascii="Arial" w:cs="Arial" w:eastAsia="Arial" w:hAnsi="Arial"/>
          <w:sz w:val="16"/>
          <w:szCs w:val="16"/>
          <w:color w:val="auto"/>
        </w:rPr>
        <w:t>”) shall give written notice of such breach to the Breaching Party, which shall have sixty (60) calendar days to cure such breach or, if such breach is capable of cure within a commercially reasonable period of time but cannot reasonably be expected to be cured within sixty</w:t>
      </w:r>
    </w:p>
    <w:p>
      <w:pPr>
        <w:spacing w:after="0" w:line="2" w:lineRule="exact"/>
        <w:rPr>
          <w:sz w:val="20"/>
          <w:szCs w:val="20"/>
          <w:color w:val="auto"/>
        </w:rPr>
      </w:pPr>
    </w:p>
    <w:p>
      <w:pPr>
        <w:ind w:left="10" w:right="40" w:hanging="10"/>
        <w:spacing w:after="0" w:line="268" w:lineRule="auto"/>
        <w:tabs>
          <w:tab w:leader="none" w:pos="354"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calendar days, the Breaching Party shall have sixty (60) calendar days to undertake all available and appropriate action to begin the cure of the breach and shall proceed as promptly as practicable thereafter to effect the cure. In the event of such cure, the notice of breach shall be rescinded. If, however, the breach is not cured as set forth herein, the Claiming Party may then pursue any and all remedies available to it under this Agreement based on such uncured breach, including the right to terminate this Agreement effective on a date of termination prior to the end of the term of this Agreement established by the Claiming Party. Notwithstanding the foregoing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Service Provider shall have the right to terminate this Agreement immediately if Recipient fails to make any payment due to Service Provider hereunder within five (5) Business Days after receipt of written notice of such failure, unless the amount in issue is subject to a bona fide dispute between the parties. For the avoidance of doubt, if the amount of any such payment is subject to a bona fide dispute, Recipient shall continue to make all other payments hereunder that are not subject to such dispute in accordance with the terms of this Agreement.</w:t>
      </w:r>
    </w:p>
    <w:p>
      <w:pPr>
        <w:spacing w:after="0" w:line="179" w:lineRule="exact"/>
        <w:rPr>
          <w:sz w:val="20"/>
          <w:szCs w:val="20"/>
          <w:color w:val="auto"/>
        </w:rPr>
      </w:pPr>
    </w:p>
    <w:p>
      <w:pPr>
        <w:ind w:left="450"/>
        <w:spacing w:after="0"/>
        <w:rPr>
          <w:sz w:val="20"/>
          <w:szCs w:val="20"/>
          <w:color w:val="auto"/>
        </w:rPr>
      </w:pPr>
      <w:r>
        <w:rPr>
          <w:rFonts w:ascii="Arial" w:cs="Arial" w:eastAsia="Arial" w:hAnsi="Arial"/>
          <w:sz w:val="17"/>
          <w:szCs w:val="17"/>
          <w:u w:val="single" w:color="auto"/>
          <w:color w:val="auto"/>
        </w:rPr>
        <w:t>Section 11.3 Termination upon Mutual Agreement</w:t>
      </w:r>
      <w:r>
        <w:rPr>
          <w:rFonts w:ascii="Arial" w:cs="Arial" w:eastAsia="Arial" w:hAnsi="Arial"/>
          <w:sz w:val="17"/>
          <w:szCs w:val="17"/>
          <w:color w:val="auto"/>
        </w:rPr>
        <w:t>. This Agreement may be terminated at any time upon mutual agreement of the parties.</w:t>
      </w:r>
    </w:p>
    <w:p>
      <w:pPr>
        <w:spacing w:after="0" w:line="236" w:lineRule="exact"/>
        <w:rPr>
          <w:sz w:val="20"/>
          <w:szCs w:val="20"/>
          <w:color w:val="auto"/>
        </w:rPr>
      </w:pPr>
    </w:p>
    <w:p>
      <w:pPr>
        <w:ind w:left="10" w:firstLine="440"/>
        <w:spacing w:after="0" w:line="259" w:lineRule="auto"/>
        <w:rPr>
          <w:sz w:val="20"/>
          <w:szCs w:val="20"/>
          <w:color w:val="auto"/>
        </w:rPr>
      </w:pPr>
      <w:r>
        <w:rPr>
          <w:rFonts w:ascii="Arial" w:cs="Arial" w:eastAsia="Arial" w:hAnsi="Arial"/>
          <w:sz w:val="18"/>
          <w:szCs w:val="18"/>
          <w:u w:val="single" w:color="auto"/>
          <w:color w:val="auto"/>
        </w:rPr>
        <w:t>Section 11.4 Termination upon Bankruptcy</w:t>
      </w:r>
      <w:r>
        <w:rPr>
          <w:rFonts w:ascii="Arial" w:cs="Arial" w:eastAsia="Arial" w:hAnsi="Arial"/>
          <w:sz w:val="18"/>
          <w:szCs w:val="18"/>
          <w:color w:val="auto"/>
        </w:rPr>
        <w:t>. Service Provider and Recipient may terminate this Agreement immediately upon the filing by any court of competent jurisdiction (a) of a decision, order or judgment adjudicating the other bankrupt; (b) appointing a trustee or receiver of a substantial part of the property of the other or (c) approving a petition for, or effecting an arrangement in, bankruptcy or any other judicial modification or alteration of the rights of creditors of the other, which remain undismissed or unstayed after sixty (60) days.</w:t>
      </w:r>
    </w:p>
    <w:p>
      <w:pPr>
        <w:spacing w:after="0" w:line="186"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u w:val="single" w:color="auto"/>
          <w:color w:val="auto"/>
        </w:rPr>
        <w:t>Section 11.5 Termination upon Recipient Change of Control Transaction</w:t>
      </w:r>
      <w:r>
        <w:rPr>
          <w:rFonts w:ascii="Arial" w:cs="Arial" w:eastAsia="Arial" w:hAnsi="Arial"/>
          <w:sz w:val="16"/>
          <w:szCs w:val="16"/>
          <w:color w:val="auto"/>
        </w:rPr>
        <w:t>. Upon the occurrence of a Recipient Change of Control of BellRing Inc. or any other Recipient(s), Service Provider shall have the right, upon delivery of written notice to BellRing Inc. or the particular Recipient(s), as the case may be, to terminate this Agreement and/or the Services provided hereunder, in whole or in part as to the particular Recipient(s) suffering the Recipient Change of Control, as determined by Service Provider. Notwithstanding the foregoing, if a Recipient sells a business line or operating division, then Service Provider shall have the right, upon delivery of written notice to such Recipient, to terminate the Services provided hereunder to such business line or operating division, in whole or in part, as determined by Service Provider. In addition, upon the occurrence of a Canadian Change of Control, Service Provider shall have the right, upon delivery of written notice to BellRing Inc. or the particular Recipient(s), as the case may be, to terminate the Canadian Services (as defined in the Services Schedule), in whole or in part, as determined by Service Provider. As used in this Section 11.5, a “</w:t>
      </w:r>
      <w:r>
        <w:rPr>
          <w:rFonts w:ascii="Arial" w:cs="Arial" w:eastAsia="Arial" w:hAnsi="Arial"/>
          <w:sz w:val="16"/>
          <w:szCs w:val="16"/>
          <w:u w:val="single" w:color="auto"/>
          <w:color w:val="auto"/>
        </w:rPr>
        <w:t>Canadian Change of Control</w:t>
      </w:r>
      <w:r>
        <w:rPr>
          <w:rFonts w:ascii="Arial" w:cs="Arial" w:eastAsia="Arial" w:hAnsi="Arial"/>
          <w:sz w:val="16"/>
          <w:szCs w:val="16"/>
          <w:color w:val="auto"/>
        </w:rPr>
        <w:t>” shall have occurred in the event any transaction or series of transactions (however structured or evidenced) is/are consummated which (a) result in Post or one of its wholly-owned subsidiaries no longer controlling more than 50% of the combined voting power of the capital stock of Post Foods Canada Inc. entitled to vote generally in the election of directors of Post Foods Canada Inc. or any successor thereto or</w:t>
      </w:r>
    </w:p>
    <w:p>
      <w:pPr>
        <w:spacing w:after="0" w:line="2" w:lineRule="exact"/>
        <w:rPr>
          <w:sz w:val="20"/>
          <w:szCs w:val="20"/>
          <w:color w:val="auto"/>
        </w:rPr>
      </w:pPr>
    </w:p>
    <w:p>
      <w:pPr>
        <w:ind w:left="10" w:right="160" w:hanging="10"/>
        <w:spacing w:after="0" w:line="255" w:lineRule="auto"/>
        <w:tabs>
          <w:tab w:leader="none" w:pos="26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involve the sale, assignment, conveyance, transfer, lease or other disposition of all or substantially all of the assets of Post Foods Canada Inc. Notwithstanding the foregoing, if, at the time of a Canadian Change of Control, Post or one of its wholly-owned subsidiaries has an additional wholly-owned</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4" w:right="459" w:bottom="1440" w:gutter="0" w:footer="0" w:header="0"/>
        </w:sectPr>
      </w:pPr>
    </w:p>
    <w:bookmarkStart w:id="474" w:name="page475"/>
    <w:bookmarkEnd w:id="474"/>
    <w:p>
      <w:pPr>
        <w:jc w:val="both"/>
        <w:ind w:left="1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Canadian subsidiary that employs at least ten (10) employees in Ontario, a Canadian Change in Control shall not cause Service Provider to terminate the Canadian Services, although the Canadian Services may cease for up to thirty (30) days (and Service Provider shall not be deemed to have breached this Agreement on account of that cessation of Canadian Services) while the Canadian Services are transitioned.</w:t>
      </w:r>
    </w:p>
    <w:p>
      <w:pPr>
        <w:spacing w:after="0" w:line="165" w:lineRule="exact"/>
        <w:rPr>
          <w:sz w:val="20"/>
          <w:szCs w:val="20"/>
          <w:color w:val="auto"/>
        </w:rPr>
      </w:pPr>
    </w:p>
    <w:p>
      <w:pPr>
        <w:ind w:left="10" w:right="280" w:firstLine="440"/>
        <w:spacing w:after="0" w:line="263" w:lineRule="auto"/>
        <w:rPr>
          <w:sz w:val="20"/>
          <w:szCs w:val="20"/>
          <w:color w:val="auto"/>
        </w:rPr>
      </w:pPr>
      <w:r>
        <w:rPr>
          <w:rFonts w:ascii="Arial" w:cs="Arial" w:eastAsia="Arial" w:hAnsi="Arial"/>
          <w:sz w:val="18"/>
          <w:szCs w:val="18"/>
          <w:u w:val="single" w:color="auto"/>
          <w:color w:val="auto"/>
        </w:rPr>
        <w:t>Section 11.6 Termination upon Post Change of Control Transaction</w:t>
      </w:r>
      <w:r>
        <w:rPr>
          <w:rFonts w:ascii="Arial" w:cs="Arial" w:eastAsia="Arial" w:hAnsi="Arial"/>
          <w:sz w:val="18"/>
          <w:szCs w:val="18"/>
          <w:color w:val="auto"/>
        </w:rPr>
        <w:t>. Upon the occurrence of a Post Change of Control, Post, or its successor in interest, shall have the right to terminate this Agreement and the Services provided hereunder upon delivery of written notice to BellRing Inc. and BellRing LLC.</w:t>
      </w:r>
    </w:p>
    <w:p>
      <w:pPr>
        <w:spacing w:after="0" w:line="183" w:lineRule="exact"/>
        <w:rPr>
          <w:sz w:val="20"/>
          <w:szCs w:val="20"/>
          <w:color w:val="auto"/>
        </w:rPr>
      </w:pPr>
    </w:p>
    <w:p>
      <w:pPr>
        <w:ind w:left="10" w:right="140" w:firstLine="440"/>
        <w:spacing w:after="0" w:line="285" w:lineRule="auto"/>
        <w:rPr>
          <w:sz w:val="20"/>
          <w:szCs w:val="20"/>
          <w:color w:val="auto"/>
        </w:rPr>
      </w:pPr>
      <w:r>
        <w:rPr>
          <w:rFonts w:ascii="Arial" w:cs="Arial" w:eastAsia="Arial" w:hAnsi="Arial"/>
          <w:sz w:val="16"/>
          <w:szCs w:val="16"/>
          <w:u w:val="single" w:color="auto"/>
          <w:color w:val="auto"/>
        </w:rPr>
        <w:t>Section 11.7 Effect of Termination</w:t>
      </w:r>
      <w:r>
        <w:rPr>
          <w:rFonts w:ascii="Arial" w:cs="Arial" w:eastAsia="Arial" w:hAnsi="Arial"/>
          <w:sz w:val="16"/>
          <w:szCs w:val="16"/>
          <w:color w:val="auto"/>
        </w:rPr>
        <w:t>. Upon termination of this Agreement, Recipient shall pay all amounts outstanding for Services that have been provided by Service Provider as of the effective date of termination. Upon the termination of any Service or this Agreement, Service Provider and Recipient shall cooperate in good faith to effect an orderly transition of the applicable Service(s) to Recipient or its designee and Service Provider and Recipient shall negotiate in good faith with regard to a plan and agreement for (i) the transition and migration of the given Services from Service Provider’s systems, facilities or hosting environments to the systems, facilities and hosting environments of Recipient (or its designee), as applicable,</w:t>
      </w:r>
    </w:p>
    <w:p>
      <w:pPr>
        <w:spacing w:after="0" w:line="1" w:lineRule="exact"/>
        <w:rPr>
          <w:sz w:val="20"/>
          <w:szCs w:val="20"/>
          <w:color w:val="auto"/>
        </w:rPr>
      </w:pPr>
    </w:p>
    <w:p>
      <w:pPr>
        <w:ind w:left="10" w:right="560" w:hanging="10"/>
        <w:spacing w:after="0" w:line="260" w:lineRule="auto"/>
        <w:tabs>
          <w:tab w:leader="none" w:pos="27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Services that will be performed by Service Provider with regard thereto and (iii) the fees and costs that will be paid and/or reimbursed by Recipient for such Services.</w:t>
      </w:r>
    </w:p>
    <w:p>
      <w:pPr>
        <w:spacing w:after="0" w:line="185" w:lineRule="exact"/>
        <w:rPr>
          <w:sz w:val="20"/>
          <w:szCs w:val="20"/>
          <w:color w:val="auto"/>
        </w:rPr>
      </w:pPr>
    </w:p>
    <w:p>
      <w:pPr>
        <w:ind w:left="10" w:right="140" w:firstLine="440"/>
        <w:spacing w:after="0" w:line="277" w:lineRule="auto"/>
        <w:rPr>
          <w:sz w:val="20"/>
          <w:szCs w:val="20"/>
          <w:color w:val="auto"/>
        </w:rPr>
      </w:pPr>
      <w:r>
        <w:rPr>
          <w:rFonts w:ascii="Arial" w:cs="Arial" w:eastAsia="Arial" w:hAnsi="Arial"/>
          <w:sz w:val="18"/>
          <w:szCs w:val="18"/>
          <w:u w:val="single" w:color="auto"/>
          <w:color w:val="auto"/>
        </w:rPr>
        <w:t>Section 11.8 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survive any termination or expiration of this Agreement.</w:t>
      </w:r>
    </w:p>
    <w:p>
      <w:pPr>
        <w:spacing w:after="0" w:line="38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29"/>
        <w:spacing w:after="0"/>
        <w:rPr>
          <w:sz w:val="20"/>
          <w:szCs w:val="20"/>
          <w:color w:val="auto"/>
        </w:rPr>
      </w:pPr>
      <w:r>
        <w:rPr>
          <w:rFonts w:ascii="Arial" w:cs="Arial" w:eastAsia="Arial" w:hAnsi="Arial"/>
          <w:sz w:val="18"/>
          <w:szCs w:val="18"/>
          <w:u w:val="single" w:color="auto"/>
          <w:color w:val="auto"/>
        </w:rPr>
        <w:t>MISCELLANEOUS</w:t>
      </w:r>
    </w:p>
    <w:p>
      <w:pPr>
        <w:spacing w:after="0" w:line="210" w:lineRule="exact"/>
        <w:rPr>
          <w:sz w:val="20"/>
          <w:szCs w:val="20"/>
          <w:color w:val="auto"/>
        </w:rPr>
      </w:pPr>
    </w:p>
    <w:p>
      <w:pPr>
        <w:ind w:left="10" w:firstLine="440"/>
        <w:spacing w:after="0" w:line="269" w:lineRule="auto"/>
        <w:rPr>
          <w:sz w:val="20"/>
          <w:szCs w:val="20"/>
          <w:color w:val="auto"/>
        </w:rPr>
      </w:pPr>
      <w:r>
        <w:rPr>
          <w:rFonts w:ascii="Arial" w:cs="Arial" w:eastAsia="Arial" w:hAnsi="Arial"/>
          <w:sz w:val="17"/>
          <w:szCs w:val="17"/>
          <w:u w:val="single" w:color="auto"/>
          <w:color w:val="auto"/>
        </w:rPr>
        <w:t>Section 12.1 Force Majeure</w:t>
      </w:r>
      <w:r>
        <w:rPr>
          <w:rFonts w:ascii="Arial" w:cs="Arial" w:eastAsia="Arial" w:hAnsi="Arial"/>
          <w:sz w:val="17"/>
          <w:szCs w:val="17"/>
          <w:color w:val="auto"/>
        </w:rPr>
        <w:t xml:space="preserve">. Service Provider shall not be liable for any failure of performance attributable to acts or events (including acts of God, war, terrorist activities, conditions or events of nature, industry wide supply shortages, civil disturbances, work stoppage, power failures, failure of telephone lines and equipment, fire and earthquake or any Law or decision, order or judgment of any Governmental Authority) beyond its reasonable control which impair or prevent in whole or in part performance by Service Provider hereunder. In the event that Service Provider is unable to perform its duties and obligations hereunder as a result of an event of force majeure, as described in the first sentence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Service Provider shall, as promptly as reasonably practicable, give notice of the occurrence of such event to Recipient and shall use its commercially reasonable efforts to resume the Services at the earliest reasonably practicable date. Service Provider shall not be liable for the nonperformance or delay in performance of its obligations under this Agreement to the extent such failure is due to such a force majeure event,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Service Provider fails to perform any Service for fifteen (15) days or more, then Recipient shall have the right to promptly terminate its receipt of such Service upon notice to Service Provider.</w:t>
      </w:r>
    </w:p>
    <w:p>
      <w:pPr>
        <w:spacing w:after="0" w:line="183" w:lineRule="exact"/>
        <w:rPr>
          <w:sz w:val="20"/>
          <w:szCs w:val="20"/>
          <w:color w:val="auto"/>
        </w:rPr>
      </w:pPr>
    </w:p>
    <w:p>
      <w:pPr>
        <w:jc w:val="both"/>
        <w:ind w:left="10" w:right="40" w:firstLine="440"/>
        <w:spacing w:after="0" w:line="273" w:lineRule="auto"/>
        <w:rPr>
          <w:sz w:val="20"/>
          <w:szCs w:val="20"/>
          <w:color w:val="auto"/>
        </w:rPr>
      </w:pPr>
      <w:r>
        <w:rPr>
          <w:rFonts w:ascii="Arial" w:cs="Arial" w:eastAsia="Arial" w:hAnsi="Arial"/>
          <w:sz w:val="17"/>
          <w:szCs w:val="17"/>
          <w:u w:val="single" w:color="auto"/>
          <w:color w:val="auto"/>
        </w:rPr>
        <w:t>Section 12.2 Relationship of the Parties</w:t>
      </w:r>
      <w:r>
        <w:rPr>
          <w:rFonts w:ascii="Arial" w:cs="Arial" w:eastAsia="Arial" w:hAnsi="Arial"/>
          <w:sz w:val="17"/>
          <w:szCs w:val="17"/>
          <w:color w:val="auto"/>
        </w:rPr>
        <w:t>. This Agreement does not create a fiduciary relationship, partnership or joint venture between Post, on the one hand, and BellRing Inc. and BellRing LLC, on the other hand, and does not make Post, on the one hand, or BellRing Inc. and BellRing LLC, on the other hand, the agent of the other for any purpose whatsoever. All Services provided by Service Provider hereunder are provided by Service Provider as an independent contractor. This Agreement does not give any party the authority to commit the other parties to any binding obligation or to execute, on behalf of the other parties, any agreement, lease or other document creating legal obligations on the part of the other parties, and no party shall represent to any third party that it has such authority.</w:t>
      </w:r>
    </w:p>
    <w:p>
      <w:pPr>
        <w:spacing w:after="0" w:line="10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0"/>
          </w:cols>
          <w:pgMar w:left="450" w:top="274" w:right="459" w:bottom="1440" w:gutter="0" w:footer="0" w:header="0"/>
        </w:sectPr>
      </w:pPr>
    </w:p>
    <w:bookmarkStart w:id="475" w:name="page476"/>
    <w:bookmarkEnd w:id="475"/>
    <w:p>
      <w:pPr>
        <w:ind w:left="10" w:right="16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12.3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u w:val="single" w:color="auto"/>
          <w:color w:val="auto"/>
        </w:rPr>
        <w:t>Section 12.4 Actions and Proceedings</w:t>
      </w:r>
      <w:r>
        <w:rPr>
          <w:rFonts w:ascii="Arial" w:cs="Arial" w:eastAsia="Arial" w:hAnsi="Arial"/>
          <w:sz w:val="16"/>
          <w:szCs w:val="16"/>
          <w:color w:val="auto"/>
        </w:rPr>
        <w:t xml:space="preserve">.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12.4,</w:t>
      </w:r>
    </w:p>
    <w:p>
      <w:pPr>
        <w:spacing w:after="0" w:line="4" w:lineRule="exact"/>
        <w:rPr>
          <w:sz w:val="20"/>
          <w:szCs w:val="20"/>
          <w:color w:val="auto"/>
        </w:rPr>
      </w:pPr>
    </w:p>
    <w:p>
      <w:pPr>
        <w:ind w:left="10" w:right="140" w:hanging="10"/>
        <w:spacing w:after="0" w:line="281" w:lineRule="auto"/>
        <w:tabs>
          <w:tab w:leader="none" w:pos="264"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w:t>
      </w:r>
    </w:p>
    <w:p>
      <w:pPr>
        <w:ind w:left="250" w:hanging="250"/>
        <w:spacing w:after="0"/>
        <w:tabs>
          <w:tab w:leader="none" w:pos="25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waives, to the fullest extent permitted by Law, any claim that (i) such suit, action or proceeding in such court is brought in an inconvenient forum,</w:t>
      </w:r>
    </w:p>
    <w:p>
      <w:pPr>
        <w:spacing w:after="0" w:line="31" w:lineRule="exact"/>
        <w:rPr>
          <w:rFonts w:ascii="Arial" w:cs="Arial" w:eastAsia="Arial" w:hAnsi="Arial"/>
          <w:sz w:val="16"/>
          <w:szCs w:val="16"/>
          <w:color w:val="auto"/>
        </w:rPr>
      </w:pPr>
    </w:p>
    <w:p>
      <w:pPr>
        <w:ind w:left="10" w:right="160" w:hanging="10"/>
        <w:spacing w:after="0" w:line="252" w:lineRule="auto"/>
        <w:tabs>
          <w:tab w:leader="none" w:pos="27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the venue of such suit, action or proceeding is improper or (iii) this 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94" w:lineRule="exact"/>
        <w:rPr>
          <w:sz w:val="20"/>
          <w:szCs w:val="20"/>
          <w:color w:val="auto"/>
        </w:rPr>
      </w:pPr>
    </w:p>
    <w:p>
      <w:pPr>
        <w:ind w:left="10" w:firstLine="440"/>
        <w:spacing w:after="0" w:line="253" w:lineRule="auto"/>
        <w:rPr>
          <w:sz w:val="20"/>
          <w:szCs w:val="20"/>
          <w:color w:val="auto"/>
        </w:rPr>
      </w:pPr>
      <w:r>
        <w:rPr>
          <w:rFonts w:ascii="Arial" w:cs="Arial" w:eastAsia="Arial" w:hAnsi="Arial"/>
          <w:sz w:val="18"/>
          <w:szCs w:val="18"/>
          <w:u w:val="single" w:color="auto"/>
          <w:color w:val="auto"/>
        </w:rPr>
        <w:t>Section 12.5 Waiver of Jury Trial</w:t>
      </w:r>
      <w:r>
        <w:rPr>
          <w:rFonts w:ascii="Arial" w:cs="Arial" w:eastAsia="Arial" w:hAnsi="Arial"/>
          <w:sz w:val="18"/>
          <w:szCs w:val="18"/>
          <w:color w:val="auto"/>
        </w:rPr>
        <w:t>. EACH PARTY ACKNOWLEDGES AND AGREES THAT ANY CONTROVERSY WHICH MAY ARISE UNDER THIS AGREEMENT, THE PARTIES’ RELATIONSHIP HEREUNDER OR SERVICES PROVIDED UNDER THIS AGREEMENT IS LIKELY TO INVOLVE COMPLICATED AND DIFFICULT ISSUES AND, THEREFORE, EACH SUCH PARTY IRREVOCABLY AND UNCONDITIONALLY WAIVES ANY RIGHT IT MAY HAVE TO A TRIAL BY JURY IN RESPECT OF ANY LEGAL ACTION ARISING OUT OF OR RELATING TO THIS AGREEMENT, THE PARTIES’ RELATIONSHIP HEREUNDER OR SERVICES PROVIDED UNDER THIS AGREEMENT. EACH PARTY CERTIFIES AND ACKNOWLEDGES THAT (A) NO REPRESENTATIVE OF ANOTHER PARTY HAS REPRESENTED, EXPRESSLY OR OTHERWISE, THAT SUCH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ABOVE.</w:t>
      </w:r>
    </w:p>
    <w:p>
      <w:pPr>
        <w:spacing w:after="0" w:line="192" w:lineRule="exact"/>
        <w:rPr>
          <w:sz w:val="20"/>
          <w:szCs w:val="20"/>
          <w:color w:val="auto"/>
        </w:rPr>
      </w:pPr>
    </w:p>
    <w:p>
      <w:pPr>
        <w:ind w:left="10" w:right="20" w:firstLine="440"/>
        <w:spacing w:after="0" w:line="301" w:lineRule="auto"/>
        <w:rPr>
          <w:sz w:val="20"/>
          <w:szCs w:val="20"/>
          <w:color w:val="auto"/>
        </w:rPr>
      </w:pPr>
      <w:r>
        <w:rPr>
          <w:rFonts w:ascii="Arial" w:cs="Arial" w:eastAsia="Arial" w:hAnsi="Arial"/>
          <w:sz w:val="16"/>
          <w:szCs w:val="16"/>
          <w:u w:val="single" w:color="auto"/>
          <w:color w:val="auto"/>
        </w:rPr>
        <w:t>Section 12.6 Notices</w:t>
      </w:r>
      <w:r>
        <w:rPr>
          <w:rFonts w:ascii="Arial" w:cs="Arial" w:eastAsia="Arial" w:hAnsi="Arial"/>
          <w:sz w:val="16"/>
          <w:szCs w:val="16"/>
          <w:color w:val="auto"/>
        </w:rPr>
        <w:t>. All notices, requests, demands and other communications which are required or may be given under this Agreement shall be in writing and shall be deemed to have been duly given when received if personally delivered; when transmitted if transmitted by electronic or digital transmission method; the day after it is sent, if sent for next day delivery to a domestic address by recognized overnight delivery service (e.g., Federal Express); and upon receipt, if sent by certified or registered mail, return receipt requested. In each case, notice will be sent to:</w:t>
      </w:r>
    </w:p>
    <w:p>
      <w:pPr>
        <w:spacing w:after="0" w:line="8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0"/>
          </w:cols>
          <w:pgMar w:left="450" w:top="273" w:right="459" w:bottom="1440" w:gutter="0" w:footer="0" w:header="0"/>
        </w:sectPr>
      </w:pPr>
    </w:p>
    <w:bookmarkStart w:id="476" w:name="page477"/>
    <w:bookmarkEnd w:id="4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Post: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BellRing Inc. or BellRing LLC:</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address(es) as shall be furnished in writing by any such party to the other party in accordance with the provisions of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12.7 Successors and Assigns; Benefit</w:t>
      </w:r>
      <w:r>
        <w:rPr>
          <w:rFonts w:ascii="Arial" w:cs="Arial" w:eastAsia="Arial" w:hAnsi="Arial"/>
          <w:sz w:val="18"/>
          <w:szCs w:val="18"/>
          <w:color w:val="auto"/>
        </w:rPr>
        <w:t>.</w:t>
      </w:r>
    </w:p>
    <w:p>
      <w:pPr>
        <w:spacing w:after="0" w:line="117" w:lineRule="exact"/>
        <w:rPr>
          <w:sz w:val="20"/>
          <w:szCs w:val="20"/>
          <w:color w:val="auto"/>
        </w:rPr>
      </w:pPr>
    </w:p>
    <w:p>
      <w:pPr>
        <w:ind w:right="80" w:firstLine="981"/>
        <w:spacing w:after="0" w:line="279" w:lineRule="auto"/>
        <w:tabs>
          <w:tab w:leader="none" w:pos="1235"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No assignment of this Agreement or of any rights or obligations hereunder may be made by any party hereto without the prior written consent of the other parties hereto and any attempted assignment without the required consent shall be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party may assign, in whole or in part, this Agreement and its rights and obligations hereunder without notice or the prior written consent of the other party to any Affiliate of such party provided the assigning party shall remain liable hereunder following any such assignment.</w:t>
      </w:r>
    </w:p>
    <w:p>
      <w:pPr>
        <w:spacing w:after="0" w:line="62" w:lineRule="exact"/>
        <w:rPr>
          <w:rFonts w:ascii="Arial" w:cs="Arial" w:eastAsia="Arial" w:hAnsi="Arial"/>
          <w:sz w:val="17"/>
          <w:szCs w:val="17"/>
          <w:color w:val="auto"/>
        </w:rPr>
      </w:pPr>
    </w:p>
    <w:p>
      <w:pPr>
        <w:ind w:firstLine="981"/>
        <w:spacing w:after="0" w:line="263" w:lineRule="auto"/>
        <w:tabs>
          <w:tab w:leader="none" w:pos="124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This Agreement is for the sole benefit of the parties hereto and their permitted assigns and nothing herein express or implied shall give or be construed to give to any Person, other than the parties hereto and such permitted assigns, any legal or equitable rights hereunder. Nothing herein shall or shall be deemed to amend any benefit plan of any the parties hereto.</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12.8 Entire Agreement; Amendments; Waiver</w:t>
      </w:r>
      <w:r>
        <w:rPr>
          <w:rFonts w:ascii="Arial" w:cs="Arial" w:eastAsia="Arial" w:hAnsi="Arial"/>
          <w:sz w:val="18"/>
          <w:szCs w:val="18"/>
          <w:color w:val="auto"/>
        </w:rPr>
        <w:t>.</w:t>
      </w:r>
    </w:p>
    <w:p>
      <w:pPr>
        <w:spacing w:after="0" w:line="117" w:lineRule="exact"/>
        <w:rPr>
          <w:sz w:val="20"/>
          <w:szCs w:val="20"/>
          <w:color w:val="auto"/>
        </w:rPr>
      </w:pPr>
    </w:p>
    <w:p>
      <w:pPr>
        <w:ind w:right="40" w:firstLine="981"/>
        <w:spacing w:after="0" w:line="259" w:lineRule="auto"/>
        <w:tabs>
          <w:tab w:leader="none" w:pos="123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This Agreement, the Exhibits to this Agreement and the Transaction Agreement contain the entire agreement and understanding between the parties hereto with respect to the subject matter hereof and, except to the extent specifically set forth herein, supersede all prior agreements and understandings relating to such subject matter. In the event of any conflict between this Agreement and the Exhibits to this Agreement, this Agreement shall control.</w:t>
      </w:r>
    </w:p>
    <w:p>
      <w:pPr>
        <w:spacing w:after="0" w:line="77" w:lineRule="exact"/>
        <w:rPr>
          <w:rFonts w:ascii="Arial" w:cs="Arial" w:eastAsia="Arial" w:hAnsi="Arial"/>
          <w:sz w:val="18"/>
          <w:szCs w:val="18"/>
          <w:color w:val="auto"/>
        </w:rPr>
      </w:pPr>
    </w:p>
    <w:p>
      <w:pPr>
        <w:ind w:right="140" w:firstLine="981"/>
        <w:spacing w:after="0" w:line="255" w:lineRule="auto"/>
        <w:tabs>
          <w:tab w:leader="none" w:pos="124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 amendment, supplement, modification or cancellation of this Agreement shall be effective unless it shall be in writing and signed by each party hereto. Except as otherwise provided in this Agreement, any failure of any of the parties to comply with any obligation, covenant, agreement or condition herein may be waived by the party entitled to the benefits thereof only by a written instrument signed by such party, granting such waiver, but such waiver or failure to insist upon strict compliance with such obligation, covenant, agreement or condition shall not operate as a waiver of, or estoppel with respect to, any other provision hereof (whether or not similar), nor shall such waiver constitute a continuing waiver unless otherwise expressly provided.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60" w:top="274" w:right="519" w:bottom="1440" w:gutter="0" w:footer="0" w:header="0"/>
        </w:sectPr>
      </w:pPr>
    </w:p>
    <w:bookmarkStart w:id="477" w:name="page478"/>
    <w:bookmarkEnd w:id="477"/>
    <w:p>
      <w:pPr>
        <w:ind w:firstLine="981"/>
        <w:spacing w:after="0" w:line="287" w:lineRule="auto"/>
        <w:tabs>
          <w:tab w:leader="none" w:pos="1235" w:val="left"/>
        </w:tabs>
        <w:numPr>
          <w:ilvl w:val="0"/>
          <w:numId w:val="4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During the term of this Agreement, there may be a Change in Circumstance (as defined below) that may require Service Provider, in its discretion, to modify, amend or change the Services provided hereunder. Notwithstanding anything to the contrary in this Agreement, in the event of a Change in Circumstance during the term of this Agreement, without the consent of Recipient, Service Provider may amend the given Services Schedule of this Agreement upon written notice to Recipient to the extent necessary to comply with such Change in Circumstance. Without limiting the foregoing, if the Change in Circumstance results in additional costs to Service Provider for providing the Services hereunder, then Service Provider may increase the fees and costs set forth on the applicable Services Schedule in amounts as will compensate Service Provider for such additional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additional costs are borne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each of Recipient and Service Provider and its Affiliates receiving or utilizing such services, as applicable, to the extent such Change in Circumstance affects the provision of such services by Service Provider to itself or to such Affiliates, including Recipient. Any amendment made in accordance with this </w:t>
      </w:r>
      <w:r>
        <w:rPr>
          <w:rFonts w:ascii="Arial" w:cs="Arial" w:eastAsia="Arial" w:hAnsi="Arial"/>
          <w:sz w:val="16"/>
          <w:szCs w:val="16"/>
          <w:u w:val="single" w:color="auto"/>
          <w:color w:val="auto"/>
        </w:rPr>
        <w:t>Section 12.8(c)</w:t>
      </w:r>
      <w:r>
        <w:rPr>
          <w:rFonts w:ascii="Arial" w:cs="Arial" w:eastAsia="Arial" w:hAnsi="Arial"/>
          <w:sz w:val="16"/>
          <w:szCs w:val="16"/>
          <w:color w:val="auto"/>
        </w:rPr>
        <w:t xml:space="preserve"> shall be effective as of the date specified in the notice of such amendment. “</w:t>
      </w:r>
      <w:r>
        <w:rPr>
          <w:rFonts w:ascii="Arial" w:cs="Arial" w:eastAsia="Arial" w:hAnsi="Arial"/>
          <w:sz w:val="16"/>
          <w:szCs w:val="16"/>
          <w:u w:val="single" w:color="auto"/>
          <w:color w:val="auto"/>
        </w:rPr>
        <w:t>Change in Circumstance</w:t>
      </w:r>
      <w:r>
        <w:rPr>
          <w:rFonts w:ascii="Arial" w:cs="Arial" w:eastAsia="Arial" w:hAnsi="Arial"/>
          <w:sz w:val="16"/>
          <w:szCs w:val="16"/>
          <w:color w:val="auto"/>
        </w:rPr>
        <w:t>” shall mean any change in any Law, whether by adoption of a new Law, the amendment, modification, expiration or repeal of an existing Law or the reversal of a Law by a Governmental Authority.</w:t>
      </w:r>
    </w:p>
    <w:p>
      <w:pPr>
        <w:spacing w:after="0" w:line="170"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u w:val="single" w:color="auto"/>
          <w:color w:val="auto"/>
        </w:rPr>
        <w:t>Section 12.9 Severability</w:t>
      </w:r>
      <w:r>
        <w:rPr>
          <w:rFonts w:ascii="Arial" w:cs="Arial" w:eastAsia="Arial" w:hAnsi="Arial"/>
          <w:sz w:val="17"/>
          <w:szCs w:val="17"/>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Law, such invalidity, illegality or unenforceability shall not affect any other provision of this Agreement or any other such instrument.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u w:val="single" w:color="auto"/>
          <w:color w:val="auto"/>
        </w:rPr>
        <w:t>Section 12.10 Counterparts; Electronic Delivery</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be executed and delivered by electronic mail, and an electronic copy of this Agreement or of a signature of a party shall be effective as an original.</w:t>
      </w:r>
    </w:p>
    <w:p>
      <w:pPr>
        <w:spacing w:after="0" w:line="183"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u w:val="single" w:color="auto"/>
          <w:color w:val="auto"/>
        </w:rPr>
        <w:t>Section 12.11 Other Agreements</w:t>
      </w:r>
      <w:r>
        <w:rPr>
          <w:rFonts w:ascii="Arial" w:cs="Arial" w:eastAsia="Arial" w:hAnsi="Arial"/>
          <w:sz w:val="18"/>
          <w:szCs w:val="18"/>
          <w:color w:val="auto"/>
        </w:rPr>
        <w:t>. This Agreement is not intended to amend or modify, and should not be interpreted to amend or modify in any respect, the rights and obligations of the parties under the Transaction Agreement or any of the Ancillary Agreements.</w:t>
      </w:r>
    </w:p>
    <w:p>
      <w:pPr>
        <w:spacing w:after="0" w:line="170"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u w:val="single" w:color="auto"/>
          <w:color w:val="auto"/>
        </w:rPr>
        <w:t>Section 12.12 Specific Performance</w:t>
      </w:r>
      <w:r>
        <w:rPr>
          <w:rFonts w:ascii="Arial" w:cs="Arial" w:eastAsia="Arial" w:hAnsi="Arial"/>
          <w:sz w:val="16"/>
          <w:szCs w:val="16"/>
          <w:color w:val="auto"/>
        </w:rPr>
        <w:t>. The parties hereto agree that irreparable damage could occur if any provision of this Agreement were not performed in accordance with the terms hereof and that the parties shall be entitled, without posting a bond or similar indemnity, to an injunction or injunctions to prevent breaches of this Agreement or to specific enforcement of the performance of the terms and provisions hereof.</w:t>
      </w:r>
    </w:p>
    <w:p>
      <w:pPr>
        <w:spacing w:after="0" w:line="14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u w:val="single" w:color="auto"/>
          <w:color w:val="auto"/>
        </w:rPr>
        <w:t>Section 12.13 No Right of Setoff</w:t>
      </w:r>
      <w:r>
        <w:rPr>
          <w:rFonts w:ascii="Arial" w:cs="Arial" w:eastAsia="Arial" w:hAnsi="Arial"/>
          <w:sz w:val="18"/>
          <w:szCs w:val="18"/>
          <w:color w:val="auto"/>
        </w:rPr>
        <w:t>. Each of the parties hereto hereby acknowledges that it shall have no right under this Agreement to offset any amounts owed (or to become due and owing) to the other party(ies) under this Agreement against any other amount owed (or to become due and owing) to it by the other party(ies).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478" w:name="page479"/>
    <w:bookmarkEnd w:id="4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above written.</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14605</wp:posOffset>
            </wp:positionV>
            <wp:extent cx="25609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[Title]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14605</wp:posOffset>
            </wp:positionV>
            <wp:extent cx="25609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[Title]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14605</wp:posOffset>
            </wp:positionV>
            <wp:extent cx="25609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M</w:t>
      </w:r>
      <w:r>
        <w:rPr>
          <w:rFonts w:ascii="Arial" w:cs="Arial" w:eastAsia="Arial" w:hAnsi="Arial"/>
          <w:sz w:val="14"/>
          <w:szCs w:val="14"/>
          <w:color w:val="auto"/>
        </w:rPr>
        <w:t>ASTER</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479" w:name="page480"/>
    <w:bookmarkEnd w:id="479"/>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40" w:type="dxa"/>
            <w:vAlign w:val="bottom"/>
          </w:tcPr>
          <w:p>
            <w:pPr>
              <w:ind w:left="3000"/>
              <w:spacing w:after="0"/>
              <w:rPr>
                <w:sz w:val="20"/>
                <w:szCs w:val="20"/>
                <w:color w:val="auto"/>
              </w:rPr>
            </w:pPr>
            <w:r>
              <w:rPr>
                <w:rFonts w:ascii="Arial" w:cs="Arial" w:eastAsia="Arial" w:hAnsi="Arial"/>
                <w:sz w:val="18"/>
                <w:szCs w:val="18"/>
                <w:b w:val="1"/>
                <w:bCs w:val="1"/>
                <w:color w:val="auto"/>
                <w:w w:val="91"/>
              </w:rPr>
              <w:t>Exhibit 10.8</w:t>
            </w:r>
          </w:p>
        </w:tc>
      </w:tr>
      <w:tr>
        <w:trPr>
          <w:trHeight w:val="432"/>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jc w:val="center"/>
              <w:ind w:right="870"/>
              <w:spacing w:after="0"/>
              <w:rPr>
                <w:sz w:val="20"/>
                <w:szCs w:val="20"/>
                <w:color w:val="auto"/>
              </w:rPr>
            </w:pPr>
            <w:r>
              <w:rPr>
                <w:rFonts w:ascii="Arial" w:cs="Arial" w:eastAsia="Arial" w:hAnsi="Arial"/>
                <w:sz w:val="18"/>
                <w:szCs w:val="18"/>
                <w:b w:val="1"/>
                <w:bCs w:val="1"/>
                <w:color w:val="auto"/>
              </w:rPr>
              <w:t>FORM OF</w:t>
            </w:r>
          </w:p>
        </w:tc>
        <w:tc>
          <w:tcPr>
            <w:tcW w:w="394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rPr>
              <w:t>INDEMNIFICATION AGREEMENT</w:t>
            </w:r>
          </w:p>
        </w:tc>
        <w:tc>
          <w:tcPr>
            <w:tcW w:w="3940" w:type="dxa"/>
            <w:vAlign w:val="bottom"/>
          </w:tcPr>
          <w:p>
            <w:pPr>
              <w:spacing w:after="0"/>
              <w:rPr>
                <w:sz w:val="24"/>
                <w:szCs w:val="24"/>
                <w:color w:val="auto"/>
              </w:rPr>
            </w:pPr>
          </w:p>
        </w:tc>
      </w:tr>
      <w:tr>
        <w:trPr>
          <w:trHeight w:val="391"/>
        </w:trPr>
        <w:tc>
          <w:tcPr>
            <w:tcW w:w="7060" w:type="dxa"/>
            <w:vAlign w:val="bottom"/>
            <w:gridSpan w:val="9"/>
          </w:tcPr>
          <w:p>
            <w:pPr>
              <w:ind w:left="440"/>
              <w:spacing w:after="0"/>
              <w:rPr>
                <w:sz w:val="20"/>
                <w:szCs w:val="20"/>
                <w:color w:val="auto"/>
              </w:rPr>
            </w:pPr>
            <w:r>
              <w:rPr>
                <w:rFonts w:ascii="Arial" w:cs="Arial" w:eastAsia="Arial" w:hAnsi="Arial"/>
                <w:sz w:val="18"/>
                <w:szCs w:val="18"/>
                <w:color w:val="auto"/>
              </w:rPr>
              <w:t>This Indemnification Agreement (this “Agreement”) is made and entered into as of</w:t>
            </w:r>
          </w:p>
        </w:tc>
        <w:tc>
          <w:tcPr>
            <w:tcW w:w="3940" w:type="dxa"/>
            <w:vAlign w:val="bottom"/>
          </w:tcPr>
          <w:p>
            <w:pPr>
              <w:ind w:left="120"/>
              <w:spacing w:after="0"/>
              <w:rPr>
                <w:sz w:val="20"/>
                <w:szCs w:val="20"/>
                <w:color w:val="auto"/>
              </w:rPr>
            </w:pPr>
            <w:r>
              <w:rPr>
                <w:rFonts w:ascii="Arial" w:cs="Arial" w:eastAsia="Arial" w:hAnsi="Arial"/>
                <w:sz w:val="18"/>
                <w:szCs w:val="18"/>
                <w:color w:val="auto"/>
              </w:rPr>
              <w:t>, 2019, by and among BellRing Brands, Inc., a</w:t>
            </w:r>
          </w:p>
        </w:tc>
      </w:tr>
      <w:tr>
        <w:trPr>
          <w:trHeight w:val="20"/>
        </w:trPr>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r>
      <w:tr>
        <w:trPr>
          <w:trHeight w:val="196"/>
        </w:trPr>
        <w:tc>
          <w:tcPr>
            <w:tcW w:w="3280" w:type="dxa"/>
            <w:vAlign w:val="bottom"/>
            <w:gridSpan w:val="5"/>
          </w:tcPr>
          <w:p>
            <w:pPr>
              <w:spacing w:after="0" w:line="196" w:lineRule="exact"/>
              <w:rPr>
                <w:sz w:val="20"/>
                <w:szCs w:val="20"/>
                <w:color w:val="auto"/>
              </w:rPr>
            </w:pPr>
            <w:r>
              <w:rPr>
                <w:rFonts w:ascii="Arial" w:cs="Arial" w:eastAsia="Arial" w:hAnsi="Arial"/>
                <w:sz w:val="18"/>
                <w:szCs w:val="18"/>
                <w:color w:val="auto"/>
                <w:w w:val="93"/>
              </w:rPr>
              <w:t>Delaware corporation (the “Company”), and</w:t>
            </w:r>
          </w:p>
        </w:tc>
        <w:tc>
          <w:tcPr>
            <w:tcW w:w="7720" w:type="dxa"/>
            <w:vAlign w:val="bottom"/>
            <w:gridSpan w:val="5"/>
          </w:tcPr>
          <w:p>
            <w:pPr>
              <w:ind w:left="680"/>
              <w:spacing w:after="0" w:line="196" w:lineRule="exact"/>
              <w:rPr>
                <w:sz w:val="20"/>
                <w:szCs w:val="20"/>
                <w:color w:val="auto"/>
              </w:rPr>
            </w:pPr>
            <w:r>
              <w:rPr>
                <w:rFonts w:ascii="Arial" w:cs="Arial" w:eastAsia="Arial" w:hAnsi="Arial"/>
                <w:sz w:val="18"/>
                <w:szCs w:val="18"/>
                <w:color w:val="auto"/>
                <w:w w:val="91"/>
              </w:rPr>
              <w:t>(“Indemnitee”). Capitalized terms used but not otherwise defined herein shall have the meanings</w:t>
            </w:r>
          </w:p>
        </w:tc>
      </w:tr>
      <w:tr>
        <w:trPr>
          <w:trHeight w:val="20"/>
        </w:trPr>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3280" w:type="dxa"/>
            <w:vAlign w:val="bottom"/>
            <w:gridSpan w:val="5"/>
          </w:tcPr>
          <w:p>
            <w:pPr>
              <w:spacing w:after="0" w:line="196" w:lineRule="exact"/>
              <w:rPr>
                <w:sz w:val="20"/>
                <w:szCs w:val="20"/>
                <w:color w:val="auto"/>
              </w:rPr>
            </w:pPr>
            <w:r>
              <w:rPr>
                <w:rFonts w:ascii="Arial" w:cs="Arial" w:eastAsia="Arial" w:hAnsi="Arial"/>
                <w:sz w:val="18"/>
                <w:szCs w:val="18"/>
                <w:color w:val="auto"/>
              </w:rPr>
              <w:t>set forth in Section 15 hereof.</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22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WHEREAS, in light of the litigation costs and risks to directors, managers and officers resulting from their service to companies, and the desire of the Company to attract and retain qualified individuals to serve as directors, managers and officers for the Company Entities, it is reasonable, prudent and necessary for the Company to indemnify and advance expenses on behalf of the Company Entities’ directors, managers and officers to the extent permitted by applicable Law so that they will serve or continue to serve the Company Entities free from undue concern regarding such risks;</w:t>
      </w:r>
    </w:p>
    <w:p>
      <w:pPr>
        <w:spacing w:after="0" w:line="156"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WHEREAS, the Company has requested that Indemnitee serve or continue to serve as a director and/or officer of the Company and may have requested or may in the future request that Indemnitee serve one or more of the other Company Entities as a director, manager or officer or in other capacities; and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Indemnitee is willing to serve as a director and/or officer of the Company on the condition that Indemnitee be so indemnified.</w:t>
      </w:r>
    </w:p>
    <w:p>
      <w:pPr>
        <w:spacing w:after="0" w:line="23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left="620" w:hanging="190"/>
        <w:spacing w:after="0"/>
        <w:tabs>
          <w:tab w:leader="none" w:pos="620"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Services by Indemnitee</w:t>
      </w:r>
      <w:r>
        <w:rPr>
          <w:rFonts w:ascii="Arial" w:cs="Arial" w:eastAsia="Arial" w:hAnsi="Arial"/>
          <w:sz w:val="16"/>
          <w:szCs w:val="16"/>
          <w:color w:val="auto"/>
        </w:rPr>
        <w:t>. Indemnitee agrees to serve as a director and/or officer of the Company and/or one or more of the Company Entities.</w:t>
      </w:r>
    </w:p>
    <w:p>
      <w:pPr>
        <w:spacing w:after="0" w:line="139" w:lineRule="exact"/>
        <w:rPr>
          <w:rFonts w:ascii="Arial" w:cs="Arial" w:eastAsia="Arial" w:hAnsi="Arial"/>
          <w:sz w:val="16"/>
          <w:szCs w:val="16"/>
          <w:color w:val="auto"/>
        </w:rPr>
      </w:pPr>
    </w:p>
    <w:p>
      <w:pPr>
        <w:ind w:left="620" w:hanging="190"/>
        <w:spacing w:after="0"/>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20" w:firstLine="430"/>
        <w:spacing w:after="0" w:line="290" w:lineRule="auto"/>
        <w:tabs>
          <w:tab w:leader="none" w:pos="684"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the terms and subject to the conditions of this Agreement, the Company shall, to the fullest extent permitted by applicable law (as such may be in existence on the date hereof or amended from time to time, “</w:t>
      </w:r>
      <w:r>
        <w:rPr>
          <w:rFonts w:ascii="Arial" w:cs="Arial" w:eastAsia="Arial" w:hAnsi="Arial"/>
          <w:sz w:val="16"/>
          <w:szCs w:val="16"/>
          <w:u w:val="single" w:color="auto"/>
          <w:color w:val="auto"/>
        </w:rPr>
        <w:t>Law</w:t>
      </w:r>
      <w:r>
        <w:rPr>
          <w:rFonts w:ascii="Arial" w:cs="Arial" w:eastAsia="Arial" w:hAnsi="Arial"/>
          <w:sz w:val="16"/>
          <w:szCs w:val="16"/>
          <w:color w:val="auto"/>
        </w:rPr>
        <w:t>”), indemnify Indemnitee with respect to, and hold Indemnitee harmless from and against, all liabilities, judgments, fines, penalties, costs, Expenses and other amounts that Indemnitee reasonably incurs and that result from, arise in connection with or are by reason of Indemnitee’s Corporate Status, and shall advance Expenses to Indemnitee pursuant to the terms set forth in this Agreement. The obligations of the Company under this Agreement shall continue during the period Indemnitee is a director or officer of any Company Entity and after such time as Indemnitee ceases to serve as a director or officer of any Company Entity or in any other Corporate Status, and include, without limitation, claims for monetary damages against Indemnitee in respect of any actual or alleged liability or other loss of Indemnitee, to the fullest extent permitted under applicable Law (including, if applicable, Section 145 of the General Corporation Law of the State of Delaware).</w:t>
      </w:r>
    </w:p>
    <w:p>
      <w:pPr>
        <w:spacing w:after="0" w:line="56" w:lineRule="exact"/>
        <w:rPr>
          <w:rFonts w:ascii="Arial" w:cs="Arial" w:eastAsia="Arial" w:hAnsi="Arial"/>
          <w:sz w:val="16"/>
          <w:szCs w:val="16"/>
          <w:color w:val="auto"/>
        </w:rPr>
      </w:pPr>
    </w:p>
    <w:p>
      <w:pPr>
        <w:ind w:right="60" w:firstLine="430"/>
        <w:spacing w:after="0" w:line="291" w:lineRule="auto"/>
        <w:tabs>
          <w:tab w:leader="none" w:pos="695"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Indemnity of Indemnitee by Subsidiary of the Company</w:t>
      </w:r>
      <w:r>
        <w:rPr>
          <w:rFonts w:ascii="Arial" w:cs="Arial" w:eastAsia="Arial" w:hAnsi="Arial"/>
          <w:sz w:val="16"/>
          <w:szCs w:val="16"/>
          <w:color w:val="auto"/>
        </w:rPr>
        <w:t xml:space="preserve">. Notwithstanding and in addition to any other provision of this Agreement, in the event that Indemnitee serves, now or in the future, as an officer, director, member of the board of managers or in a similar position with any of the Company’s direct or indirect subsidiaries, in consideration for such service, Indemnitee shall be indemnified and be entitled to rights of advancement and contribution from any such subsidiary to the maximum extent permitted by this Agreement and by applicable Law. Such indemnification, advancement and contribution shall be made on comparable terms pursuant to comparable procedures as those set forth in this Agreement. The Company hereby represents that it is or will be duly authorized and empowered on behalf of each such subsidiary described in the preceding sentence to provide such indemnification, advancement and contribution as set forth in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and further agrees to take any and all</w:t>
      </w:r>
    </w:p>
    <w:p>
      <w:pPr>
        <w:sectPr>
          <w:pgSz w:w="11900" w:h="16838" w:orient="portrait"/>
          <w:cols w:equalWidth="0" w:num="1">
            <w:col w:w="11000"/>
          </w:cols>
          <w:pgMar w:left="460" w:top="121" w:right="439" w:bottom="1440" w:gutter="0" w:footer="0" w:header="0"/>
        </w:sectPr>
      </w:pPr>
    </w:p>
    <w:bookmarkStart w:id="480" w:name="page481"/>
    <w:bookmarkEnd w:id="48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actions necessary to cause each such subsidiary to effectuate such indemnification, advancement and contribution. In the event that any such subsidiary against which Indemnitee is entitled to such indemnification, advancement and contribution fails to provide such indemnification, advancement or contribution to the maximum extent permitted by this Agreement and by applicable Law, the Company agrees to provide to Indemnitee any and all indemnification, advancement and contribution to the maximum extent permitted by this Agreement and by applicable Law on behalf of such subsidiary. The rights of indemnification, advancement and contribution provided to Indemnitee by any subsidiary of the Company are not exclusive of any other rights which Indemnitee may have from such subsidiary under statute, bylaw, agreement, vote of the board of directors or board of managers of such subsidiary or otherwise.</w:t>
      </w:r>
    </w:p>
    <w:p>
      <w:pPr>
        <w:spacing w:after="0" w:line="85" w:lineRule="exact"/>
        <w:rPr>
          <w:sz w:val="20"/>
          <w:szCs w:val="20"/>
          <w:color w:val="auto"/>
        </w:rPr>
      </w:pPr>
    </w:p>
    <w:p>
      <w:pPr>
        <w:ind w:right="40" w:firstLine="430"/>
        <w:spacing w:after="0" w:line="254"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Proceedings Other Than Proceedings by or in the Right of the Company</w:t>
      </w:r>
      <w:r>
        <w:rPr>
          <w:rFonts w:ascii="Arial" w:cs="Arial" w:eastAsia="Arial" w:hAnsi="Arial"/>
          <w:sz w:val="18"/>
          <w:szCs w:val="18"/>
          <w:color w:val="auto"/>
        </w:rPr>
        <w:t>. If in connection with, or by reason of, Indemnitee’s Corporate Status Indemnitee was, is, or is threatened to be made, a party to or a participant in any Proceeding other than a Proceeding by or in the right of the Company to procure a judgment in its favor, the Company shall, to the fullest extent permitted by Law, indemnify Indemnitee with respect to, and hold Indemnitee harmless from and against, all Expenses, liabilities, losses, judgments, fines, penalties, costs and amounts paid in settlement (including all interest, assessments and other charges paid or payable in connection with or in respect of such liabilities, losses, judgments, fines, penalties, costs and amounts paid in settlement) reasonably incurred by Indemnitee or on behalf of Indemnitee in connection with such Proceeding or any claim, issue or matter therein.</w:t>
      </w:r>
    </w:p>
    <w:p>
      <w:pPr>
        <w:spacing w:after="0" w:line="85" w:lineRule="exact"/>
        <w:rPr>
          <w:rFonts w:ascii="Arial" w:cs="Arial" w:eastAsia="Arial" w:hAnsi="Arial"/>
          <w:sz w:val="18"/>
          <w:szCs w:val="18"/>
          <w:color w:val="auto"/>
        </w:rPr>
      </w:pPr>
    </w:p>
    <w:p>
      <w:pPr>
        <w:ind w:right="140" w:firstLine="430"/>
        <w:spacing w:after="0" w:line="271" w:lineRule="auto"/>
        <w:tabs>
          <w:tab w:leader="none" w:pos="62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Company</w:t>
      </w:r>
      <w:r>
        <w:rPr>
          <w:rFonts w:ascii="Arial" w:cs="Arial" w:eastAsia="Arial" w:hAnsi="Arial"/>
          <w:sz w:val="17"/>
          <w:szCs w:val="17"/>
          <w:color w:val="auto"/>
        </w:rPr>
        <w:t xml:space="preserve">. If in connection with, or by reason of, Indemnitee’s Corporate Status Indemnitee was, is, or is threatened to be made, a party to or a participant in any Proceeding brought by or in the right of the Company to procure a judgment in its favor, the Company shall, to the fullest extent permitted by Law, indemnify Indemnitee with respect to, and hold Indemnitee harmless from and against, all Expenses reasonably incurred by Indemnitee or on behalf of Indemnitee in connection with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indemnification against such Expenses shall be made in respect of any claim, issue or matter in such Proceeding as to which Indemnitee shall have been adjudged by a court of competent jurisdiction to be liable to the Company only if (and only to the extent that) the Court of Chancery of the State of Delaware or other court in which such Proceeding shall have been brought or is pending (the “</w:t>
      </w:r>
      <w:r>
        <w:rPr>
          <w:rFonts w:ascii="Arial" w:cs="Arial" w:eastAsia="Arial" w:hAnsi="Arial"/>
          <w:sz w:val="17"/>
          <w:szCs w:val="17"/>
          <w:u w:val="single" w:color="auto"/>
          <w:color w:val="auto"/>
        </w:rPr>
        <w:t>Trial Court</w:t>
      </w:r>
      <w:r>
        <w:rPr>
          <w:rFonts w:ascii="Arial" w:cs="Arial" w:eastAsia="Arial" w:hAnsi="Arial"/>
          <w:sz w:val="17"/>
          <w:szCs w:val="17"/>
          <w:color w:val="auto"/>
        </w:rPr>
        <w:t>”) shall determine that despite such adjudication of liability and in light of all circumstances such indemnification may be made.</w:t>
      </w:r>
    </w:p>
    <w:p>
      <w:pPr>
        <w:spacing w:after="0" w:line="68" w:lineRule="exact"/>
        <w:rPr>
          <w:rFonts w:ascii="Arial" w:cs="Arial" w:eastAsia="Arial" w:hAnsi="Arial"/>
          <w:sz w:val="17"/>
          <w:szCs w:val="17"/>
          <w:color w:val="auto"/>
        </w:rPr>
      </w:pPr>
    </w:p>
    <w:p>
      <w:pPr>
        <w:ind w:right="60" w:firstLine="430"/>
        <w:spacing w:after="0" w:line="289" w:lineRule="auto"/>
        <w:tabs>
          <w:tab w:leader="none" w:pos="620"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Mandatory Indemnification in Case of Successful Defense</w:t>
      </w:r>
      <w:r>
        <w:rPr>
          <w:rFonts w:ascii="Arial" w:cs="Arial" w:eastAsia="Arial" w:hAnsi="Arial"/>
          <w:sz w:val="16"/>
          <w:szCs w:val="16"/>
          <w:color w:val="auto"/>
        </w:rPr>
        <w:t xml:space="preserve">. Notwithstanding any other provision of this Agreement, to the extent that Indemnitee is, by reason of Indemnitee’s Corporate Status, a party to (or a participant in) and is successful, on the merits or otherwise, in defense of any Proceeding (including, without limitation, any Proceeding brought by or in the right of the Company), the Company shall, to the fullest extent permitted by Law, indemnify Indemnitee with respect to, and hold Indemnitee harmless from and against, all Expenses reasonably incurred by Indemnitee or on behalf of Indemnitee in connection therewith. If Indemnitee is not wholly successful in defense of such Proceeding but is successful, on the merits or otherwise, as to one or more but less than all claims, issues or matters in such Proceeding, the Company shall, to the fullest extent permitted by Law, indemnify Indemnitee against all Expenses reasonably incurred by Indemnitee or on behalf of Indemnitee in connection with each successfully resolved claim, issue or matter.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without limitation, the termination of any claim, issue or matter in such a Proceeding by dismissal, with or without prejudice, on substantive or procedural grounds, shall be deemed to be a successful result as to such claim, issue or matter.</w:t>
      </w:r>
    </w:p>
    <w:p>
      <w:pPr>
        <w:spacing w:after="0" w:line="96" w:lineRule="exact"/>
        <w:rPr>
          <w:rFonts w:ascii="Arial" w:cs="Arial" w:eastAsia="Arial" w:hAnsi="Arial"/>
          <w:sz w:val="16"/>
          <w:szCs w:val="16"/>
          <w:color w:val="auto"/>
        </w:rPr>
      </w:pPr>
    </w:p>
    <w:p>
      <w:pPr>
        <w:ind w:left="5440" w:hanging="96"/>
        <w:spacing w:after="0"/>
        <w:tabs>
          <w:tab w:leader="none" w:pos="54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60" w:top="274" w:right="439" w:bottom="1440" w:gutter="0" w:footer="0" w:header="0"/>
        </w:sectPr>
      </w:pPr>
    </w:p>
    <w:bookmarkStart w:id="481" w:name="page482"/>
    <w:bookmarkEnd w:id="481"/>
    <w:p>
      <w:pPr>
        <w:ind w:left="190" w:hanging="190"/>
        <w:spacing w:after="0"/>
        <w:tabs>
          <w:tab w:leader="none" w:pos="19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Partial Indemnification; Contribution</w:t>
      </w:r>
      <w:r>
        <w:rPr>
          <w:rFonts w:ascii="Arial" w:cs="Arial" w:eastAsia="Arial" w:hAnsi="Arial"/>
          <w:sz w:val="18"/>
          <w:szCs w:val="18"/>
          <w:color w:val="auto"/>
        </w:rPr>
        <w:t>.</w:t>
      </w:r>
    </w:p>
    <w:p>
      <w:pPr>
        <w:spacing w:after="0" w:line="117" w:lineRule="exact"/>
        <w:rPr>
          <w:sz w:val="20"/>
          <w:szCs w:val="20"/>
          <w:color w:val="auto"/>
        </w:rPr>
      </w:pPr>
    </w:p>
    <w:p>
      <w:pPr>
        <w:ind w:left="-430" w:firstLine="430"/>
        <w:spacing w:after="0" w:line="296" w:lineRule="auto"/>
        <w:tabs>
          <w:tab w:leader="none" w:pos="254"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or otherwise to indemnification by the Company for a portion of the Expenses, liabilities, losses, judgments, fines, penalties, costs and amounts paid in settlement (including all interest, assessments and other charges paid or payable in connection with or in respect of such liabilities, losses, judgments, penalties, fines and amounts paid in settlement) incurred by Indemnitee or on behalf of Indemnitee in connection with a Proceeding or any claim, issue or matter therein, in whole or in part, the Company shall, to the fullest extent permitted by Law, indemnify Indemnitee to the fullest extent to which Indemnitee is entitled to such indemnification.</w:t>
      </w:r>
    </w:p>
    <w:p>
      <w:pPr>
        <w:spacing w:after="0" w:line="52" w:lineRule="exact"/>
        <w:rPr>
          <w:rFonts w:ascii="Arial" w:cs="Arial" w:eastAsia="Arial" w:hAnsi="Arial"/>
          <w:sz w:val="16"/>
          <w:szCs w:val="16"/>
          <w:color w:val="auto"/>
        </w:rPr>
      </w:pPr>
    </w:p>
    <w:p>
      <w:pPr>
        <w:ind w:left="250" w:hanging="250"/>
        <w:spacing w:after="0"/>
        <w:tabs>
          <w:tab w:leader="none" w:pos="25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430" w:firstLine="1421"/>
        <w:spacing w:after="0" w:line="301" w:lineRule="auto"/>
        <w:tabs>
          <w:tab w:leader="none" w:pos="1215" w:val="left"/>
        </w:tabs>
        <w:numPr>
          <w:ilvl w:val="1"/>
          <w:numId w:val="406"/>
        </w:numPr>
        <w:rPr>
          <w:rFonts w:ascii="Arial" w:cs="Arial" w:eastAsia="Arial" w:hAnsi="Arial"/>
          <w:sz w:val="16"/>
          <w:szCs w:val="16"/>
          <w:color w:val="auto"/>
        </w:rPr>
      </w:pPr>
      <w:r>
        <w:rPr>
          <w:rFonts w:ascii="Arial" w:cs="Arial" w:eastAsia="Arial" w:hAnsi="Arial"/>
          <w:sz w:val="16"/>
          <w:szCs w:val="16"/>
          <w:color w:val="auto"/>
        </w:rPr>
        <w:t>Whether or not any indemnification provided elsewhere in this Agreement is available, in respect of any threatened, pending or completed action, suit or proceeding in which the Company is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w:t>
      </w:r>
    </w:p>
    <w:p>
      <w:pPr>
        <w:spacing w:after="0" w:line="48" w:lineRule="exact"/>
        <w:rPr>
          <w:rFonts w:ascii="Arial" w:cs="Arial" w:eastAsia="Arial" w:hAnsi="Arial"/>
          <w:sz w:val="16"/>
          <w:szCs w:val="16"/>
          <w:color w:val="auto"/>
        </w:rPr>
      </w:pPr>
    </w:p>
    <w:p>
      <w:pPr>
        <w:ind w:left="-430" w:right="20" w:firstLine="1421"/>
        <w:spacing w:after="0" w:line="267" w:lineRule="auto"/>
        <w:tabs>
          <w:tab w:leader="none" w:pos="1265" w:val="left"/>
        </w:tabs>
        <w:numPr>
          <w:ilvl w:val="1"/>
          <w:numId w:val="406"/>
        </w:numPr>
        <w:rPr>
          <w:rFonts w:ascii="Arial" w:cs="Arial" w:eastAsia="Arial" w:hAnsi="Arial"/>
          <w:sz w:val="17"/>
          <w:szCs w:val="17"/>
          <w:color w:val="auto"/>
        </w:rPr>
      </w:pPr>
      <w:r>
        <w:rPr>
          <w:rFonts w:ascii="Arial" w:cs="Arial" w:eastAsia="Arial" w:hAnsi="Arial"/>
          <w:sz w:val="17"/>
          <w:szCs w:val="17"/>
          <w:color w:val="auto"/>
        </w:rPr>
        <w:t>Without diminishing or impairing the obligations of the Company set forth in the preceding subsection,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(including reasonable outside attorneys’ fees), liabilities, losses, judgments, fines, penalties, costs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liabilities, losses, judgments, fines, penalties, costs or settlement amounts, as well as any other equitable considerations that the applicable Law of the State of Delaware (or other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81" w:lineRule="exact"/>
        <w:rPr>
          <w:rFonts w:ascii="Arial" w:cs="Arial" w:eastAsia="Arial" w:hAnsi="Arial"/>
          <w:sz w:val="17"/>
          <w:szCs w:val="17"/>
          <w:color w:val="auto"/>
        </w:rPr>
      </w:pPr>
    </w:p>
    <w:p>
      <w:pPr>
        <w:ind w:left="-430" w:right="400" w:firstLine="1421"/>
        <w:spacing w:after="0" w:line="307" w:lineRule="auto"/>
        <w:tabs>
          <w:tab w:leader="none" w:pos="1315" w:val="left"/>
        </w:tabs>
        <w:numPr>
          <w:ilvl w:val="1"/>
          <w:numId w:val="406"/>
        </w:numPr>
        <w:rPr>
          <w:rFonts w:ascii="Arial" w:cs="Arial" w:eastAsia="Arial" w:hAnsi="Arial"/>
          <w:sz w:val="17"/>
          <w:szCs w:val="17"/>
          <w:color w:val="auto"/>
        </w:rPr>
      </w:pPr>
      <w:r>
        <w:rPr>
          <w:rFonts w:ascii="Arial" w:cs="Arial" w:eastAsia="Arial" w:hAnsi="Arial"/>
          <w:sz w:val="17"/>
          <w:szCs w:val="17"/>
          <w:color w:val="auto"/>
        </w:rPr>
        <w:t>The Company hereby agrees to fully indemnify and hold Indemnitee harmless from any claims of contribution that may be brought by officers, directors or employees of the Company, other than Indemnitee, who may be jointly liable with Indemnitee.</w:t>
      </w:r>
    </w:p>
    <w:p>
      <w:pPr>
        <w:spacing w:after="0" w:line="39" w:lineRule="exact"/>
        <w:rPr>
          <w:rFonts w:ascii="Arial" w:cs="Arial" w:eastAsia="Arial" w:hAnsi="Arial"/>
          <w:sz w:val="17"/>
          <w:szCs w:val="17"/>
          <w:color w:val="auto"/>
        </w:rPr>
      </w:pPr>
    </w:p>
    <w:p>
      <w:pPr>
        <w:jc w:val="both"/>
        <w:ind w:left="-430" w:right="40" w:firstLine="1421"/>
        <w:spacing w:after="0" w:line="263" w:lineRule="auto"/>
        <w:tabs>
          <w:tab w:leader="none" w:pos="1305" w:val="left"/>
        </w:tabs>
        <w:numPr>
          <w:ilvl w:val="1"/>
          <w:numId w:val="406"/>
        </w:numPr>
        <w:rPr>
          <w:rFonts w:ascii="Arial" w:cs="Arial" w:eastAsia="Arial" w:hAnsi="Arial"/>
          <w:sz w:val="18"/>
          <w:szCs w:val="18"/>
          <w:color w:val="auto"/>
        </w:rPr>
      </w:pPr>
      <w:r>
        <w:rPr>
          <w:rFonts w:ascii="Arial" w:cs="Arial" w:eastAsia="Arial" w:hAnsi="Arial"/>
          <w:sz w:val="18"/>
          <w:szCs w:val="18"/>
          <w:color w:val="auto"/>
        </w:rPr>
        <w:t xml:space="preserve">To the fullest extent permissible under applicable Law and without diminishing or impairing the obligations of the Company set forth in the preceding subsections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if the indemnification obligations of the Company provided for in this Agreement are unavailable to Indemnitee for any reason whatsoever, the Company, in lieu of indemnifying Indemnitee,</w:t>
      </w:r>
    </w:p>
    <w:p>
      <w:pPr>
        <w:spacing w:after="0" w:line="115" w:lineRule="exact"/>
        <w:rPr>
          <w:rFonts w:ascii="Arial" w:cs="Arial" w:eastAsia="Arial" w:hAnsi="Arial"/>
          <w:sz w:val="18"/>
          <w:szCs w:val="18"/>
          <w:color w:val="auto"/>
        </w:rPr>
      </w:pPr>
    </w:p>
    <w:p>
      <w:pPr>
        <w:ind w:left="5010" w:hanging="96"/>
        <w:spacing w:after="0"/>
        <w:tabs>
          <w:tab w:leader="none" w:pos="501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50"/>
          </w:cols>
          <w:pgMar w:left="890" w:top="274" w:right="459" w:bottom="1440" w:gutter="0" w:footer="0" w:header="0"/>
        </w:sectPr>
      </w:pPr>
    </w:p>
    <w:bookmarkStart w:id="482" w:name="page483"/>
    <w:bookmarkEnd w:id="48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contribute to the amount incurred by Indemnitee, whether for liabilities, losses, judgments, fines, penalties, costs,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67" w:lineRule="exact"/>
        <w:rPr>
          <w:sz w:val="20"/>
          <w:szCs w:val="20"/>
          <w:color w:val="auto"/>
        </w:rPr>
      </w:pPr>
    </w:p>
    <w:p>
      <w:pPr>
        <w:ind w:left="620" w:hanging="190"/>
        <w:spacing w:after="0"/>
        <w:tabs>
          <w:tab w:leader="none" w:pos="62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Indemnification for Additional Expenses Incurred to Secure Recovery or as Witness</w:t>
      </w:r>
      <w:r>
        <w:rPr>
          <w:rFonts w:ascii="Arial" w:cs="Arial" w:eastAsia="Arial" w:hAnsi="Arial"/>
          <w:sz w:val="18"/>
          <w:szCs w:val="18"/>
          <w:color w:val="auto"/>
        </w:rPr>
        <w:t>.</w:t>
      </w:r>
    </w:p>
    <w:p>
      <w:pPr>
        <w:spacing w:after="0" w:line="117" w:lineRule="exact"/>
        <w:rPr>
          <w:sz w:val="20"/>
          <w:szCs w:val="20"/>
          <w:color w:val="auto"/>
        </w:rPr>
      </w:pPr>
    </w:p>
    <w:p>
      <w:pPr>
        <w:ind w:right="160" w:firstLine="430"/>
        <w:spacing w:after="0" w:line="255" w:lineRule="auto"/>
        <w:tabs>
          <w:tab w:leader="none" w:pos="68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The Company shall, to the fullest extent permitted by Law, indemnify Indemnitee with respect to, and hold Indemnitee harmless from and against, any and all Expenses and, if requested by Indemnitee, shall advance on an as-incurred basis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Agreement) such Expenses to Indemnitee, which are reasonably incurred by Indemnitee in connection with any action or proceeding or part thereof brought by Indemnitee for (i) indemnification or advance payment of Expenses by the Company under this Agreement, any other agreement or the Organizational Documents of the Company as now or hereafter in effect; or (ii) recovery under any director and officer liability insurance policies maintained by any Company Entity.</w:t>
      </w:r>
    </w:p>
    <w:p>
      <w:pPr>
        <w:spacing w:after="0" w:line="83" w:lineRule="exact"/>
        <w:rPr>
          <w:rFonts w:ascii="Arial" w:cs="Arial" w:eastAsia="Arial" w:hAnsi="Arial"/>
          <w:sz w:val="18"/>
          <w:szCs w:val="18"/>
          <w:color w:val="auto"/>
        </w:rPr>
      </w:pPr>
    </w:p>
    <w:p>
      <w:pPr>
        <w:ind w:right="40" w:firstLine="430"/>
        <w:spacing w:after="0" w:line="279" w:lineRule="auto"/>
        <w:tabs>
          <w:tab w:leader="none" w:pos="695" w:val="left"/>
        </w:tabs>
        <w:numPr>
          <w:ilvl w:val="0"/>
          <w:numId w:val="408"/>
        </w:numPr>
        <w:rPr>
          <w:rFonts w:ascii="Arial" w:cs="Arial" w:eastAsia="Arial" w:hAnsi="Arial"/>
          <w:sz w:val="17"/>
          <w:szCs w:val="17"/>
          <w:color w:val="auto"/>
        </w:rPr>
      </w:pPr>
      <w:r>
        <w:rPr>
          <w:rFonts w:ascii="Arial" w:cs="Arial" w:eastAsia="Arial" w:hAnsi="Arial"/>
          <w:sz w:val="17"/>
          <w:szCs w:val="17"/>
          <w:color w:val="auto"/>
        </w:rPr>
        <w:t xml:space="preserve">To the extent that Indemnitee is, by reason of Indemnitee’s Corporate Status, a witness (or is forced or asked to respond to discovery requests) in any Proceeding to which Indemnitee is not a party, the Company shall, to the fullest extent permitted by Law, indemnify Indemnitee with respect to, and hold Indemnitee harmless from and against, and the Company will advance on an as-incurred basis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all Expenses reasonably incurred by Indemnitee or on behalf of Indemnitee in connection therewith.</w:t>
      </w:r>
    </w:p>
    <w:p>
      <w:pPr>
        <w:spacing w:after="0" w:line="62" w:lineRule="exact"/>
        <w:rPr>
          <w:sz w:val="20"/>
          <w:szCs w:val="20"/>
          <w:color w:val="auto"/>
        </w:rPr>
      </w:pPr>
    </w:p>
    <w:p>
      <w:pPr>
        <w:ind w:firstLine="430"/>
        <w:spacing w:after="0" w:line="270" w:lineRule="auto"/>
        <w:tabs>
          <w:tab w:leader="none" w:pos="62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In addition to, and without regard to any limitations on, the indemnification provided for elsewhere in this Agreement, the Company shall and hereby does, to the fullest extent permitted by Law, indemnify Indemnitee with respect to, and hold Indemnitee harmless from and against, all Expenses, liabilities, losses, judgments, fines, penalties, costs and amounts paid in settlement (other than amounts paid in settlement with respect to a Proceeding by or in the right of the Company) reasonably incurred by Indemnitee or on behalf of Indemnitee, if, by reason of Indemnitee’s Corporate Status, Indemnitee was, is, or is threatened to be made, a party to or a participant in any Proceeding (including a Proceeding by or in the right of the Company), including to the fullest extent permitted by Law, without limitation, all liability arising out of the ordinary negligence of Indemnitee (other than the fraud of Indemnitee). The only limitation that shall exist upon the Company’s obligations pursuant to this Agreement shall be that the Company shall not be obligated to make any payment to Indemnitee if a court of competent jurisdiction issues a final non-appealable judicial determination that Indemnitee is not entitled to indemnification hereunder.</w:t>
      </w:r>
    </w:p>
    <w:p>
      <w:pPr>
        <w:spacing w:after="0" w:line="71" w:lineRule="exact"/>
        <w:rPr>
          <w:rFonts w:ascii="Arial" w:cs="Arial" w:eastAsia="Arial" w:hAnsi="Arial"/>
          <w:sz w:val="17"/>
          <w:szCs w:val="17"/>
          <w:color w:val="auto"/>
        </w:rPr>
      </w:pPr>
    </w:p>
    <w:p>
      <w:pPr>
        <w:ind w:right="20" w:firstLine="430"/>
        <w:spacing w:after="0" w:line="254" w:lineRule="auto"/>
        <w:tabs>
          <w:tab w:leader="none" w:pos="62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Company shall, to the fullest extent permitted by Law, pay on a current and as-incurred basis all Expenses incurred by or on behalf of Indemnitee in connection with any Proceeding in any way connected with, resulting from or relating to Indemnitee’s Corporate Status. Such Expenses shall be paid in advance of the final disposition of such Proceeding, without regard to whether Indemnitee will ultimately be entitled to be indemnified for such Expenses and without regard to whether an Adverse Determination has been or may be made, except as contemplated by </w:t>
      </w:r>
      <w:r>
        <w:rPr>
          <w:rFonts w:ascii="Arial" w:cs="Arial" w:eastAsia="Arial" w:hAnsi="Arial"/>
          <w:sz w:val="18"/>
          <w:szCs w:val="18"/>
          <w:u w:val="single" w:color="auto"/>
          <w:color w:val="auto"/>
        </w:rPr>
        <w:t>Section 10(f)</w:t>
      </w:r>
      <w:r>
        <w:rPr>
          <w:rFonts w:ascii="Arial" w:cs="Arial" w:eastAsia="Arial" w:hAnsi="Arial"/>
          <w:sz w:val="18"/>
          <w:szCs w:val="18"/>
          <w:color w:val="auto"/>
        </w:rPr>
        <w:t xml:space="preserve"> of this Agreement. Following a final disposition of such Proceeding, if any, Indemnitee shall repay such amounts advanced only if and to the extent that an Adverse Determination is made and not challenged, as provided in </w:t>
      </w:r>
      <w:r>
        <w:rPr>
          <w:rFonts w:ascii="Arial" w:cs="Arial" w:eastAsia="Arial" w:hAnsi="Arial"/>
          <w:sz w:val="18"/>
          <w:szCs w:val="18"/>
          <w:u w:val="single" w:color="auto"/>
          <w:color w:val="auto"/>
        </w:rPr>
        <w:t>Section 10(f)</w:t>
      </w:r>
      <w:r>
        <w:rPr>
          <w:rFonts w:ascii="Arial" w:cs="Arial" w:eastAsia="Arial" w:hAnsi="Arial"/>
          <w:sz w:val="18"/>
          <w:szCs w:val="18"/>
          <w:color w:val="auto"/>
        </w:rPr>
        <w:t>, or if it shall ultimately be determined in a decision by a court of competent jurisdiction from which no appeal can be taken that Indemnitee is not entitled to be indemnified by the Company for such Expenses.</w:t>
      </w:r>
    </w:p>
    <w:p>
      <w:pPr>
        <w:spacing w:after="0" w:line="122" w:lineRule="exact"/>
        <w:rPr>
          <w:rFonts w:ascii="Arial" w:cs="Arial" w:eastAsia="Arial" w:hAnsi="Arial"/>
          <w:sz w:val="18"/>
          <w:szCs w:val="18"/>
          <w:color w:val="auto"/>
        </w:rPr>
      </w:pPr>
    </w:p>
    <w:p>
      <w:pPr>
        <w:ind w:left="5440" w:hanging="96"/>
        <w:spacing w:after="0"/>
        <w:tabs>
          <w:tab w:leader="none" w:pos="54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0"/>
          </w:cols>
          <w:pgMar w:left="460" w:top="274" w:right="459" w:bottom="1440" w:gutter="0" w:footer="0" w:header="0"/>
        </w:sectPr>
      </w:pPr>
    </w:p>
    <w:bookmarkStart w:id="483" w:name="page484"/>
    <w:bookmarkEnd w:id="483"/>
    <w:p>
      <w:pPr>
        <w:ind w:left="270" w:hanging="270"/>
        <w:spacing w:after="0"/>
        <w:tabs>
          <w:tab w:leader="none" w:pos="27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Procedures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430" w:firstLine="981"/>
        <w:spacing w:after="0" w:line="255" w:lineRule="auto"/>
        <w:tabs>
          <w:tab w:leader="none" w:pos="805"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Notice of Proceeding</w:t>
      </w:r>
      <w:r>
        <w:rPr>
          <w:rFonts w:ascii="Arial" w:cs="Arial" w:eastAsia="Arial" w:hAnsi="Arial"/>
          <w:sz w:val="18"/>
          <w:szCs w:val="18"/>
          <w:color w:val="auto"/>
        </w:rPr>
        <w:t>. Indemnitee agrees to notify the Company promptly upon being served with any summons, citation, subpoena, complaint, indictment, information or other document relating to any Proceeding or matter that may be subject to indemnification or advancement of Expenses hereunder. Any failure by Indemnitee to notify the Company will relieve the Company of its advancement or indemnification obligations under this Agreement only to the extent the Company can establish that such omission to notify resulted in actual and material prejudice to it, and the omission to notify the Company will, in any event, not relieve the Company from any liability that it may have to indemnify Indemnitee otherwise under this Agreement.</w:t>
      </w:r>
    </w:p>
    <w:p>
      <w:pPr>
        <w:spacing w:after="0" w:line="83" w:lineRule="exact"/>
        <w:rPr>
          <w:rFonts w:ascii="Arial" w:cs="Arial" w:eastAsia="Arial" w:hAnsi="Arial"/>
          <w:sz w:val="18"/>
          <w:szCs w:val="18"/>
          <w:color w:val="auto"/>
        </w:rPr>
      </w:pPr>
    </w:p>
    <w:p>
      <w:pPr>
        <w:ind w:left="-430" w:right="100" w:firstLine="981"/>
        <w:spacing w:after="0" w:line="273" w:lineRule="auto"/>
        <w:tabs>
          <w:tab w:leader="none" w:pos="815" w:val="left"/>
        </w:tabs>
        <w:numPr>
          <w:ilvl w:val="1"/>
          <w:numId w:val="410"/>
        </w:numPr>
        <w:rPr>
          <w:rFonts w:ascii="Arial" w:cs="Arial" w:eastAsia="Arial" w:hAnsi="Arial"/>
          <w:sz w:val="17"/>
          <w:szCs w:val="17"/>
          <w:color w:val="auto"/>
        </w:rPr>
      </w:pPr>
      <w:r>
        <w:rPr>
          <w:rFonts w:ascii="Arial" w:cs="Arial" w:eastAsia="Arial" w:hAnsi="Arial"/>
          <w:sz w:val="17"/>
          <w:szCs w:val="17"/>
          <w:u w:val="single" w:color="auto"/>
          <w:color w:val="auto"/>
        </w:rPr>
        <w:t>Defense; Settlement</w:t>
      </w:r>
      <w:r>
        <w:rPr>
          <w:rFonts w:ascii="Arial" w:cs="Arial" w:eastAsia="Arial" w:hAnsi="Arial"/>
          <w:sz w:val="17"/>
          <w:szCs w:val="17"/>
          <w:color w:val="auto"/>
        </w:rPr>
        <w:t>. The Company shall have the sole right and obligation to control the defense or conduct of any claim or Proceeding with respect to Indemnitee. The Company shall not, without the prior written consent of Indemnitee, which may not be unreasonably withheld, conditioned or delayed, effect any settlement or compromise of any Proceeding against Indemnitee which imposes any cost or liability on Indemnitee unless such settlement or compromise solely involves the payment of money for which the Indemnitee will be fully indemnified or performance of any obligation by persons other than Indemnitee. The Company shall not be obligated to indemnify Indemnitee against amounts paid in settlement of a Proceeding against Indemnitee if such settlement is effected by Indemnitee without the Company’s prior written consent.</w:t>
      </w:r>
    </w:p>
    <w:p>
      <w:pPr>
        <w:spacing w:after="0" w:line="68" w:lineRule="exact"/>
        <w:rPr>
          <w:rFonts w:ascii="Arial" w:cs="Arial" w:eastAsia="Arial" w:hAnsi="Arial"/>
          <w:sz w:val="17"/>
          <w:szCs w:val="17"/>
          <w:color w:val="auto"/>
        </w:rPr>
      </w:pPr>
    </w:p>
    <w:p>
      <w:pPr>
        <w:ind w:left="790" w:hanging="239"/>
        <w:spacing w:after="0"/>
        <w:tabs>
          <w:tab w:leader="none" w:pos="790"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Request for Advancement; Request for Indemnification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430" w:right="200" w:firstLine="1421"/>
        <w:spacing w:after="0" w:line="255" w:lineRule="auto"/>
        <w:tabs>
          <w:tab w:leader="none" w:pos="1215" w:val="left"/>
        </w:tabs>
        <w:numPr>
          <w:ilvl w:val="2"/>
          <w:numId w:val="410"/>
        </w:numPr>
        <w:rPr>
          <w:rFonts w:ascii="Arial" w:cs="Arial" w:eastAsia="Arial" w:hAnsi="Arial"/>
          <w:sz w:val="18"/>
          <w:szCs w:val="18"/>
          <w:color w:val="auto"/>
        </w:rPr>
      </w:pPr>
      <w:r>
        <w:rPr>
          <w:rFonts w:ascii="Arial" w:cs="Arial" w:eastAsia="Arial" w:hAnsi="Arial"/>
          <w:sz w:val="18"/>
          <w:szCs w:val="18"/>
          <w:color w:val="auto"/>
        </w:rPr>
        <w:t>To obtain advancement of Expenses under this Agreement, Indemnitee shall submit to the Company a written request therefor, together with such invoices or other supporting information as may be reasonably requested by the Company and reasonably available to Indemnitee, and, only to the extent required by applicable Law and/or any applicable Organizational Documents that cannot be waived, an unsecured written undertaking to repay amounts advanced unless it shall ultimately be determined that he or she is entitled to be indemnified by the Company. The Company shall make advance payment of Expenses to Indemnitee no later than 15 days after receipt of the written request for advancement (and each subsequent request for advancement) by Indemnitee.</w:t>
      </w:r>
    </w:p>
    <w:p>
      <w:pPr>
        <w:spacing w:after="0" w:line="83" w:lineRule="exact"/>
        <w:rPr>
          <w:rFonts w:ascii="Arial" w:cs="Arial" w:eastAsia="Arial" w:hAnsi="Arial"/>
          <w:sz w:val="18"/>
          <w:szCs w:val="18"/>
          <w:color w:val="auto"/>
        </w:rPr>
      </w:pPr>
    </w:p>
    <w:p>
      <w:pPr>
        <w:ind w:left="-430" w:firstLine="1421"/>
        <w:spacing w:after="0" w:line="270" w:lineRule="auto"/>
        <w:tabs>
          <w:tab w:leader="none" w:pos="1265" w:val="left"/>
        </w:tabs>
        <w:numPr>
          <w:ilvl w:val="2"/>
          <w:numId w:val="410"/>
        </w:numPr>
        <w:rPr>
          <w:rFonts w:ascii="Arial" w:cs="Arial" w:eastAsia="Arial" w:hAnsi="Arial"/>
          <w:sz w:val="17"/>
          <w:szCs w:val="17"/>
          <w:color w:val="auto"/>
        </w:rPr>
      </w:pPr>
      <w:r>
        <w:rPr>
          <w:rFonts w:ascii="Arial" w:cs="Arial" w:eastAsia="Arial" w:hAnsi="Arial"/>
          <w:sz w:val="17"/>
          <w:szCs w:val="17"/>
          <w:color w:val="auto"/>
        </w:rPr>
        <w:t xml:space="preserve">To obtain indemnification under this Agreement, at any time after submission of a request for advancement of Expenses pursuant to </w:t>
      </w:r>
      <w:r>
        <w:rPr>
          <w:rFonts w:ascii="Arial" w:cs="Arial" w:eastAsia="Arial" w:hAnsi="Arial"/>
          <w:sz w:val="17"/>
          <w:szCs w:val="17"/>
          <w:u w:val="single" w:color="auto"/>
          <w:color w:val="auto"/>
        </w:rPr>
        <w:t>Section 10(c)(i)</w:t>
      </w:r>
      <w:r>
        <w:rPr>
          <w:rFonts w:ascii="Arial" w:cs="Arial" w:eastAsia="Arial" w:hAnsi="Arial"/>
          <w:sz w:val="17"/>
          <w:szCs w:val="17"/>
          <w:color w:val="auto"/>
        </w:rPr>
        <w:t xml:space="preserve"> of this Agreement, Indemnitee may submit a written request for indemnification hereunder. The time at which Indemnitee submits a written request for indemnification shall be determined by the Indemnitee in the Indemnitee’s sole discretion. Once Indemnitee submits such a written request for indemnification (and only at such time that Indemnitee submits such a written request for indemnification), a Determination shall thereafter be made, as provided in and only to the extent required by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of this Agreement. In no event shall a Determination be made, or required to be made, as a condition to or otherwise in connection with any advancement of Expenses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10(c)(i)</w:t>
      </w:r>
      <w:r>
        <w:rPr>
          <w:rFonts w:ascii="Arial" w:cs="Arial" w:eastAsia="Arial" w:hAnsi="Arial"/>
          <w:sz w:val="17"/>
          <w:szCs w:val="17"/>
          <w:color w:val="auto"/>
        </w:rPr>
        <w:t xml:space="preserve"> of this Agreement.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71" w:lineRule="exact"/>
        <w:rPr>
          <w:rFonts w:ascii="Arial" w:cs="Arial" w:eastAsia="Arial" w:hAnsi="Arial"/>
          <w:sz w:val="17"/>
          <w:szCs w:val="17"/>
          <w:color w:val="auto"/>
        </w:rPr>
      </w:pPr>
    </w:p>
    <w:p>
      <w:pPr>
        <w:ind w:left="-430" w:right="60" w:firstLine="981"/>
        <w:spacing w:after="0" w:line="256" w:lineRule="auto"/>
        <w:tabs>
          <w:tab w:leader="none" w:pos="815"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xml:space="preserve">. The Company agrees that in no event shall a Determination be required in connection with indemnification for Expenses incurred as a witness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or incurred in connection with any Proceeding or portion thereof with respect to which Indemnitee has been successful on the merits or otherwise unless specifically required by applicable Law that cannot be waived. Any decision that a Determination is required by Law in connection with any such indemnification of Indemnitee, and any Determination required in connection therewith or with any other</w:t>
      </w:r>
    </w:p>
    <w:p>
      <w:pPr>
        <w:spacing w:after="0" w:line="123" w:lineRule="exact"/>
        <w:rPr>
          <w:rFonts w:ascii="Arial" w:cs="Arial" w:eastAsia="Arial" w:hAnsi="Arial"/>
          <w:sz w:val="18"/>
          <w:szCs w:val="18"/>
          <w:color w:val="auto"/>
        </w:rPr>
      </w:pPr>
    </w:p>
    <w:p>
      <w:pPr>
        <w:ind w:left="5010" w:hanging="96"/>
        <w:spacing w:after="0"/>
        <w:tabs>
          <w:tab w:leader="none" w:pos="5010" w:val="left"/>
        </w:tabs>
        <w:numPr>
          <w:ilvl w:val="3"/>
          <w:numId w:val="41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50"/>
          </w:cols>
          <w:pgMar w:left="890" w:top="274" w:right="459" w:bottom="1440" w:gutter="0" w:footer="0" w:header="0"/>
        </w:sectPr>
      </w:pPr>
    </w:p>
    <w:bookmarkStart w:id="484" w:name="page485"/>
    <w:bookmarkEnd w:id="484"/>
    <w:p>
      <w:pPr>
        <w:ind w:left="1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indemnification of Indemnitee, shall be made within 30 days after the later of (i) receipt of Indemnitee’s written request for indemnification pursuant to </w:t>
      </w:r>
      <w:r>
        <w:rPr>
          <w:rFonts w:ascii="Arial" w:cs="Arial" w:eastAsia="Arial" w:hAnsi="Arial"/>
          <w:sz w:val="16"/>
          <w:szCs w:val="16"/>
          <w:u w:val="single" w:color="auto"/>
          <w:color w:val="auto"/>
        </w:rPr>
        <w:t>Section 10(c)(ii)</w:t>
      </w:r>
      <w:r>
        <w:rPr>
          <w:rFonts w:ascii="Arial" w:cs="Arial" w:eastAsia="Arial" w:hAnsi="Arial"/>
          <w:sz w:val="16"/>
          <w:szCs w:val="16"/>
          <w:color w:val="auto"/>
        </w:rPr>
        <w:t>, or (ii) the selection of Independent Counsel, if such Determination is to be made by Independent Counsel (the “</w:t>
      </w:r>
      <w:r>
        <w:rPr>
          <w:rFonts w:ascii="Arial" w:cs="Arial" w:eastAsia="Arial" w:hAnsi="Arial"/>
          <w:sz w:val="16"/>
          <w:szCs w:val="16"/>
          <w:u w:val="single" w:color="auto"/>
          <w:color w:val="auto"/>
        </w:rPr>
        <w:t>Determination Period</w:t>
      </w:r>
      <w:r>
        <w:rPr>
          <w:rFonts w:ascii="Arial" w:cs="Arial" w:eastAsia="Arial" w:hAnsi="Arial"/>
          <w:sz w:val="16"/>
          <w:szCs w:val="16"/>
          <w:color w:val="auto"/>
        </w:rPr>
        <w:t>”) and such Determination shall be made either (A) by the Board of Directors by majority vote or consent of a quorum consisting of only Disinterested Directors, or (B) if such a quorum of Disinterested Directors cannot be obtained, by Independent Counsel in a written opinion to the Company and Indemnitee. If a Determination is requested but is not made during the Determination Period, then the requisite Determination shall be deemed a Favorable Determination and Indemnitee shall be entitled to such indemnification absent (x) a misstatement by Indemnitee of a material fact, or an omission of a material fact necessary to make Indemnitee’s statement not materially misleading, in connection with the request for indemnification, or</w:t>
      </w:r>
    </w:p>
    <w:p>
      <w:pPr>
        <w:spacing w:after="0" w:line="1" w:lineRule="exact"/>
        <w:rPr>
          <w:sz w:val="20"/>
          <w:szCs w:val="20"/>
          <w:color w:val="auto"/>
        </w:rPr>
      </w:pPr>
    </w:p>
    <w:p>
      <w:pPr>
        <w:ind w:left="10" w:right="20" w:hanging="10"/>
        <w:spacing w:after="0" w:line="285" w:lineRule="auto"/>
        <w:tabs>
          <w:tab w:leader="none" w:pos="264"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 prohibition of such indemnification under applicable Law; provided, however, that such 30-day period may be extended for a reasonable time, not to exceed an additional 15 days, if the person, persons or entity making such Determination in good faith requires such additional time to obtain or evaluate documentation and/or information relating thereto. If a Determination is made that Indemnitee is entitled to indemnification, payment to Indemnitee shall be made within 20 days after such Determination. Indemnitee shall reasonably cooperate with the person, persons or entity making such Determination,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Independent Counsel or Disinterested Directors, as the case may be, shall act reasonably and in good faith in making a Determination under this Agreement. Any Expenses incurred by Indemnitee in so cooperating with the Disinterested Directors or Independent Counsel, as the case may be, making such Determination shall be advanced and borne by the Company (irrespective of the Determination as to Indemnitee’s entitlement to indemnification) and the Company is liable to indemnify and hold Indemnitee harmless therefrom. Notwithstanding anything in this Agreement to the contrary, no Determination shall be required to be made prior to the final disposition of the Proceeding.</w:t>
      </w:r>
    </w:p>
    <w:p>
      <w:pPr>
        <w:spacing w:after="0" w:line="64" w:lineRule="exact"/>
        <w:rPr>
          <w:rFonts w:ascii="Arial" w:cs="Arial" w:eastAsia="Arial" w:hAnsi="Arial"/>
          <w:sz w:val="16"/>
          <w:szCs w:val="16"/>
          <w:color w:val="auto"/>
        </w:rPr>
      </w:pPr>
    </w:p>
    <w:p>
      <w:pPr>
        <w:ind w:left="10" w:firstLine="981"/>
        <w:spacing w:after="0" w:line="284" w:lineRule="auto"/>
        <w:tabs>
          <w:tab w:leader="none" w:pos="1245" w:val="left"/>
        </w:tabs>
        <w:numPr>
          <w:ilvl w:val="1"/>
          <w:numId w:val="411"/>
        </w:numPr>
        <w:rPr>
          <w:rFonts w:ascii="Arial" w:cs="Arial" w:eastAsia="Arial" w:hAnsi="Arial"/>
          <w:sz w:val="16"/>
          <w:szCs w:val="16"/>
          <w:color w:val="auto"/>
        </w:rPr>
      </w:pPr>
      <w:r>
        <w:rPr>
          <w:rFonts w:ascii="Arial" w:cs="Arial" w:eastAsia="Arial" w:hAnsi="Arial"/>
          <w:sz w:val="16"/>
          <w:szCs w:val="16"/>
          <w:u w:val="single" w:color="auto"/>
          <w:color w:val="auto"/>
        </w:rPr>
        <w:t>Independent Counsel</w:t>
      </w:r>
      <w:r>
        <w:rPr>
          <w:rFonts w:ascii="Arial" w:cs="Arial" w:eastAsia="Arial" w:hAnsi="Arial"/>
          <w:sz w:val="16"/>
          <w:szCs w:val="16"/>
          <w:color w:val="auto"/>
        </w:rPr>
        <w:t xml:space="preserve">. In the event that the Determination is to be made by Independent Counsel pursuant to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of this Agreement, the Independent Counsel shall be selected as provided in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The Independent Counsel shall be selected by the Disinterested Directors (unless there are no Disinterested Directors, in which case Indemnitee shall select the Independent Counsel in the Indemnitee’s sole discretion), and the Board of Directors or the Indemnitee, as the case may be, shall give written notice to the other, advising the Board of Directors or Indemnitee, as the case may be, of the identity of the Independent Counsel so selected. The Board of Directors or the Indemnitee, as the case may be, may, within 10 days after such written notice of selection shall have been received, deliver to the Indemnitee or the Board of Directors,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and the objection shall set forth with particularity the factual basis of such assertion. Absent a proper and timely objection, the person so selected shall act as Independent Counsel. If a written objection is so made and substantiated, the Independent Counsel so selected may not serve as Independent Counsel unless and until such objection is withdrawn or a court of competent jurisdiction has determined that such objection is without merit. If, within 20 days after submission by Indemnitee of a written request for indemnification pursuant to </w:t>
      </w:r>
      <w:r>
        <w:rPr>
          <w:rFonts w:ascii="Arial" w:cs="Arial" w:eastAsia="Arial" w:hAnsi="Arial"/>
          <w:sz w:val="16"/>
          <w:szCs w:val="16"/>
          <w:u w:val="single" w:color="auto"/>
          <w:color w:val="auto"/>
        </w:rPr>
        <w:t>Section 10(c)(ii)</w:t>
      </w:r>
      <w:r>
        <w:rPr>
          <w:rFonts w:ascii="Arial" w:cs="Arial" w:eastAsia="Arial" w:hAnsi="Arial"/>
          <w:sz w:val="16"/>
          <w:szCs w:val="16"/>
          <w:color w:val="auto"/>
        </w:rPr>
        <w:t xml:space="preserve"> of this Agreement, no Independent Counsel shall have been selected and not objected to, either the Board of Directors or Indemnitee may petition a court of competent jurisdiction for resolution of any objection that shall have been made by the Board of Directors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of this Agreement. Upon the due commencement of any judicial proceeding or arbitration pursuant to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 Any expenses incurred by Independent Counsel shall be borne by the Company (irrespective of the Determination of Indemnitee’s entitlement to indemnification) and not by Indemnitee.</w:t>
      </w:r>
    </w:p>
    <w:p>
      <w:pPr>
        <w:spacing w:after="0" w:line="355" w:lineRule="exact"/>
        <w:rPr>
          <w:rFonts w:ascii="Arial" w:cs="Arial" w:eastAsia="Arial" w:hAnsi="Arial"/>
          <w:sz w:val="16"/>
          <w:szCs w:val="16"/>
          <w:color w:val="auto"/>
        </w:rPr>
      </w:pPr>
    </w:p>
    <w:p>
      <w:pPr>
        <w:ind w:left="5450" w:hanging="96"/>
        <w:spacing w:after="0"/>
        <w:tabs>
          <w:tab w:leader="none" w:pos="545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90"/>
          </w:cols>
          <w:pgMar w:left="450" w:top="274" w:right="459" w:bottom="1440" w:gutter="0" w:footer="0" w:header="0"/>
        </w:sectPr>
      </w:pPr>
    </w:p>
    <w:bookmarkStart w:id="485" w:name="page486"/>
    <w:bookmarkEnd w:id="485"/>
    <w:p>
      <w:pPr>
        <w:ind w:left="-980" w:firstLine="981"/>
        <w:spacing w:after="0" w:line="284" w:lineRule="auto"/>
        <w:tabs>
          <w:tab w:leader="none" w:pos="235"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Consequences of Determination; Remedies of Indemnitee</w:t>
      </w:r>
      <w:r>
        <w:rPr>
          <w:rFonts w:ascii="Arial" w:cs="Arial" w:eastAsia="Arial" w:hAnsi="Arial"/>
          <w:sz w:val="16"/>
          <w:szCs w:val="16"/>
          <w:color w:val="auto"/>
        </w:rPr>
        <w:t xml:space="preserve">. The Company shall be bound by and shall have no right to challenge a Favorable Determination. If an Adverse Determination is made, or if for any other reason the Company does not make timely indemnification payments or advances of Expenses, or the Company or any other person takes any action to declare this Agreement void or unenforceable, or institutes any litigation or other action or Proceeding designed to deny, or to recover from, the Indemnitee the benefits provided or intended to be provided hereunder, Indemnitee shall have the right to commence a Proceeding before a court of competent jurisdiction to challenge such Adverse Determination, and/or to require the Company to make such payments or advances, and/or to recover damages for breach of this Agreement, and/or to recover under any directors’ and officers’ liability insurance policies maintained by the Company (and the Company shall have the right to defend its position in such Proceeding and to appeal any adverse judgment in such Proceeding but shall not oppose Indemnitee’s right to seek such adjudication). Indemnitee shall be entitled to be indemnified for all Expenses incurred in connection with such a Proceeding and to have such Expenses advanced by the Company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regardless of whether Indemnitee ultimately is determined to be entitled to such indemnification, advancement of expenses or insurance recovery. The Company shall not oppose Indemnitee’s right to seek any such adjudication. If Indemnitee fails to challenge an Adverse Determination,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 In the event that an Adverse Determination has been made, any judicial proceeding commenced pursuant to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shall be conducted in all respects as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trial on the merits, and Indemnitee shall not be prejudiced by reason of the Adverse Determination. The Company authorizes the Indemnitee from time to time to retain one counsel of Indemnitee’s choice reasonably acceptable to the Board of Directors, at the expense of the Company to the extent provided under applicable Law, to advise and represent Indemnitee in connection with any such judicial adjudication or recovery, including without limitation, the initiation or defense of any litigation or other legal action, whether by or against the Company or any director, officer, stockholder or other person affiliated with the Company; provided that Indemnitee shall have reasonably concluded based on written advice of independent counsel that there is a conflict of interest between the Company and Indemnitee with respect to any judicial action. The Company shall be precluded from asserting in any judicial proceeding commenced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that the procedures and presumptions of this Agreement are not valid, binding and enforceable.</w:t>
      </w:r>
    </w:p>
    <w:p>
      <w:pPr>
        <w:spacing w:after="0" w:line="282" w:lineRule="exact"/>
        <w:rPr>
          <w:rFonts w:ascii="Arial" w:cs="Arial" w:eastAsia="Arial" w:hAnsi="Arial"/>
          <w:sz w:val="16"/>
          <w:szCs w:val="16"/>
          <w:color w:val="auto"/>
        </w:rPr>
      </w:pPr>
    </w:p>
    <w:p>
      <w:pPr>
        <w:ind w:left="-980" w:right="60" w:firstLine="981"/>
        <w:spacing w:after="0" w:line="307" w:lineRule="auto"/>
        <w:tabs>
          <w:tab w:leader="none" w:pos="265"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Presumptions; Burden and Standard of Proof</w:t>
      </w:r>
      <w:r>
        <w:rPr>
          <w:rFonts w:ascii="Arial" w:cs="Arial" w:eastAsia="Arial" w:hAnsi="Arial"/>
          <w:sz w:val="17"/>
          <w:szCs w:val="17"/>
          <w:color w:val="auto"/>
        </w:rPr>
        <w:t>. The parties intend and agree that, to the extent permitted by Law, in connection with any Determination with respect to Indemnitee’s entitlement to indemnification hereunder by any person, including a court:</w:t>
      </w:r>
    </w:p>
    <w:p>
      <w:pPr>
        <w:spacing w:after="0" w:line="39" w:lineRule="exact"/>
        <w:rPr>
          <w:rFonts w:ascii="Arial" w:cs="Arial" w:eastAsia="Arial" w:hAnsi="Arial"/>
          <w:sz w:val="17"/>
          <w:szCs w:val="17"/>
          <w:color w:val="auto"/>
        </w:rPr>
      </w:pPr>
    </w:p>
    <w:p>
      <w:pPr>
        <w:ind w:left="-980" w:right="120" w:firstLine="1421"/>
        <w:spacing w:after="0" w:line="272" w:lineRule="auto"/>
        <w:tabs>
          <w:tab w:leader="none" w:pos="666" w:val="left"/>
        </w:tabs>
        <w:numPr>
          <w:ilvl w:val="1"/>
          <w:numId w:val="412"/>
        </w:numPr>
        <w:rPr>
          <w:rFonts w:ascii="Arial" w:cs="Arial" w:eastAsia="Arial" w:hAnsi="Arial"/>
          <w:sz w:val="17"/>
          <w:szCs w:val="17"/>
          <w:color w:val="auto"/>
        </w:rPr>
      </w:pPr>
      <w:r>
        <w:rPr>
          <w:rFonts w:ascii="Arial" w:cs="Arial" w:eastAsia="Arial" w:hAnsi="Arial"/>
          <w:sz w:val="17"/>
          <w:szCs w:val="17"/>
          <w:color w:val="auto"/>
        </w:rPr>
        <w:t>it will be presumed that Indemnitee is entitled to indemnification under this Agreement, and (A) the Company Entities or any other person or entity challenging such right will have the burden of proof and the burden of persuasion by clear and convincing evidence to overcome that presumption in connection with the making by any person, persons or entity of any determination contrary to that presumption, and (B)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create a presumption that Indemnitee has not met the applicable standard of conduct;</w:t>
      </w:r>
    </w:p>
    <w:p>
      <w:pPr>
        <w:spacing w:after="0" w:line="108" w:lineRule="exact"/>
        <w:rPr>
          <w:rFonts w:ascii="Arial" w:cs="Arial" w:eastAsia="Arial" w:hAnsi="Arial"/>
          <w:sz w:val="17"/>
          <w:szCs w:val="17"/>
          <w:color w:val="auto"/>
        </w:rPr>
      </w:pPr>
    </w:p>
    <w:p>
      <w:pPr>
        <w:ind w:left="4460" w:hanging="96"/>
        <w:spacing w:after="0"/>
        <w:tabs>
          <w:tab w:leader="none" w:pos="4460" w:val="left"/>
        </w:tabs>
        <w:numPr>
          <w:ilvl w:val="2"/>
          <w:numId w:val="41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000"/>
          </w:cols>
          <w:pgMar w:left="1440" w:top="274" w:right="459" w:bottom="1440" w:gutter="0" w:footer="0" w:header="0"/>
        </w:sectPr>
      </w:pPr>
    </w:p>
    <w:bookmarkStart w:id="486" w:name="page487"/>
    <w:bookmarkEnd w:id="486"/>
    <w:p>
      <w:pPr>
        <w:ind w:firstLine="1421"/>
        <w:spacing w:after="0" w:line="255" w:lineRule="auto"/>
        <w:tabs>
          <w:tab w:leader="none" w:pos="1696"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settlement or other disposition short of final judgment may be successful if it permits a party to avoid expense, delay, distraction, disruption and uncertainty, and therefore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and anyone seeking to overcome this presumption shall have the burden of proof and the burden of persuasion by clear and convincing evidence;</w:t>
      </w:r>
    </w:p>
    <w:p>
      <w:pPr>
        <w:spacing w:after="0" w:line="83" w:lineRule="exact"/>
        <w:rPr>
          <w:rFonts w:ascii="Arial" w:cs="Arial" w:eastAsia="Arial" w:hAnsi="Arial"/>
          <w:sz w:val="18"/>
          <w:szCs w:val="18"/>
          <w:color w:val="auto"/>
        </w:rPr>
      </w:pPr>
    </w:p>
    <w:p>
      <w:pPr>
        <w:ind w:right="180" w:firstLine="1421"/>
        <w:spacing w:after="0" w:line="263" w:lineRule="auto"/>
        <w:tabs>
          <w:tab w:leader="none" w:pos="174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an unfavorable presumption against Indemnitee; and</w:t>
      </w:r>
    </w:p>
    <w:p>
      <w:pPr>
        <w:spacing w:after="0" w:line="74" w:lineRule="exact"/>
        <w:rPr>
          <w:rFonts w:ascii="Arial" w:cs="Arial" w:eastAsia="Arial" w:hAnsi="Arial"/>
          <w:sz w:val="18"/>
          <w:szCs w:val="18"/>
          <w:color w:val="auto"/>
        </w:rPr>
      </w:pPr>
    </w:p>
    <w:p>
      <w:pPr>
        <w:jc w:val="both"/>
        <w:ind w:firstLine="1421"/>
        <w:spacing w:after="0" w:line="275" w:lineRule="auto"/>
        <w:tabs>
          <w:tab w:leader="none" w:pos="1736"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Indemnitee will be deemed to have acted reasonably if Indemnitee’s action is based on the records or books of account of the applicable Company Entity, including financial statements, or on information supplied to Indemnitee by the officers, employees or committees of the board of directors (or equivalent governing body) of the applicable Company Entity, or on the advice of legal counsel for the applicable Company Entity or on information or records given in reports made to the applicable Company Entity by an independent certified public accountant or by an appraiser or other expert or advisor selected with reasonable care by the applicable Company Entity.</w:t>
      </w:r>
    </w:p>
    <w:p>
      <w:pPr>
        <w:spacing w:after="0" w:line="17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10(g)</w:t>
      </w:r>
      <w:r>
        <w:rPr>
          <w:rFonts w:ascii="Arial" w:cs="Arial" w:eastAsia="Arial" w:hAnsi="Arial"/>
          <w:sz w:val="17"/>
          <w:szCs w:val="17"/>
          <w:color w:val="auto"/>
        </w:rPr>
        <w:t xml:space="preserve"> shall not be deemed to be exclusive or to limit in any way the other circumstances in which Indemnitee may be deemed to have met the applicable standard of conduct set forth in this Agreement. In addition, whether or not the foregoing provisions of this </w:t>
      </w:r>
      <w:r>
        <w:rPr>
          <w:rFonts w:ascii="Arial" w:cs="Arial" w:eastAsia="Arial" w:hAnsi="Arial"/>
          <w:sz w:val="17"/>
          <w:szCs w:val="17"/>
          <w:u w:val="single" w:color="auto"/>
          <w:color w:val="auto"/>
        </w:rPr>
        <w:t>Section 10(g)</w:t>
      </w:r>
      <w:r>
        <w:rPr>
          <w:rFonts w:ascii="Arial" w:cs="Arial" w:eastAsia="Arial" w:hAnsi="Arial"/>
          <w:sz w:val="17"/>
          <w:szCs w:val="17"/>
          <w:color w:val="auto"/>
        </w:rPr>
        <w:t xml:space="preserve"> are satisfied, it shall in no event create any unfavorable presumption with respect to Indemnitee’s actions. Anyone seeking to overcome this presumption shall have the burden of proof and the burden of persuasion by clear and convincing evidence.</w:t>
      </w:r>
    </w:p>
    <w:p>
      <w:pPr>
        <w:spacing w:after="0" w:line="62" w:lineRule="exact"/>
        <w:rPr>
          <w:sz w:val="20"/>
          <w:szCs w:val="20"/>
          <w:color w:val="auto"/>
        </w:rPr>
      </w:pPr>
    </w:p>
    <w:p>
      <w:pPr>
        <w:ind w:left="700" w:hanging="270"/>
        <w:spacing w:after="0"/>
        <w:tabs>
          <w:tab w:leader="none" w:pos="70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Insurance; Subrogation; Other Rights of Recovery, etc</w:t>
      </w:r>
      <w:r>
        <w:rPr>
          <w:rFonts w:ascii="Arial" w:cs="Arial" w:eastAsia="Arial" w:hAnsi="Arial"/>
          <w:sz w:val="18"/>
          <w:szCs w:val="18"/>
          <w:color w:val="auto"/>
        </w:rPr>
        <w:t>.</w:t>
      </w:r>
    </w:p>
    <w:p>
      <w:pPr>
        <w:spacing w:after="0" w:line="117" w:lineRule="exact"/>
        <w:rPr>
          <w:sz w:val="20"/>
          <w:szCs w:val="20"/>
          <w:color w:val="auto"/>
        </w:rPr>
      </w:pPr>
    </w:p>
    <w:p>
      <w:pPr>
        <w:ind w:right="80" w:firstLine="430"/>
        <w:spacing w:after="0" w:line="256" w:lineRule="auto"/>
        <w:tabs>
          <w:tab w:leader="none" w:pos="68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Company may purchase and maintain a policy or policies of insurance with reputable insurance companies, providing Indemnitee with coverage for any liability asserted against, and incurred by, Indemnitee or on Indemnitee’s behalf by reason of Indemnitee’s Corporate Status, or arising out of Indemnitee’s status as such, whether or not any the Company would have the power to indemnify Indemnitee against such liability. With respect to the Company, such insurance policies shall have coverage terms and policy limits at least as favorable to Indemnitee as the insurance coverage provided to any other director or officer of such Company Entity.</w:t>
      </w:r>
    </w:p>
    <w:p>
      <w:pPr>
        <w:spacing w:after="0" w:line="83" w:lineRule="exact"/>
        <w:rPr>
          <w:rFonts w:ascii="Arial" w:cs="Arial" w:eastAsia="Arial" w:hAnsi="Arial"/>
          <w:sz w:val="18"/>
          <w:szCs w:val="18"/>
          <w:color w:val="auto"/>
        </w:rPr>
      </w:pPr>
    </w:p>
    <w:p>
      <w:pPr>
        <w:ind w:right="120" w:firstLine="430"/>
        <w:spacing w:after="0" w:line="291" w:lineRule="auto"/>
        <w:tabs>
          <w:tab w:leader="none" w:pos="69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In the event of any payment by the Company under this Agreement, the Company shall be subrogated to the extent of such payment to all of the rights of recovery of Indemnitee against any other Company Entity, and Indemnitee hereby agrees, as a condition to obtaining any advancement or indemnification from the Company, to assign to the Company all of Indemnitee’s rights to obtain from such other Company Entity such amounts to the extent that they have been paid by the Company to or for the benefit of Indemnitee as advancement or indemnification under this Agreement and are adequate to indemnify Indemnitee with respect to the costs, Expenses or other items to the full extent that Indemnitee is entitled to indemnification or other payment hereunder; and Indemnitee will (upon request by the Company) execute all papers required and take all action necessary to secure such rights, including execution of such documents as are necessary to enable the Company to bring suit or enforce such rights.</w:t>
      </w:r>
    </w:p>
    <w:p>
      <w:pPr>
        <w:spacing w:after="0" w:line="97" w:lineRule="exact"/>
        <w:rPr>
          <w:rFonts w:ascii="Arial" w:cs="Arial" w:eastAsia="Arial" w:hAnsi="Arial"/>
          <w:sz w:val="16"/>
          <w:szCs w:val="16"/>
          <w:color w:val="auto"/>
        </w:rPr>
      </w:pPr>
    </w:p>
    <w:p>
      <w:pPr>
        <w:ind w:left="5440" w:hanging="96"/>
        <w:spacing w:after="0"/>
        <w:tabs>
          <w:tab w:leader="none" w:pos="54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80"/>
          </w:cols>
          <w:pgMar w:left="460" w:top="273" w:right="459" w:bottom="1440" w:gutter="0" w:footer="0" w:header="0"/>
        </w:sectPr>
      </w:pPr>
    </w:p>
    <w:bookmarkStart w:id="487" w:name="page488"/>
    <w:bookmarkEnd w:id="487"/>
    <w:p>
      <w:pPr>
        <w:ind w:left="-430" w:firstLine="430"/>
        <w:spacing w:after="0" w:line="285" w:lineRule="auto"/>
        <w:tabs>
          <w:tab w:leader="none" w:pos="254" w:val="left"/>
        </w:tabs>
        <w:numPr>
          <w:ilvl w:val="0"/>
          <w:numId w:val="4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provided in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the Company shall not be liable to pay or advance to Indemnitee any amounts otherwise indemnifiable under this Agreement or under any other indemnification agreement if and to the extent that Indemnitee has otherwise actually received such payment under any insurance policy, contract, agreement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Company hereby agrees that it is the indemnitor of first resort under this Agreement and under any other indemnification agreement (i.e., its obligations to Indemnitee under this Agreement or any other agreement or undertaking to provide advancement and/or indemnification to Indemnitee are primary and any obligation of Post (or any affiliate thereof other than a Company Entity) to provide advancement or indemnification for the same Expenses, liabilities, losses, judgments, fines, penalties, costs and amounts paid in settlement (including all interest, assessments and other charges paid or payable in connection with or in respect of such Expenses, liabilities, losses, judgments, fines, penalties, costs and amounts paid in settlement) incurred by Indemnitee, whether pursuant to contract or Organizational Documents or otherwise, are secondary); (ii) the Company hereby agrees that, subject to the other terms and conditions of this Agreement, it shall be required to advance the full amount of Expenses incurred by Indemnitee and shall be liable for the full amount of all Expenses, losses, liabilities, judgments, fines, penalties, costs and amounts paid in settlement to the extent legally permitted and as required by the terms of this Agreement and/or the Organizational Documents of the Company (or any other agreement between the Company and Indemnitee), without regard to any rights Indemnitee may have against Post or any affiliate thereof (other than a Company Entity); and (iii) if Post (or any affiliate thereof other than a Company Entity) pays or causes to be paid, for any reason, any amounts otherwise indemnifiable hereunder or under any other indemnification agreement (whether pursuant to contract or Organizational Documents) with Indemnitee, then (x) Post (or such affiliate, as the case may be) shall have a right to contribution and/or be fully subrogated to all rights of Indemnitee with respect to such payment and (y) the Company shall fully indemnify, reimburse and hold harmless Post (or such affiliate) for all such payments actually made by Post (or such affiliate).</w:t>
      </w:r>
    </w:p>
    <w:p>
      <w:pPr>
        <w:spacing w:after="0" w:line="62" w:lineRule="exact"/>
        <w:rPr>
          <w:rFonts w:ascii="Arial" w:cs="Arial" w:eastAsia="Arial" w:hAnsi="Arial"/>
          <w:sz w:val="16"/>
          <w:szCs w:val="16"/>
          <w:color w:val="auto"/>
        </w:rPr>
      </w:pPr>
    </w:p>
    <w:p>
      <w:pPr>
        <w:ind w:left="-430" w:right="60" w:firstLine="430"/>
        <w:spacing w:after="0" w:line="293" w:lineRule="auto"/>
        <w:tabs>
          <w:tab w:leader="none" w:pos="26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in respect of or relating to Indemnitee’s service at the request of the Company as a director, officer, employee, fiduciary, representative, partner or agent of any other Company Entity shall be reduced by any amount Indemnitee has actually received as payment of indemnification or advancement of Expenses from such other Company Entity, except to the extent that such indemnification payments and advance payment of Expenses when taken together with any such amount actually received from other Company Entities or under director and officer insurance policies maintained by one or more Company Entities are inadequate to fully pay all costs, Expenses or other items to the full extent that Indemnitee is otherwise entitled to indemnification or other payment hereunder.</w:t>
      </w:r>
    </w:p>
    <w:p>
      <w:pPr>
        <w:spacing w:after="0" w:line="55" w:lineRule="exact"/>
        <w:rPr>
          <w:rFonts w:ascii="Arial" w:cs="Arial" w:eastAsia="Arial" w:hAnsi="Arial"/>
          <w:sz w:val="16"/>
          <w:szCs w:val="16"/>
          <w:color w:val="auto"/>
        </w:rPr>
      </w:pPr>
    </w:p>
    <w:p>
      <w:pPr>
        <w:ind w:left="-430" w:right="60" w:firstLine="430"/>
        <w:spacing w:after="0" w:line="273" w:lineRule="auto"/>
        <w:tabs>
          <w:tab w:leader="none" w:pos="254"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Except for the rights set forth in </w:t>
      </w:r>
      <w:r>
        <w:rPr>
          <w:rFonts w:ascii="Arial" w:cs="Arial" w:eastAsia="Arial" w:hAnsi="Arial"/>
          <w:sz w:val="17"/>
          <w:szCs w:val="17"/>
          <w:u w:val="single" w:color="auto"/>
          <w:color w:val="auto"/>
        </w:rPr>
        <w:t>Sections 11(c)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11(d)</w:t>
      </w:r>
      <w:r>
        <w:rPr>
          <w:rFonts w:ascii="Arial" w:cs="Arial" w:eastAsia="Arial" w:hAnsi="Arial"/>
          <w:sz w:val="17"/>
          <w:szCs w:val="17"/>
          <w:color w:val="auto"/>
        </w:rPr>
        <w:t xml:space="preserve"> of this Agreement, the rights to indemnification and advancement of Expenses as provided by this Agreement shall not be deemed exclusive of any other rights to which Indemnitee may at any time, whenever conferred or arising, be entitled under applicable Law, under the Company Entities’ Organizational Documents or under any other agreement, vote of stockholders or resolution of directors or managers of any Company Entity, or otherwise, and every other right and remedy shall be cumulative and in addition to every other right and remedy given hereunder or now or hereafter existing at law or in equity or otherwise. Indemnitee’s rights under this Agreement are present contractual rights that fully vest upon Indemnitee’s first service as a director or officer of the Company.</w:t>
      </w:r>
    </w:p>
    <w:p>
      <w:pPr>
        <w:spacing w:after="0" w:line="68" w:lineRule="exact"/>
        <w:rPr>
          <w:rFonts w:ascii="Arial" w:cs="Arial" w:eastAsia="Arial" w:hAnsi="Arial"/>
          <w:sz w:val="17"/>
          <w:szCs w:val="17"/>
          <w:color w:val="auto"/>
        </w:rPr>
      </w:pPr>
    </w:p>
    <w:p>
      <w:pPr>
        <w:ind w:left="-430" w:right="60" w:firstLine="430"/>
        <w:spacing w:after="0" w:line="259" w:lineRule="auto"/>
        <w:tabs>
          <w:tab w:leader="none" w:pos="23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applicable Laws of the State of Delaware (or other applicable Law), whether by statute or judicial decision, permits greater indemnification or advancement of Expenses than would be</w:t>
      </w:r>
    </w:p>
    <w:p>
      <w:pPr>
        <w:spacing w:after="0" w:line="118" w:lineRule="exact"/>
        <w:rPr>
          <w:rFonts w:ascii="Arial" w:cs="Arial" w:eastAsia="Arial" w:hAnsi="Arial"/>
          <w:sz w:val="18"/>
          <w:szCs w:val="18"/>
          <w:color w:val="auto"/>
        </w:rPr>
      </w:pPr>
    </w:p>
    <w:p>
      <w:pPr>
        <w:ind w:left="5010" w:hanging="96"/>
        <w:spacing w:after="0"/>
        <w:tabs>
          <w:tab w:leader="none" w:pos="501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50"/>
          </w:cols>
          <w:pgMar w:left="890" w:top="274" w:right="459" w:bottom="1440" w:gutter="0" w:footer="0" w:header="0"/>
        </w:sectPr>
      </w:pPr>
    </w:p>
    <w:bookmarkStart w:id="488" w:name="page489"/>
    <w:bookmarkEnd w:id="488"/>
    <w:p>
      <w:pPr>
        <w:ind w:left="1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afforded currently under the Company Entities’ Organizational Documents and this Agreement, it is the intent of the parties hereto that Indemnitee enjoy by this Agreement the greater benefits so afforded by such change. The assertion or employment of any right or remedy hereunder, or otherwise, shall not prevent the concurrent assertion or employment of any other right or remedy.</w:t>
      </w:r>
    </w:p>
    <w:p>
      <w:pPr>
        <w:spacing w:after="0" w:line="75" w:lineRule="exact"/>
        <w:rPr>
          <w:sz w:val="20"/>
          <w:szCs w:val="20"/>
          <w:color w:val="auto"/>
        </w:rPr>
      </w:pPr>
    </w:p>
    <w:p>
      <w:pPr>
        <w:ind w:left="710" w:hanging="270"/>
        <w:spacing w:after="0"/>
        <w:tabs>
          <w:tab w:leader="none" w:pos="71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Employment Rights; Successors; Third Party Beneficiaries</w:t>
      </w:r>
      <w:r>
        <w:rPr>
          <w:rFonts w:ascii="Arial" w:cs="Arial" w:eastAsia="Arial" w:hAnsi="Arial"/>
          <w:sz w:val="18"/>
          <w:szCs w:val="18"/>
          <w:color w:val="auto"/>
        </w:rPr>
        <w:t>.</w:t>
      </w:r>
    </w:p>
    <w:p>
      <w:pPr>
        <w:spacing w:after="0" w:line="117" w:lineRule="exact"/>
        <w:rPr>
          <w:sz w:val="20"/>
          <w:szCs w:val="20"/>
          <w:color w:val="auto"/>
        </w:rPr>
      </w:pPr>
    </w:p>
    <w:p>
      <w:pPr>
        <w:ind w:left="10" w:right="200" w:firstLine="430"/>
        <w:spacing w:after="0" w:line="307" w:lineRule="auto"/>
        <w:tabs>
          <w:tab w:leader="none" w:pos="694" w:val="left"/>
        </w:tabs>
        <w:numPr>
          <w:ilvl w:val="0"/>
          <w:numId w:val="418"/>
        </w:numPr>
        <w:rPr>
          <w:rFonts w:ascii="Arial" w:cs="Arial" w:eastAsia="Arial" w:hAnsi="Arial"/>
          <w:sz w:val="17"/>
          <w:szCs w:val="17"/>
          <w:color w:val="auto"/>
        </w:rPr>
      </w:pPr>
      <w:r>
        <w:rPr>
          <w:rFonts w:ascii="Arial" w:cs="Arial" w:eastAsia="Arial" w:hAnsi="Arial"/>
          <w:sz w:val="17"/>
          <w:szCs w:val="17"/>
          <w:color w:val="auto"/>
        </w:rPr>
        <w:t>This Agreement shall not be deemed an employment contract between the Company and Indemnitee. This Agreement shall continue in force as provided above after Indemnitee has ceased to serve as a director and/or officer of the Company or any other Corporate Status.</w:t>
      </w:r>
    </w:p>
    <w:p>
      <w:pPr>
        <w:spacing w:after="0" w:line="39" w:lineRule="exact"/>
        <w:rPr>
          <w:rFonts w:ascii="Arial" w:cs="Arial" w:eastAsia="Arial" w:hAnsi="Arial"/>
          <w:sz w:val="17"/>
          <w:szCs w:val="17"/>
          <w:color w:val="auto"/>
        </w:rPr>
      </w:pPr>
    </w:p>
    <w:p>
      <w:pPr>
        <w:ind w:left="10" w:right="920" w:firstLine="430"/>
        <w:spacing w:after="0" w:line="277" w:lineRule="auto"/>
        <w:tabs>
          <w:tab w:leader="none" w:pos="70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This Agreement shall be binding upon the Company and its successors and assigns and shall inure to the benefit of Indemnitee and Indemnitee’s heirs, executors and administrators.</w:t>
      </w:r>
    </w:p>
    <w:p>
      <w:pPr>
        <w:spacing w:after="0" w:line="61" w:lineRule="exact"/>
        <w:rPr>
          <w:rFonts w:ascii="Arial" w:cs="Arial" w:eastAsia="Arial" w:hAnsi="Arial"/>
          <w:sz w:val="18"/>
          <w:szCs w:val="18"/>
          <w:color w:val="auto"/>
        </w:rPr>
      </w:pPr>
    </w:p>
    <w:p>
      <w:pPr>
        <w:ind w:left="10" w:right="380" w:firstLine="430"/>
        <w:spacing w:after="0" w:line="277" w:lineRule="auto"/>
        <w:tabs>
          <w:tab w:leader="none" w:pos="69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Post and its affiliates are express third party beneficiaries of this Agreement, are entitled to rely upon this Agreement and may specifically enforce the Company’s obligations specified in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of this Agreement as though a party hereunder.</w:t>
      </w:r>
    </w:p>
    <w:p>
      <w:pPr>
        <w:spacing w:after="0" w:line="62" w:lineRule="exact"/>
        <w:rPr>
          <w:sz w:val="20"/>
          <w:szCs w:val="20"/>
          <w:color w:val="auto"/>
        </w:rPr>
      </w:pPr>
    </w:p>
    <w:p>
      <w:pPr>
        <w:ind w:left="710" w:hanging="270"/>
        <w:spacing w:after="0"/>
        <w:tabs>
          <w:tab w:leader="none" w:pos="710" w:val="left"/>
        </w:tabs>
        <w:numPr>
          <w:ilvl w:val="1"/>
          <w:numId w:val="4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6" w:lineRule="exact"/>
        <w:rPr>
          <w:rFonts w:ascii="Arial" w:cs="Arial" w:eastAsia="Arial" w:hAnsi="Arial"/>
          <w:sz w:val="16"/>
          <w:szCs w:val="16"/>
          <w:color w:val="auto"/>
        </w:rPr>
      </w:pPr>
    </w:p>
    <w:p>
      <w:pPr>
        <w:ind w:left="10" w:right="40" w:hanging="10"/>
        <w:spacing w:after="0" w:line="268" w:lineRule="auto"/>
        <w:tabs>
          <w:tab w:leader="none" w:pos="254" w:val="left"/>
        </w:tabs>
        <w:numPr>
          <w:ilvl w:val="0"/>
          <w:numId w:val="420"/>
        </w:numPr>
        <w:rPr>
          <w:rFonts w:ascii="Arial" w:cs="Arial" w:eastAsia="Arial" w:hAnsi="Arial"/>
          <w:sz w:val="17"/>
          <w:szCs w:val="17"/>
          <w:color w:val="auto"/>
        </w:rPr>
      </w:pPr>
      <w:r>
        <w:rPr>
          <w:rFonts w:ascii="Arial" w:cs="Arial" w:eastAsia="Arial" w:hAnsi="Arial"/>
          <w:sz w:val="17"/>
          <w:szCs w:val="17"/>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 In the event any provision hereof conflicts with any applicable Law, such provision shall be deemed modified, consistent with the aforementioned intent, to the extent necessary to resolve such conflict.</w:t>
      </w:r>
    </w:p>
    <w:p>
      <w:pPr>
        <w:spacing w:after="0" w:line="71" w:lineRule="exact"/>
        <w:rPr>
          <w:rFonts w:ascii="Arial" w:cs="Arial" w:eastAsia="Arial" w:hAnsi="Arial"/>
          <w:sz w:val="17"/>
          <w:szCs w:val="17"/>
          <w:color w:val="auto"/>
        </w:rPr>
      </w:pPr>
    </w:p>
    <w:p>
      <w:pPr>
        <w:ind w:left="10" w:right="20" w:firstLine="430"/>
        <w:spacing w:after="0" w:line="269" w:lineRule="auto"/>
        <w:tabs>
          <w:tab w:leader="none" w:pos="720" w:val="left"/>
        </w:tabs>
        <w:numPr>
          <w:ilvl w:val="1"/>
          <w:numId w:val="420"/>
        </w:numPr>
        <w:rPr>
          <w:rFonts w:ascii="Arial" w:cs="Arial" w:eastAsia="Arial" w:hAnsi="Arial"/>
          <w:sz w:val="17"/>
          <w:szCs w:val="17"/>
          <w:color w:val="auto"/>
        </w:rPr>
      </w:pPr>
      <w:r>
        <w:rPr>
          <w:rFonts w:ascii="Arial" w:cs="Arial" w:eastAsia="Arial" w:hAnsi="Arial"/>
          <w:sz w:val="17"/>
          <w:szCs w:val="17"/>
          <w:u w:val="single" w:color="auto"/>
          <w:color w:val="auto"/>
        </w:rPr>
        <w:t>Exception to Right of Indemnification or Advancement of Expenses</w:t>
      </w:r>
      <w:r>
        <w:rPr>
          <w:rFonts w:ascii="Arial" w:cs="Arial" w:eastAsia="Arial" w:hAnsi="Arial"/>
          <w:sz w:val="17"/>
          <w:szCs w:val="17"/>
          <w:color w:val="auto"/>
        </w:rPr>
        <w:t xml:space="preserve">. Notwithstanding any other provision of this Agreement and except as provided in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of this Agreement or as may otherwise be agreed by the Company, Indemnitee shall not be entitled to indemnification or advancement of Expenses under this Agreement with respect to (i) any Proceeding brought by Indemnitee (other than a Proceeding by Indemnitee (x) by way of defense or counterclaim, unless a court of competent jurisdiction determines that each of the material assertions made by Indemnitee in such proceeding was not made in good faith or was frivolous, (y) to enforce Indemnitee’s rights under this Agreement or (z) to enforce any other rights of Indemnitee to indemnification, advancement or contribution from the Company under any other contract, Organizational Documents or under statute or other Law, including any rights under Section 145 of the General Corporation Law of the State of Delaware), unless the bringing of such Proceeding or making of such claim shall have been approved by the Board of Directors, (ii) any Proceeding in which a final non-appealable decision by a court of competent jurisdiction determines that such indemnification is prohibited by applicable Law, or (iii) the disgorgement of profits arising from the purchase or sale by Indemnitee of securities of the Company in violation of Section 16(b) of the Securities Exchange Act of 1934, as amended, or any similar successor statute.</w:t>
      </w:r>
    </w:p>
    <w:p>
      <w:pPr>
        <w:spacing w:after="0" w:line="112" w:lineRule="exact"/>
        <w:rPr>
          <w:rFonts w:ascii="Arial" w:cs="Arial" w:eastAsia="Arial" w:hAnsi="Arial"/>
          <w:sz w:val="17"/>
          <w:szCs w:val="17"/>
          <w:color w:val="auto"/>
        </w:rPr>
      </w:pPr>
    </w:p>
    <w:p>
      <w:pPr>
        <w:ind w:left="5410" w:hanging="101"/>
        <w:spacing w:after="0"/>
        <w:tabs>
          <w:tab w:leader="none" w:pos="541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10"/>
          </w:cols>
          <w:pgMar w:left="450" w:top="274" w:right="439" w:bottom="1440" w:gutter="0" w:footer="0" w:header="0"/>
        </w:sectPr>
      </w:pPr>
    </w:p>
    <w:bookmarkStart w:id="489" w:name="page490"/>
    <w:bookmarkEnd w:id="489"/>
    <w:p>
      <w:pPr>
        <w:ind w:left="45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left="10" w:right="20" w:firstLine="430"/>
        <w:spacing w:after="0" w:line="263" w:lineRule="auto"/>
        <w:tabs>
          <w:tab w:leader="none" w:pos="69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Entity</w:t>
      </w:r>
      <w:r>
        <w:rPr>
          <w:rFonts w:ascii="Arial" w:cs="Arial" w:eastAsia="Arial" w:hAnsi="Arial"/>
          <w:sz w:val="18"/>
          <w:szCs w:val="18"/>
          <w:color w:val="auto"/>
        </w:rPr>
        <w:t>” means (i) the Company, (ii) any of its direct or indirect subsidiaries and (iii) any other corporation, partnership, limited liability company, joint venture, trust, employee benefit plan or other enterprise with respect to which Indemnitee serves as a director, officer, employee, partner, representative, fiduciary or agent, or in any similar capacity, at the request of the Company.</w:t>
      </w:r>
    </w:p>
    <w:p>
      <w:pPr>
        <w:spacing w:after="0" w:line="74" w:lineRule="exact"/>
        <w:rPr>
          <w:rFonts w:ascii="Arial" w:cs="Arial" w:eastAsia="Arial" w:hAnsi="Arial"/>
          <w:sz w:val="18"/>
          <w:szCs w:val="18"/>
          <w:color w:val="auto"/>
        </w:rPr>
      </w:pPr>
    </w:p>
    <w:p>
      <w:pPr>
        <w:ind w:left="690" w:hanging="250"/>
        <w:spacing w:after="0"/>
        <w:tabs>
          <w:tab w:leader="none" w:pos="69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6" w:lineRule="exact"/>
        <w:rPr>
          <w:rFonts w:ascii="Arial" w:cs="Arial" w:eastAsia="Arial" w:hAnsi="Arial"/>
          <w:sz w:val="18"/>
          <w:szCs w:val="18"/>
          <w:color w:val="auto"/>
        </w:rPr>
      </w:pPr>
    </w:p>
    <w:p>
      <w:pPr>
        <w:ind w:left="10" w:right="300" w:firstLine="430"/>
        <w:spacing w:after="0" w:line="263" w:lineRule="auto"/>
        <w:tabs>
          <w:tab w:leader="none" w:pos="69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by reason of such person’s past, present or future service as a director or officer of the Company or any of its direct or indirect subsidiaries or by reason of such person’s past, present or future service, at the request of the Company, as a director, manager, officer, employee, fiduciary or agent of any other Company Entity.</w:t>
      </w:r>
    </w:p>
    <w:p>
      <w:pPr>
        <w:spacing w:after="0" w:line="74" w:lineRule="exact"/>
        <w:rPr>
          <w:rFonts w:ascii="Arial" w:cs="Arial" w:eastAsia="Arial" w:hAnsi="Arial"/>
          <w:sz w:val="18"/>
          <w:szCs w:val="18"/>
          <w:color w:val="auto"/>
        </w:rPr>
      </w:pPr>
    </w:p>
    <w:p>
      <w:pPr>
        <w:ind w:left="10" w:right="100" w:firstLine="430"/>
        <w:spacing w:after="0" w:line="255" w:lineRule="auto"/>
        <w:tabs>
          <w:tab w:leader="none" w:pos="70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means a determination that either (x) there is a reasonable basis for the conclusion that indemnification of Indemnitee is proper in the circumstances because Indemnitee met a particular standard of conduct that is a required condition to indemnification of Indemnitee hereunder (a “</w:t>
      </w:r>
      <w:r>
        <w:rPr>
          <w:rFonts w:ascii="Arial" w:cs="Arial" w:eastAsia="Arial" w:hAnsi="Arial"/>
          <w:sz w:val="18"/>
          <w:szCs w:val="18"/>
          <w:u w:val="single" w:color="auto"/>
          <w:color w:val="auto"/>
        </w:rPr>
        <w:t>Favorable Determination</w:t>
      </w:r>
      <w:r>
        <w:rPr>
          <w:rFonts w:ascii="Arial" w:cs="Arial" w:eastAsia="Arial" w:hAnsi="Arial"/>
          <w:sz w:val="18"/>
          <w:szCs w:val="18"/>
          <w:color w:val="auto"/>
        </w:rPr>
        <w:t>”) or (y) there is no reasonable basis for the conclusion that indemnification of Indemnitee is proper in the circumstances because Indemnitee met a particular standard of conduct that is a required condition to indemnification of Indemnitee hereunder (an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An Adverse Determination shall include the decision that a Determination was required in connection with indemnification and the decision as to the applicable standard of conduct.</w:t>
      </w:r>
    </w:p>
    <w:p>
      <w:pPr>
        <w:spacing w:after="0" w:line="83" w:lineRule="exact"/>
        <w:rPr>
          <w:rFonts w:ascii="Arial" w:cs="Arial" w:eastAsia="Arial" w:hAnsi="Arial"/>
          <w:sz w:val="18"/>
          <w:szCs w:val="18"/>
          <w:color w:val="auto"/>
        </w:rPr>
      </w:pPr>
    </w:p>
    <w:p>
      <w:pPr>
        <w:ind w:left="10" w:right="1140" w:firstLine="430"/>
        <w:spacing w:after="0" w:line="277" w:lineRule="auto"/>
        <w:tabs>
          <w:tab w:leader="none" w:pos="69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61" w:lineRule="exact"/>
        <w:rPr>
          <w:rFonts w:ascii="Arial" w:cs="Arial" w:eastAsia="Arial" w:hAnsi="Arial"/>
          <w:sz w:val="18"/>
          <w:szCs w:val="18"/>
          <w:color w:val="auto"/>
        </w:rPr>
      </w:pPr>
    </w:p>
    <w:p>
      <w:pPr>
        <w:ind w:left="10" w:firstLine="430"/>
        <w:spacing w:after="0" w:line="289" w:lineRule="auto"/>
        <w:tabs>
          <w:tab w:leader="none" w:pos="675" w:val="left"/>
        </w:tabs>
        <w:numPr>
          <w:ilvl w:val="1"/>
          <w:numId w:val="4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mean all reasonable direct and indirect costs, fees and expenses of any type or nature whatsoever and shall specifically include, without limitation, all reasonable outside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including, but not limited to, the premium for appeal bonds, attachment bonds or similar bonds and all interest, assessments and other charges paid or payable in connection with or in respect of any such Expenses, and shall also specifically include, without limitation, all reasonable outside attorneys’ fees and all other expenses incurred by or on behalf of Indemnitee in connection with preparing and submitting any requests or statements for indemnification, advancement, contribution or any other right provided by this Agreement. Expenses, however, shall not include amounts paid in settlement by Indemnitee or the amounts of judgments or fines against Indemnitee.</w:t>
      </w:r>
    </w:p>
    <w:p>
      <w:pPr>
        <w:spacing w:after="0" w:line="56" w:lineRule="exact"/>
        <w:rPr>
          <w:rFonts w:ascii="Arial" w:cs="Arial" w:eastAsia="Arial" w:hAnsi="Arial"/>
          <w:sz w:val="16"/>
          <w:szCs w:val="16"/>
          <w:color w:val="auto"/>
        </w:rPr>
      </w:pPr>
    </w:p>
    <w:p>
      <w:pPr>
        <w:ind w:left="690" w:hanging="250"/>
        <w:spacing w:after="0"/>
        <w:tabs>
          <w:tab w:leader="none" w:pos="69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at any time, any law firm, or a member of a law firm, that (a) is experienced in matters of corporation law and</w:t>
      </w:r>
    </w:p>
    <w:p>
      <w:pPr>
        <w:spacing w:after="0" w:line="46" w:lineRule="exact"/>
        <w:rPr>
          <w:rFonts w:ascii="Arial" w:cs="Arial" w:eastAsia="Arial" w:hAnsi="Arial"/>
          <w:sz w:val="16"/>
          <w:szCs w:val="16"/>
          <w:color w:val="auto"/>
        </w:rPr>
      </w:pPr>
    </w:p>
    <w:p>
      <w:pPr>
        <w:ind w:left="10" w:right="60" w:hanging="10"/>
        <w:spacing w:after="0" w:line="251" w:lineRule="auto"/>
        <w:tabs>
          <w:tab w:leader="none" w:pos="26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is not, at such time, or has not been in the five years prior to such time, retained to represent: (i) any Company Entity or Indemnitee in any matter material to either such party (other than with respect to matters concerning Indemnitee under this Agreement, or of other indemnities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and to be liable therefor.</w:t>
      </w:r>
    </w:p>
    <w:p>
      <w:pPr>
        <w:spacing w:after="0" w:line="128" w:lineRule="exact"/>
        <w:rPr>
          <w:rFonts w:ascii="Arial" w:cs="Arial" w:eastAsia="Arial" w:hAnsi="Arial"/>
          <w:sz w:val="18"/>
          <w:szCs w:val="18"/>
          <w:color w:val="auto"/>
        </w:rPr>
      </w:pPr>
    </w:p>
    <w:p>
      <w:pPr>
        <w:ind w:left="5410" w:hanging="97"/>
        <w:spacing w:after="0"/>
        <w:tabs>
          <w:tab w:leader="none" w:pos="5410" w:val="left"/>
        </w:tabs>
        <w:numPr>
          <w:ilvl w:val="2"/>
          <w:numId w:val="42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70"/>
          </w:cols>
          <w:pgMar w:left="450" w:top="274" w:right="479" w:bottom="1440" w:gutter="0" w:footer="0" w:header="0"/>
        </w:sectPr>
      </w:pPr>
    </w:p>
    <w:bookmarkStart w:id="490" w:name="page491"/>
    <w:bookmarkEnd w:id="490"/>
    <w:p>
      <w:pPr>
        <w:ind w:left="-40" w:right="600" w:firstLine="430"/>
        <w:spacing w:after="0" w:line="277" w:lineRule="auto"/>
        <w:tabs>
          <w:tab w:leader="none" w:pos="655"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an entity’s charter, bylaws, partnership agreement, limited liability company agreement, operating agreement, indemnification agreement or other similar or equivalent agreement or document.</w:t>
      </w:r>
    </w:p>
    <w:p>
      <w:pPr>
        <w:spacing w:after="0" w:line="61" w:lineRule="exact"/>
        <w:rPr>
          <w:rFonts w:ascii="Arial" w:cs="Arial" w:eastAsia="Arial" w:hAnsi="Arial"/>
          <w:sz w:val="18"/>
          <w:szCs w:val="18"/>
          <w:color w:val="auto"/>
        </w:rPr>
      </w:pPr>
    </w:p>
    <w:p>
      <w:pPr>
        <w:ind w:left="600" w:hanging="210"/>
        <w:spacing w:after="0"/>
        <w:tabs>
          <w:tab w:leader="none" w:pos="6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w:t>
      </w:r>
      <w:r>
        <w:rPr>
          <w:rFonts w:ascii="Arial" w:cs="Arial" w:eastAsia="Arial" w:hAnsi="Arial"/>
          <w:sz w:val="18"/>
          <w:szCs w:val="18"/>
          <w:color w:val="auto"/>
        </w:rPr>
        <w:t>” means Post Holdings, Inc., a Missouri corporation.</w:t>
      </w:r>
    </w:p>
    <w:p>
      <w:pPr>
        <w:spacing w:after="0" w:line="116" w:lineRule="exact"/>
        <w:rPr>
          <w:rFonts w:ascii="Arial" w:cs="Arial" w:eastAsia="Arial" w:hAnsi="Arial"/>
          <w:sz w:val="18"/>
          <w:szCs w:val="18"/>
          <w:color w:val="auto"/>
        </w:rPr>
      </w:pPr>
    </w:p>
    <w:p>
      <w:pPr>
        <w:ind w:left="-40" w:right="20" w:firstLine="430"/>
        <w:spacing w:after="0" w:line="271" w:lineRule="auto"/>
        <w:tabs>
          <w:tab w:leader="none" w:pos="615" w:val="left"/>
        </w:tabs>
        <w:numPr>
          <w:ilvl w:val="0"/>
          <w:numId w:val="4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includes any actual, threatened, pending or completed action, suit, arbitration, alternate dispute resolution mechanism, investigation, inquiry, administrative hearing or any other actual, threatened, pending or completed proceeding, whether brought by or in the right of the Company or otherwise and whether civil, criminal, administrative or investigative in nature, in which Indemnitee was, is, may be or will be involved as a party, witness or otherwise, by reason of Indemnitee’s Corporate Status or by reason of any action taken by Indemnitee or of any inaction on Indemnitee’s part while acting as director or officer (or equivalent position) of any Company Entity (in each case whether or not Indemnitee is acting or serving in any such capacity or has such status at the time any liability or expense is incurred for which indemnification or advancement of Expenses can be provided under this Agreement), including any pending on or before the date of this Agreement, but excluding any initiated by an Indemnitee pursuant to </w:t>
      </w:r>
      <w:r>
        <w:rPr>
          <w:rFonts w:ascii="Arial" w:cs="Arial" w:eastAsia="Arial" w:hAnsi="Arial"/>
          <w:sz w:val="17"/>
          <w:szCs w:val="17"/>
          <w:u w:val="single" w:color="auto"/>
          <w:color w:val="auto"/>
        </w:rPr>
        <w:t>Section 10(f)</w:t>
      </w:r>
      <w:r>
        <w:rPr>
          <w:rFonts w:ascii="Arial" w:cs="Arial" w:eastAsia="Arial" w:hAnsi="Arial"/>
          <w:sz w:val="17"/>
          <w:szCs w:val="17"/>
          <w:color w:val="auto"/>
        </w:rPr>
        <w:t xml:space="preserve"> of this Agreement to enforce Indemnitee’s rights under this Agreement.</w:t>
      </w:r>
    </w:p>
    <w:p>
      <w:pPr>
        <w:spacing w:after="0" w:line="68" w:lineRule="exact"/>
        <w:rPr>
          <w:rFonts w:ascii="Arial" w:cs="Arial" w:eastAsia="Arial" w:hAnsi="Arial"/>
          <w:sz w:val="17"/>
          <w:szCs w:val="17"/>
          <w:color w:val="auto"/>
        </w:rPr>
      </w:pPr>
    </w:p>
    <w:p>
      <w:pPr>
        <w:ind w:left="-40" w:right="540" w:firstLine="430"/>
        <w:spacing w:after="0" w:line="341" w:lineRule="auto"/>
        <w:tabs>
          <w:tab w:leader="none" w:pos="655"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Whenever required by the context, as used in this Agreement the singular number shall include the plural, the plural shall include the singular and all words herein in any gender shall be deemed to include (as appropriate) the masculine, feminine and neuter genders.</w:t>
      </w:r>
    </w:p>
    <w:p>
      <w:pPr>
        <w:spacing w:after="0" w:line="17" w:lineRule="exact"/>
        <w:rPr>
          <w:sz w:val="20"/>
          <w:szCs w:val="20"/>
          <w:color w:val="auto"/>
        </w:rPr>
      </w:pPr>
    </w:p>
    <w:p>
      <w:pPr>
        <w:ind w:left="660" w:hanging="270"/>
        <w:spacing w:after="0"/>
        <w:tabs>
          <w:tab w:leader="none" w:pos="66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Reliance; Integration</w:t>
      </w:r>
      <w:r>
        <w:rPr>
          <w:rFonts w:ascii="Arial" w:cs="Arial" w:eastAsia="Arial" w:hAnsi="Arial"/>
          <w:sz w:val="18"/>
          <w:szCs w:val="18"/>
          <w:color w:val="auto"/>
        </w:rPr>
        <w:t>.</w:t>
      </w:r>
    </w:p>
    <w:p>
      <w:pPr>
        <w:spacing w:after="0" w:line="117" w:lineRule="exact"/>
        <w:rPr>
          <w:sz w:val="20"/>
          <w:szCs w:val="20"/>
          <w:color w:val="auto"/>
        </w:rPr>
      </w:pPr>
    </w:p>
    <w:p>
      <w:pPr>
        <w:ind w:left="-40" w:firstLine="430"/>
        <w:spacing w:after="0" w:line="263" w:lineRule="auto"/>
        <w:tabs>
          <w:tab w:leader="none" w:pos="64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and/or officer of the Company, and the Company acknowledges that Indemnitee is relying upon this Agreement in serving as a director and/or officer of the Company.</w:t>
      </w:r>
    </w:p>
    <w:p>
      <w:pPr>
        <w:spacing w:after="0" w:line="74" w:lineRule="exact"/>
        <w:rPr>
          <w:rFonts w:ascii="Arial" w:cs="Arial" w:eastAsia="Arial" w:hAnsi="Arial"/>
          <w:sz w:val="18"/>
          <w:szCs w:val="18"/>
          <w:color w:val="auto"/>
        </w:rPr>
      </w:pPr>
    </w:p>
    <w:p>
      <w:pPr>
        <w:ind w:left="-40" w:right="180" w:firstLine="430"/>
        <w:spacing w:after="0" w:line="307" w:lineRule="auto"/>
        <w:tabs>
          <w:tab w:leader="none" w:pos="65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 w:lineRule="exact"/>
        <w:rPr>
          <w:sz w:val="20"/>
          <w:szCs w:val="20"/>
          <w:color w:val="auto"/>
        </w:rPr>
      </w:pPr>
    </w:p>
    <w:p>
      <w:pPr>
        <w:ind w:left="-40" w:right="240" w:firstLine="430"/>
        <w:spacing w:after="0" w:line="286" w:lineRule="auto"/>
        <w:tabs>
          <w:tab w:leader="none" w:pos="670" w:val="left"/>
        </w:tabs>
        <w:numPr>
          <w:ilvl w:val="0"/>
          <w:numId w:val="426"/>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termination or amendment of this Agreement shall be binding unless executed in a writing identified as such by each of the parties hereto. No waiver of any of the provisions of this Agreement shall be deemed or shall constitute a waiver of any other provisions hereof (whether or not similar) nor shall such waiver constitute a continuing waiver.</w:t>
      </w:r>
    </w:p>
    <w:p>
      <w:pPr>
        <w:spacing w:after="0" w:line="56" w:lineRule="exact"/>
        <w:rPr>
          <w:rFonts w:ascii="Arial" w:cs="Arial" w:eastAsia="Arial" w:hAnsi="Arial"/>
          <w:sz w:val="17"/>
          <w:szCs w:val="17"/>
          <w:color w:val="auto"/>
        </w:rPr>
      </w:pPr>
    </w:p>
    <w:p>
      <w:pPr>
        <w:ind w:left="-40" w:firstLine="430"/>
        <w:spacing w:after="0" w:line="259" w:lineRule="auto"/>
        <w:tabs>
          <w:tab w:leader="none" w:pos="670"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duly delivered: (i) upon receipt if delivered personally, (ii) one Business Day after it is sent by commercial overnight courier service, or (iii) by electronic mail (in which case, it will be effective on the day sent, or, if not a business day, on the immediately following business day) to the parties at the following addresses (or at such other address for a party as shall be specified by such party by like notice):</w:t>
      </w:r>
    </w:p>
    <w:p>
      <w:pPr>
        <w:spacing w:after="0" w:line="78" w:lineRule="exact"/>
        <w:rPr>
          <w:sz w:val="20"/>
          <w:szCs w:val="20"/>
          <w:color w:val="auto"/>
        </w:rPr>
      </w:pPr>
    </w:p>
    <w:p>
      <w:pPr>
        <w:ind w:left="1380" w:right="8840" w:hanging="990"/>
        <w:spacing w:after="0" w:line="448" w:lineRule="auto"/>
        <w:tabs>
          <w:tab w:leader="none" w:pos="634"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If to Indemnitee, to: E-mail: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20"/>
          </w:cols>
          <w:pgMar w:left="500" w:top="274" w:right="479" w:bottom="1440" w:gutter="0" w:footer="0" w:header="0"/>
        </w:sectPr>
      </w:pPr>
    </w:p>
    <w:bookmarkStart w:id="491" w:name="page492"/>
    <w:bookmarkEnd w:id="4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Craig Rosenthal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10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Lewis Rice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600 Washington Avenue, Suite 2500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 Louis, MO 63101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Tom W. Zook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2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or to such other address as may have been furnished (in the manner prescribed above) as follows: (a) in the case of a change in address for notices to Indemnitee, furnished by Indemnitee to the Company and (b) in the case of a change in address for notices to the Company, furnished by the Company to Indemnitee.</w:t>
      </w:r>
    </w:p>
    <w:p>
      <w:pPr>
        <w:spacing w:after="0" w:line="75" w:lineRule="exact"/>
        <w:rPr>
          <w:sz w:val="20"/>
          <w:szCs w:val="20"/>
          <w:color w:val="auto"/>
        </w:rPr>
      </w:pPr>
    </w:p>
    <w:p>
      <w:pPr>
        <w:ind w:firstLine="430"/>
        <w:spacing w:after="0" w:line="290" w:lineRule="auto"/>
        <w:tabs>
          <w:tab w:leader="none" w:pos="710"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Appointment of Agent for Service of Process</w:t>
      </w:r>
      <w:r>
        <w:rPr>
          <w:rFonts w:ascii="Arial" w:cs="Arial" w:eastAsia="Arial" w:hAnsi="Arial"/>
          <w:sz w:val="16"/>
          <w:szCs w:val="16"/>
          <w:color w:val="auto"/>
        </w:rPr>
        <w:t>. This Agreement and the legal relations among the parties shall, to the fullest extent permitted by Law,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Court of Chancery of the State of Delaware (the “</w:t>
      </w:r>
      <w:r>
        <w:rPr>
          <w:rFonts w:ascii="Arial" w:cs="Arial" w:eastAsia="Arial" w:hAnsi="Arial"/>
          <w:sz w:val="16"/>
          <w:szCs w:val="16"/>
          <w:u w:val="single" w:color="auto"/>
          <w:color w:val="auto"/>
        </w:rPr>
        <w:t>Designated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Designated Court for purposes of any action or proceeding arising out of or in connection with this Agreement, (iii) waive any objection to the laying of venue of any such action or proceeding in the Designated Court, and (iv) waive, and agree not to plead or to make, any claim that any such action or proceeding brought in the Designated Court has been brought in an improper or otherwise inconvenient forum.</w:t>
      </w:r>
    </w:p>
    <w:p>
      <w:pPr>
        <w:spacing w:after="0" w:line="56" w:lineRule="exact"/>
        <w:rPr>
          <w:rFonts w:ascii="Arial" w:cs="Arial" w:eastAsia="Arial" w:hAnsi="Arial"/>
          <w:sz w:val="16"/>
          <w:szCs w:val="16"/>
          <w:color w:val="auto"/>
        </w:rPr>
      </w:pPr>
    </w:p>
    <w:p>
      <w:pPr>
        <w:ind w:right="200" w:firstLine="430"/>
        <w:spacing w:after="0" w:line="277" w:lineRule="auto"/>
        <w:tabs>
          <w:tab w:leader="none" w:pos="71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61" w:lineRule="exact"/>
        <w:rPr>
          <w:rFonts w:ascii="Arial" w:cs="Arial" w:eastAsia="Arial" w:hAnsi="Arial"/>
          <w:sz w:val="18"/>
          <w:szCs w:val="18"/>
          <w:color w:val="auto"/>
        </w:rPr>
      </w:pPr>
    </w:p>
    <w:p>
      <w:pPr>
        <w:ind w:right="180" w:firstLine="430"/>
        <w:spacing w:after="0" w:line="286" w:lineRule="auto"/>
        <w:tabs>
          <w:tab w:leader="none" w:pos="710"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consecutive counterparts (including by facsimile), each of which shall be an original, with the same effect as if the signatures thereto and hereto were upon the same instrument, and shall become effective when one or more counterparts have been signed by each of the parties and delivered (by telecopy or otherwise) to the other parties.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40"/>
          </w:cols>
          <w:pgMar w:left="460" w:top="273" w:right="499" w:bottom="1440" w:gutter="0" w:footer="0" w:header="0"/>
        </w:sectPr>
      </w:pPr>
    </w:p>
    <w:bookmarkStart w:id="492" w:name="page493"/>
    <w:bookmarkEnd w:id="49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14605</wp:posOffset>
            </wp:positionV>
            <wp:extent cx="25781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5781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 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999"/>
          </w:cols>
          <w:pgMar w:left="460" w:top="274" w:right="1440"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17145</wp:posOffset>
            </wp:positionV>
            <wp:extent cx="279273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 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999"/>
          </w:cols>
          <w:pgMar w:left="460" w:top="270" w:right="1440"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BELLRING BRANDS, INC.</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2019 LONG-TERM INCENTIVE PLAN</w:t>
      </w:r>
    </w:p>
    <w:p>
      <w:pPr>
        <w:spacing w:after="0" w:line="98" w:lineRule="exact"/>
        <w:rPr>
          <w:sz w:val="20"/>
          <w:szCs w:val="20"/>
          <w:color w:val="auto"/>
        </w:rPr>
      </w:pPr>
    </w:p>
    <w:p>
      <w:pPr>
        <w:ind w:left="10" w:right="40"/>
        <w:spacing w:after="0" w:line="260" w:lineRule="auto"/>
        <w:rPr>
          <w:sz w:val="20"/>
          <w:szCs w:val="20"/>
          <w:color w:val="auto"/>
        </w:rPr>
      </w:pPr>
      <w:r>
        <w:rPr>
          <w:rFonts w:ascii="Arial" w:cs="Arial" w:eastAsia="Arial" w:hAnsi="Arial"/>
          <w:sz w:val="18"/>
          <w:szCs w:val="18"/>
          <w:b w:val="1"/>
          <w:bCs w:val="1"/>
          <w:color w:val="auto"/>
        </w:rPr>
        <w:t xml:space="preserve">1. Establishment and Purpose. </w:t>
      </w:r>
      <w:r>
        <w:rPr>
          <w:rFonts w:ascii="Arial" w:cs="Arial" w:eastAsia="Arial" w:hAnsi="Arial"/>
          <w:sz w:val="18"/>
          <w:szCs w:val="18"/>
          <w:color w:val="auto"/>
        </w:rPr>
        <w:t>BellRing Brands, Inc. hereby establishes, effective , 2019, an incentive compensation plan known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“BellRing Brands, Inc. 2019 Long-Term Incentive Plan.” The purpose of the Plan is to attract, retain, and motivate Participants (as defined herein) by offering such individuals opportunities to realize stock price appreciation, by facilitating stock ownership and/or by rewarding them for achieving a high level of performance.</w:t>
      </w:r>
    </w:p>
    <w:p>
      <w:pPr>
        <w:spacing w:after="0" w:line="182" w:lineRule="exact"/>
        <w:rPr>
          <w:sz w:val="20"/>
          <w:szCs w:val="20"/>
          <w:color w:val="auto"/>
        </w:rPr>
      </w:pPr>
    </w:p>
    <w:p>
      <w:pPr>
        <w:ind w:left="450" w:hanging="450"/>
        <w:spacing w:after="0"/>
        <w:tabs>
          <w:tab w:leader="none" w:pos="45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Plan have the meanings set forth below.</w:t>
      </w:r>
    </w:p>
    <w:p>
      <w:pPr>
        <w:spacing w:after="0" w:line="228" w:lineRule="exact"/>
        <w:rPr>
          <w:rFonts w:ascii="Arial" w:cs="Arial" w:eastAsia="Arial" w:hAnsi="Arial"/>
          <w:sz w:val="18"/>
          <w:szCs w:val="18"/>
          <w:b w:val="1"/>
          <w:bCs w:val="1"/>
          <w:color w:val="auto"/>
        </w:rPr>
      </w:pPr>
    </w:p>
    <w:p>
      <w:pPr>
        <w:ind w:left="10" w:right="60" w:firstLine="430"/>
        <w:spacing w:after="0" w:line="286" w:lineRule="auto"/>
        <w:tabs>
          <w:tab w:leader="none" w:pos="829" w:val="left"/>
        </w:tabs>
        <w:numPr>
          <w:ilvl w:val="1"/>
          <w:numId w:val="429"/>
        </w:numPr>
        <w:rPr>
          <w:rFonts w:ascii="Arial" w:cs="Arial" w:eastAsia="Arial" w:hAnsi="Arial"/>
          <w:sz w:val="17"/>
          <w:szCs w:val="17"/>
          <w:color w:val="auto"/>
        </w:rPr>
      </w:pPr>
      <w:r>
        <w:rPr>
          <w:rFonts w:ascii="Arial" w:cs="Arial" w:eastAsia="Arial" w:hAnsi="Arial"/>
          <w:sz w:val="17"/>
          <w:szCs w:val="17"/>
          <w:color w:val="auto"/>
        </w:rPr>
        <w:t>“Affiliate” means any corporation that is a Subsidiary of the Company and, for purposes other than the grant of Incentive Stock Options, any limited liability company, partnership, corporation, joint venture or any other entity in which the Company or any such Subsidiary owns an equity interest. For the avoidance of doubt, the ownership referred to in the preceding sentence includes direct and indirect ownership.</w:t>
      </w:r>
    </w:p>
    <w:p>
      <w:pPr>
        <w:spacing w:after="0" w:line="164" w:lineRule="exact"/>
        <w:rPr>
          <w:rFonts w:ascii="Arial" w:cs="Arial" w:eastAsia="Arial" w:hAnsi="Arial"/>
          <w:sz w:val="17"/>
          <w:szCs w:val="17"/>
          <w:color w:val="auto"/>
        </w:rPr>
      </w:pPr>
    </w:p>
    <w:p>
      <w:pPr>
        <w:ind w:left="10" w:right="80" w:firstLine="430"/>
        <w:spacing w:after="0" w:line="301" w:lineRule="auto"/>
        <w:tabs>
          <w:tab w:leader="none" w:pos="839"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“Agreement” means a written agreement, contract, certificate or other instrument or document (which may be transmitted electronically to any Participant) evidencing the terms and conditions of an Award in such form (not inconsistent with this Plan) as the Committee approves from time to time, together with all amendments thereof, which amendments may be made unilaterally by the Company (with the approval of the Committee) unless such amendments are deemed by the Committee to be materially adverse to the Participant and not required as a matter of law.</w:t>
      </w:r>
    </w:p>
    <w:p>
      <w:pPr>
        <w:spacing w:after="0" w:line="156" w:lineRule="exact"/>
        <w:rPr>
          <w:rFonts w:ascii="Arial" w:cs="Arial" w:eastAsia="Arial" w:hAnsi="Arial"/>
          <w:sz w:val="16"/>
          <w:szCs w:val="16"/>
          <w:color w:val="auto"/>
        </w:rPr>
      </w:pPr>
    </w:p>
    <w:p>
      <w:pPr>
        <w:jc w:val="both"/>
        <w:ind w:left="10" w:right="100" w:firstLine="430"/>
        <w:spacing w:after="0" w:line="311" w:lineRule="auto"/>
        <w:tabs>
          <w:tab w:leader="none" w:pos="829"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“Associate” means any service provider (including any employee, director, manager, consultant or advisor) to the Company or an Affiliate. References in this Plan to “employment” and related terms (except for references to “employee” in this definition of “Associate” or in Section 7(a)(i)) shall also include the providing of services as a service provider to the Company or an Affiliate who is not an employee of the Company or an Affiliate.</w:t>
      </w:r>
    </w:p>
    <w:p>
      <w:pPr>
        <w:spacing w:after="0" w:line="148" w:lineRule="exact"/>
        <w:rPr>
          <w:rFonts w:ascii="Arial" w:cs="Arial" w:eastAsia="Arial" w:hAnsi="Arial"/>
          <w:sz w:val="16"/>
          <w:szCs w:val="16"/>
          <w:color w:val="auto"/>
        </w:rPr>
      </w:pPr>
    </w:p>
    <w:p>
      <w:pPr>
        <w:ind w:left="10" w:right="280" w:firstLine="430"/>
        <w:spacing w:after="0" w:line="277" w:lineRule="auto"/>
        <w:tabs>
          <w:tab w:leader="none" w:pos="839"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“Award” means a grant made under this Plan in the form of Options, Stock Appreciation Rights, Restricted Stock, Restricted Stock Units, Performance Shares or any Other Award, whether singly, in combination or in tandem.</w:t>
      </w:r>
    </w:p>
    <w:p>
      <w:pPr>
        <w:spacing w:after="0" w:line="169" w:lineRule="exact"/>
        <w:rPr>
          <w:rFonts w:ascii="Arial" w:cs="Arial" w:eastAsia="Arial" w:hAnsi="Arial"/>
          <w:sz w:val="18"/>
          <w:szCs w:val="18"/>
          <w:color w:val="auto"/>
        </w:rPr>
      </w:pPr>
    </w:p>
    <w:p>
      <w:pPr>
        <w:ind w:left="810" w:hanging="370"/>
        <w:spacing w:after="0"/>
        <w:tabs>
          <w:tab w:leader="none" w:pos="81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4" w:lineRule="exact"/>
        <w:rPr>
          <w:rFonts w:ascii="Arial" w:cs="Arial" w:eastAsia="Arial" w:hAnsi="Arial"/>
          <w:sz w:val="18"/>
          <w:szCs w:val="18"/>
          <w:color w:val="auto"/>
        </w:rPr>
      </w:pPr>
    </w:p>
    <w:p>
      <w:pPr>
        <w:ind w:left="790" w:hanging="350"/>
        <w:spacing w:after="0"/>
        <w:tabs>
          <w:tab w:leader="none" w:pos="79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“Cause” shall have the meaning ascribed to such term in the Agreement.</w:t>
      </w:r>
    </w:p>
    <w:p>
      <w:pPr>
        <w:spacing w:after="0" w:line="224" w:lineRule="exact"/>
        <w:rPr>
          <w:rFonts w:ascii="Arial" w:cs="Arial" w:eastAsia="Arial" w:hAnsi="Arial"/>
          <w:sz w:val="18"/>
          <w:szCs w:val="18"/>
          <w:color w:val="auto"/>
        </w:rPr>
      </w:pPr>
    </w:p>
    <w:p>
      <w:pPr>
        <w:ind w:left="830" w:hanging="390"/>
        <w:spacing w:after="0"/>
        <w:tabs>
          <w:tab w:leader="none" w:pos="83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“Change in Control” means, except as otherwise provided in an Agreement, any of the following:</w:t>
      </w:r>
    </w:p>
    <w:p>
      <w:pPr>
        <w:spacing w:after="0" w:line="224" w:lineRule="exact"/>
        <w:rPr>
          <w:rFonts w:ascii="Arial" w:cs="Arial" w:eastAsia="Arial" w:hAnsi="Arial"/>
          <w:sz w:val="18"/>
          <w:szCs w:val="18"/>
          <w:color w:val="auto"/>
        </w:rPr>
      </w:pPr>
    </w:p>
    <w:p>
      <w:pPr>
        <w:ind w:left="1350" w:hanging="359"/>
        <w:spacing w:after="0"/>
        <w:tabs>
          <w:tab w:leader="none" w:pos="135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Individuals who constitute the Incumbent Board cease for any reason to constitute at least a majority of the Board.</w:t>
      </w:r>
    </w:p>
    <w:p>
      <w:pPr>
        <w:spacing w:after="0" w:line="224" w:lineRule="exact"/>
        <w:rPr>
          <w:rFonts w:ascii="Arial" w:cs="Arial" w:eastAsia="Arial" w:hAnsi="Arial"/>
          <w:sz w:val="18"/>
          <w:szCs w:val="18"/>
          <w:color w:val="auto"/>
        </w:rPr>
      </w:pPr>
    </w:p>
    <w:p>
      <w:pPr>
        <w:ind w:left="10" w:right="300" w:firstLine="981"/>
        <w:spacing w:after="0" w:line="296" w:lineRule="auto"/>
        <w:tabs>
          <w:tab w:leader="none" w:pos="1390" w:val="left"/>
        </w:tabs>
        <w:numPr>
          <w:ilvl w:val="2"/>
          <w:numId w:val="429"/>
        </w:numPr>
        <w:rPr>
          <w:rFonts w:ascii="Arial" w:cs="Arial" w:eastAsia="Arial" w:hAnsi="Arial"/>
          <w:sz w:val="16"/>
          <w:szCs w:val="16"/>
          <w:color w:val="auto"/>
        </w:rPr>
      </w:pPr>
      <w:r>
        <w:rPr>
          <w:rFonts w:ascii="Arial" w:cs="Arial" w:eastAsia="Arial" w:hAnsi="Arial"/>
          <w:sz w:val="16"/>
          <w:szCs w:val="16"/>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 pursuant to this paragraph 2(g)(ii);</w:t>
      </w:r>
    </w:p>
    <w:p>
      <w:pPr>
        <w:spacing w:after="0" w:line="52" w:lineRule="exact"/>
        <w:rPr>
          <w:rFonts w:ascii="Arial" w:cs="Arial" w:eastAsia="Arial" w:hAnsi="Arial"/>
          <w:sz w:val="16"/>
          <w:szCs w:val="16"/>
          <w:color w:val="auto"/>
        </w:rPr>
      </w:pPr>
    </w:p>
    <w:p>
      <w:pPr>
        <w:ind w:left="990" w:right="840" w:firstLine="401"/>
        <w:spacing w:after="0" w:line="277" w:lineRule="auto"/>
        <w:tabs>
          <w:tab w:leader="none" w:pos="1820" w:val="left"/>
        </w:tabs>
        <w:numPr>
          <w:ilvl w:val="3"/>
          <w:numId w:val="429"/>
        </w:numPr>
        <w:rPr>
          <w:rFonts w:ascii="Arial" w:cs="Arial" w:eastAsia="Arial" w:hAnsi="Arial"/>
          <w:sz w:val="18"/>
          <w:szCs w:val="18"/>
          <w:color w:val="auto"/>
        </w:rPr>
      </w:pPr>
      <w:r>
        <w:rPr>
          <w:rFonts w:ascii="Arial" w:cs="Arial" w:eastAsia="Arial" w:hAnsi="Arial"/>
          <w:sz w:val="18"/>
          <w:szCs w:val="18"/>
          <w:color w:val="auto"/>
        </w:rPr>
        <w:t>any direct or indirect acquisition or beneficial ownership by the Company, Post Holdings, Inc. or any of its and their Subsidiaries,</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1" w:right="439" w:bottom="1440" w:gutter="0" w:footer="0" w:header="0"/>
        </w:sectPr>
      </w:pPr>
    </w:p>
    <w:bookmarkStart w:id="495" w:name="page496"/>
    <w:bookmarkEnd w:id="495"/>
    <w:p>
      <w:pPr>
        <w:ind w:left="980" w:right="80" w:firstLine="401"/>
        <w:spacing w:after="0" w:line="263" w:lineRule="auto"/>
        <w:tabs>
          <w:tab w:leader="none" w:pos="18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74" w:lineRule="exact"/>
        <w:rPr>
          <w:rFonts w:ascii="Arial" w:cs="Arial" w:eastAsia="Arial" w:hAnsi="Arial"/>
          <w:sz w:val="18"/>
          <w:szCs w:val="18"/>
          <w:color w:val="auto"/>
        </w:rPr>
      </w:pPr>
    </w:p>
    <w:p>
      <w:pPr>
        <w:ind w:left="980" w:right="660" w:firstLine="401"/>
        <w:spacing w:after="0" w:line="277" w:lineRule="auto"/>
        <w:tabs>
          <w:tab w:leader="none" w:pos="18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 sponsored or maintained by the Company or one of more of its Subsidiaries.</w:t>
      </w:r>
    </w:p>
    <w:p>
      <w:pPr>
        <w:spacing w:after="0" w:line="169" w:lineRule="exact"/>
        <w:rPr>
          <w:rFonts w:ascii="Arial" w:cs="Arial" w:eastAsia="Arial" w:hAnsi="Arial"/>
          <w:sz w:val="18"/>
          <w:szCs w:val="18"/>
          <w:color w:val="auto"/>
        </w:rPr>
      </w:pPr>
    </w:p>
    <w:p>
      <w:pPr>
        <w:ind w:right="540" w:firstLine="981"/>
        <w:spacing w:after="0" w:line="277" w:lineRule="auto"/>
        <w:tabs>
          <w:tab w:leader="none" w:pos="14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 “Business Combination”), unless in each case following such Business Combination:</w:t>
      </w:r>
    </w:p>
    <w:p>
      <w:pPr>
        <w:spacing w:after="0" w:line="61" w:lineRule="exact"/>
        <w:rPr>
          <w:rFonts w:ascii="Arial" w:cs="Arial" w:eastAsia="Arial" w:hAnsi="Arial"/>
          <w:sz w:val="18"/>
          <w:szCs w:val="18"/>
          <w:color w:val="auto"/>
        </w:rPr>
      </w:pPr>
    </w:p>
    <w:p>
      <w:pPr>
        <w:ind w:left="980" w:firstLine="401"/>
        <w:spacing w:after="0" w:line="256" w:lineRule="auto"/>
        <w:tabs>
          <w:tab w:leader="none" w:pos="181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3" w:lineRule="exact"/>
        <w:rPr>
          <w:rFonts w:ascii="Arial" w:cs="Arial" w:eastAsia="Arial" w:hAnsi="Arial"/>
          <w:sz w:val="18"/>
          <w:szCs w:val="18"/>
          <w:color w:val="auto"/>
        </w:rPr>
      </w:pPr>
    </w:p>
    <w:p>
      <w:pPr>
        <w:ind w:left="980" w:right="180" w:firstLine="401"/>
        <w:spacing w:after="0" w:line="275" w:lineRule="auto"/>
        <w:tabs>
          <w:tab w:leader="none" w:pos="1800" w:val="left"/>
        </w:tabs>
        <w:numPr>
          <w:ilvl w:val="1"/>
          <w:numId w:val="431"/>
        </w:numPr>
        <w:rPr>
          <w:rFonts w:ascii="Arial" w:cs="Arial" w:eastAsia="Arial" w:hAnsi="Arial"/>
          <w:sz w:val="17"/>
          <w:szCs w:val="17"/>
          <w:color w:val="auto"/>
        </w:rPr>
      </w:pPr>
      <w:r>
        <w:rPr>
          <w:rFonts w:ascii="Arial" w:cs="Arial" w:eastAsia="Arial" w:hAnsi="Arial"/>
          <w:sz w:val="17"/>
          <w:szCs w:val="17"/>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67" w:lineRule="exact"/>
        <w:rPr>
          <w:rFonts w:ascii="Arial" w:cs="Arial" w:eastAsia="Arial" w:hAnsi="Arial"/>
          <w:sz w:val="17"/>
          <w:szCs w:val="17"/>
          <w:color w:val="auto"/>
        </w:rPr>
      </w:pPr>
    </w:p>
    <w:p>
      <w:pPr>
        <w:ind w:left="980" w:right="120" w:firstLine="401"/>
        <w:spacing w:after="0" w:line="263" w:lineRule="auto"/>
        <w:tabs>
          <w:tab w:leader="none" w:pos="18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82" w:lineRule="exact"/>
        <w:rPr>
          <w:rFonts w:ascii="Arial" w:cs="Arial" w:eastAsia="Arial" w:hAnsi="Arial"/>
          <w:sz w:val="18"/>
          <w:szCs w:val="18"/>
          <w:color w:val="auto"/>
        </w:rPr>
      </w:pPr>
    </w:p>
    <w:p>
      <w:pPr>
        <w:ind w:left="1420" w:hanging="439"/>
        <w:spacing w:after="0"/>
        <w:tabs>
          <w:tab w:leader="none" w:pos="142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Company shall sell or otherwise dispose of all or substantially all of the assets of the Company (in one transaction or a series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auto"/>
        </w:rPr>
      </w:pPr>
    </w:p>
    <w:p>
      <w:pPr>
        <w:ind w:right="100" w:firstLine="981"/>
        <w:spacing w:after="0" w:line="277" w:lineRule="auto"/>
        <w:tabs>
          <w:tab w:leader="none" w:pos="137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stockholders of the Company shall approve a plan to liquidate or dissolve the Company and the Company shall commence such liquidation or dissolution of the Company.</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186" w:lineRule="exact"/>
        <w:rPr>
          <w:sz w:val="20"/>
          <w:szCs w:val="20"/>
          <w:color w:val="auto"/>
        </w:rPr>
      </w:pPr>
    </w:p>
    <w:p>
      <w:pPr>
        <w:ind w:right="100" w:firstLine="430"/>
        <w:spacing w:after="0" w:line="277" w:lineRule="auto"/>
        <w:tabs>
          <w:tab w:leader="none" w:pos="87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in effect from time to time, or any successor statute. Any reference to a section of the Code shall be deemed to include a reference to any regulations promulgated thereunder.</w:t>
      </w:r>
    </w:p>
    <w:p>
      <w:pPr>
        <w:spacing w:after="0" w:line="169" w:lineRule="exact"/>
        <w:rPr>
          <w:rFonts w:ascii="Arial" w:cs="Arial" w:eastAsia="Arial" w:hAnsi="Arial"/>
          <w:sz w:val="18"/>
          <w:szCs w:val="18"/>
          <w:color w:val="auto"/>
        </w:rPr>
      </w:pPr>
    </w:p>
    <w:p>
      <w:pPr>
        <w:ind w:right="380" w:firstLine="430"/>
        <w:spacing w:after="0" w:line="277" w:lineRule="auto"/>
        <w:tabs>
          <w:tab w:leader="none" w:pos="79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“Committee” means the committee of directors appointed by the Board to administer this Plan. In the absence of a specific appointment, “Committee” shall mean the compensation committee of the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496" w:name="page497"/>
    <w:bookmarkEnd w:id="496"/>
    <w:p>
      <w:pPr>
        <w:ind w:right="360" w:firstLine="430"/>
        <w:spacing w:after="0" w:line="277" w:lineRule="auto"/>
        <w:tabs>
          <w:tab w:leader="none" w:pos="79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means BellRing Brands, Inc., a Delaware corporation, or any successor to all or substantially all of its businesses by merger, consolidation, purchase of assets or otherwise.</w:t>
      </w:r>
    </w:p>
    <w:p>
      <w:pPr>
        <w:spacing w:after="0" w:line="169" w:lineRule="exact"/>
        <w:rPr>
          <w:rFonts w:ascii="Arial" w:cs="Arial" w:eastAsia="Arial" w:hAnsi="Arial"/>
          <w:sz w:val="18"/>
          <w:szCs w:val="18"/>
          <w:color w:val="auto"/>
        </w:rPr>
      </w:pPr>
    </w:p>
    <w:p>
      <w:pPr>
        <w:ind w:right="40" w:firstLine="430"/>
        <w:spacing w:after="0" w:line="290" w:lineRule="auto"/>
        <w:tabs>
          <w:tab w:leader="none" w:pos="83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“Disability” means, except as otherwise provided in an Agreement,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63" w:lineRule="exact"/>
        <w:rPr>
          <w:rFonts w:ascii="Arial" w:cs="Arial" w:eastAsia="Arial" w:hAnsi="Arial"/>
          <w:sz w:val="16"/>
          <w:szCs w:val="16"/>
          <w:color w:val="auto"/>
        </w:rPr>
      </w:pPr>
    </w:p>
    <w:p>
      <w:pPr>
        <w:ind w:firstLine="430"/>
        <w:spacing w:after="0" w:line="277" w:lineRule="auto"/>
        <w:tabs>
          <w:tab w:leader="none" w:pos="79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“Exchange Act Rule 16b-3” means Rule 16b-3 promulgated by the Securities and Exchange Commission under the Exchange Act or any successor regulation.</w:t>
      </w:r>
    </w:p>
    <w:p>
      <w:pPr>
        <w:spacing w:after="0" w:line="169" w:lineRule="exact"/>
        <w:rPr>
          <w:rFonts w:ascii="Arial" w:cs="Arial" w:eastAsia="Arial" w:hAnsi="Arial"/>
          <w:sz w:val="18"/>
          <w:szCs w:val="18"/>
          <w:color w:val="auto"/>
        </w:rPr>
      </w:pPr>
    </w:p>
    <w:p>
      <w:pPr>
        <w:ind w:left="860" w:hanging="430"/>
        <w:spacing w:after="0"/>
        <w:tabs>
          <w:tab w:leader="none" w:pos="8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“Fair Market Value” as of any date means, unless otherwise expressly provided in this Plan:</w:t>
      </w:r>
    </w:p>
    <w:p>
      <w:pPr>
        <w:spacing w:after="0" w:line="224" w:lineRule="exact"/>
        <w:rPr>
          <w:rFonts w:ascii="Arial" w:cs="Arial" w:eastAsia="Arial" w:hAnsi="Arial"/>
          <w:sz w:val="18"/>
          <w:szCs w:val="18"/>
          <w:color w:val="auto"/>
        </w:rPr>
      </w:pPr>
    </w:p>
    <w:p>
      <w:pPr>
        <w:ind w:firstLine="981"/>
        <w:spacing w:after="0" w:line="254" w:lineRule="auto"/>
        <w:tabs>
          <w:tab w:leader="none" w:pos="134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the closing sales price of a Share on the composite tape for New York Stock Exchange (“NYSE”) listed shares, or if Shares are not quoted on the composite tape for NYSE listed shares, on the Nasdaq Global Select Market or any similar system then in use, or (B) if clause (i)(A) is not applicable, the mean between the closing “bid” and the closing “asked” quotation of a Share on the Nasdaq Global Select Market or any similar system then in use, or (C) if the Shares are not quoted on the NYSE composite tape or the Nasdaq Global Select Market or any similar system then in use, the closing sale price of a Share on the principal United States securities exchange registered under the Exchange Act on which the Shares are listed, in any case on the specified date, or, if no sale of Shares shall have occurred on that date, on the immediately preceding day on which a sale of Shares occurred, or</w:t>
      </w:r>
    </w:p>
    <w:p>
      <w:pPr>
        <w:spacing w:after="0" w:line="193" w:lineRule="exact"/>
        <w:rPr>
          <w:rFonts w:ascii="Arial" w:cs="Arial" w:eastAsia="Arial" w:hAnsi="Arial"/>
          <w:sz w:val="18"/>
          <w:szCs w:val="18"/>
          <w:color w:val="auto"/>
        </w:rPr>
      </w:pPr>
    </w:p>
    <w:p>
      <w:pPr>
        <w:ind w:left="1380" w:hanging="399"/>
        <w:spacing w:after="0"/>
        <w:tabs>
          <w:tab w:leader="none" w:pos="1380" w:val="left"/>
        </w:tabs>
        <w:numPr>
          <w:ilvl w:val="1"/>
          <w:numId w:val="433"/>
        </w:numPr>
        <w:rPr>
          <w:rFonts w:ascii="Arial" w:cs="Arial" w:eastAsia="Arial" w:hAnsi="Arial"/>
          <w:sz w:val="16"/>
          <w:szCs w:val="16"/>
          <w:color w:val="auto"/>
        </w:rPr>
      </w:pPr>
      <w:r>
        <w:rPr>
          <w:rFonts w:ascii="Arial" w:cs="Arial" w:eastAsia="Arial" w:hAnsi="Arial"/>
          <w:sz w:val="16"/>
          <w:szCs w:val="16"/>
          <w:color w:val="auto"/>
        </w:rPr>
        <w:t>if clause (i) is not applicable, what the Committee determines in good faith to be 100% of the fair market value of a Share on that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In the case of any Option or Stock Appreciation Right, the determination of Fair Market Value shall be done in a manner consistent with the then current regulations of the Secretary of the Treasury. The determination of Fair Market Value shall be subject to adjustment as provided in Section 12(f) hereof.</w:t>
      </w:r>
    </w:p>
    <w:p>
      <w:pPr>
        <w:spacing w:after="0" w:line="183" w:lineRule="exact"/>
        <w:rPr>
          <w:sz w:val="20"/>
          <w:szCs w:val="20"/>
          <w:color w:val="auto"/>
        </w:rPr>
      </w:pPr>
    </w:p>
    <w:p>
      <w:pPr>
        <w:ind w:right="20" w:firstLine="430"/>
        <w:spacing w:after="0" w:line="254" w:lineRule="auto"/>
        <w:tabs>
          <w:tab w:leader="none" w:pos="83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“Good Reason” means, except as otherwise provided in an Agreement, the occurrence of one or more of the following,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(i) a material diminution in a Participant’s duties and responsibilities, (ii) a material decrease in a Participant’s base salary or bonus opportunity or (iii) a geographical relocation of the Participant’s principal office location by more than fifty (50) miles, in each case, without written consent; provided that in each case, the Participant must actually terminate his or her employment within thirty (30) days following the Company’s thirty (30)-day cure period specified herein.</w:t>
      </w:r>
    </w:p>
    <w:p>
      <w:pPr>
        <w:spacing w:after="0" w:line="193" w:lineRule="exact"/>
        <w:rPr>
          <w:rFonts w:ascii="Arial" w:cs="Arial" w:eastAsia="Arial" w:hAnsi="Arial"/>
          <w:sz w:val="18"/>
          <w:szCs w:val="18"/>
          <w:color w:val="auto"/>
        </w:rPr>
      </w:pPr>
    </w:p>
    <w:p>
      <w:pPr>
        <w:ind w:right="40" w:firstLine="430"/>
        <w:spacing w:after="0" w:line="277" w:lineRule="auto"/>
        <w:tabs>
          <w:tab w:leader="none" w:pos="83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“Incentive Stock Option” means any Option designated as such and granted in accordance with the requirements of Section 422 of the Code, or any successor to such section.</w:t>
      </w:r>
    </w:p>
    <w:p>
      <w:pPr>
        <w:spacing w:after="0" w:line="169" w:lineRule="exact"/>
        <w:rPr>
          <w:rFonts w:ascii="Arial" w:cs="Arial" w:eastAsia="Arial" w:hAnsi="Arial"/>
          <w:sz w:val="18"/>
          <w:szCs w:val="18"/>
          <w:color w:val="auto"/>
        </w:rPr>
      </w:pPr>
    </w:p>
    <w:p>
      <w:pPr>
        <w:ind w:right="160" w:firstLine="430"/>
        <w:spacing w:after="0" w:line="277" w:lineRule="auto"/>
        <w:tabs>
          <w:tab w:leader="none" w:pos="83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“Incumbent Board” means the group of directors consisting of (i) those individuals who, as of the effective date of the Plan, constituted the Board; and (ii) any individuals who become directors subsequent to such effective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3" w:right="459" w:bottom="1440" w:gutter="0" w:footer="0" w:header="0"/>
        </w:sectPr>
      </w:pPr>
    </w:p>
    <w:bookmarkStart w:id="497" w:name="page498"/>
    <w:bookmarkEnd w:id="49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(ii) with the approval of the Incumbent Board but by reason of any agreement intended to avoid or settle a proxy contest.</w:t>
      </w:r>
    </w:p>
    <w:p>
      <w:pPr>
        <w:spacing w:after="0" w:line="175" w:lineRule="exact"/>
        <w:rPr>
          <w:sz w:val="20"/>
          <w:szCs w:val="20"/>
          <w:color w:val="auto"/>
        </w:rPr>
      </w:pPr>
    </w:p>
    <w:p>
      <w:pPr>
        <w:ind w:left="820" w:hanging="390"/>
        <w:spacing w:after="0"/>
        <w:tabs>
          <w:tab w:leader="none" w:pos="82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“Non-Employee Director” means a member of the Board who is a “non-employee director,” as defined by Exchange Act Rule 16b-3.</w:t>
      </w:r>
    </w:p>
    <w:p>
      <w:pPr>
        <w:spacing w:after="0" w:line="236" w:lineRule="exact"/>
        <w:rPr>
          <w:rFonts w:ascii="Arial" w:cs="Arial" w:eastAsia="Arial" w:hAnsi="Arial"/>
          <w:sz w:val="17"/>
          <w:szCs w:val="17"/>
          <w:color w:val="auto"/>
        </w:rPr>
      </w:pPr>
    </w:p>
    <w:p>
      <w:pPr>
        <w:ind w:left="780" w:hanging="350"/>
        <w:spacing w:after="0"/>
        <w:tabs>
          <w:tab w:leader="none" w:pos="7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“Non-Qualified Stock Option” means an Option other than an Incentive Stock Option.</w:t>
      </w:r>
    </w:p>
    <w:p>
      <w:pPr>
        <w:spacing w:after="0" w:line="224" w:lineRule="exact"/>
        <w:rPr>
          <w:rFonts w:ascii="Arial" w:cs="Arial" w:eastAsia="Arial" w:hAnsi="Arial"/>
          <w:sz w:val="18"/>
          <w:szCs w:val="18"/>
          <w:color w:val="auto"/>
        </w:rPr>
      </w:pPr>
    </w:p>
    <w:p>
      <w:pPr>
        <w:ind w:right="260" w:firstLine="430"/>
        <w:spacing w:after="0" w:line="277" w:lineRule="auto"/>
        <w:tabs>
          <w:tab w:leader="none" w:pos="81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“Option” means a right to purchase Stock (or, if the Committee so provides in an applicable Agreement, Restricted Stock), including both Non-Qualified Stock Options and Incentive Stock Options granted under Section 7 hereof.</w:t>
      </w:r>
    </w:p>
    <w:p>
      <w:pPr>
        <w:spacing w:after="0" w:line="169" w:lineRule="exact"/>
        <w:rPr>
          <w:rFonts w:ascii="Arial" w:cs="Arial" w:eastAsia="Arial" w:hAnsi="Arial"/>
          <w:sz w:val="18"/>
          <w:szCs w:val="18"/>
          <w:color w:val="auto"/>
        </w:rPr>
      </w:pPr>
    </w:p>
    <w:p>
      <w:pPr>
        <w:ind w:right="620" w:firstLine="430"/>
        <w:spacing w:after="0" w:line="277" w:lineRule="auto"/>
        <w:tabs>
          <w:tab w:leader="none" w:pos="79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“Other Award” means an Award of Stock, an Award based on Stock other than Options, Stock Appreciation Rights, Restricted Stock, Restricted Stock Units or Performance Shares, or a cash-based Award granted under Section 11 hereof.</w:t>
      </w:r>
    </w:p>
    <w:p>
      <w:pPr>
        <w:spacing w:after="0" w:line="169" w:lineRule="exact"/>
        <w:rPr>
          <w:rFonts w:ascii="Arial" w:cs="Arial" w:eastAsia="Arial" w:hAnsi="Arial"/>
          <w:sz w:val="18"/>
          <w:szCs w:val="18"/>
          <w:color w:val="auto"/>
        </w:rPr>
      </w:pPr>
    </w:p>
    <w:p>
      <w:pPr>
        <w:ind w:left="820" w:hanging="390"/>
        <w:spacing w:after="0"/>
        <w:tabs>
          <w:tab w:leader="none" w:pos="8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“Parent” means a “parent,” within the meaning of Rule 405 under the Securities Act, or any successor provision.</w:t>
      </w:r>
    </w:p>
    <w:p>
      <w:pPr>
        <w:spacing w:after="0" w:line="224" w:lineRule="exact"/>
        <w:rPr>
          <w:rFonts w:ascii="Arial" w:cs="Arial" w:eastAsia="Arial" w:hAnsi="Arial"/>
          <w:sz w:val="18"/>
          <w:szCs w:val="18"/>
          <w:color w:val="auto"/>
        </w:rPr>
      </w:pPr>
    </w:p>
    <w:p>
      <w:pPr>
        <w:ind w:right="40" w:firstLine="430"/>
        <w:spacing w:after="0" w:line="277" w:lineRule="auto"/>
        <w:tabs>
          <w:tab w:leader="none" w:pos="83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“Participant” means an Associate to whom an Award is granted pursuant to the Plan or, if applicable, such other person who validly holds an outstanding Award.</w:t>
      </w:r>
    </w:p>
    <w:p>
      <w:pPr>
        <w:spacing w:after="0" w:line="169" w:lineRule="exact"/>
        <w:rPr>
          <w:rFonts w:ascii="Arial" w:cs="Arial" w:eastAsia="Arial" w:hAnsi="Arial"/>
          <w:sz w:val="18"/>
          <w:szCs w:val="18"/>
          <w:color w:val="auto"/>
        </w:rPr>
      </w:pPr>
    </w:p>
    <w:p>
      <w:pPr>
        <w:ind w:left="860" w:hanging="430"/>
        <w:spacing w:after="0"/>
        <w:tabs>
          <w:tab w:leader="none" w:pos="8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“Performance Criteria” means performance goals relating to certain criteria as further described in Section 9 hereof.</w:t>
      </w:r>
    </w:p>
    <w:p>
      <w:pPr>
        <w:spacing w:after="0" w:line="224" w:lineRule="exact"/>
        <w:rPr>
          <w:rFonts w:ascii="Arial" w:cs="Arial" w:eastAsia="Arial" w:hAnsi="Arial"/>
          <w:sz w:val="18"/>
          <w:szCs w:val="18"/>
          <w:color w:val="auto"/>
        </w:rPr>
      </w:pPr>
    </w:p>
    <w:p>
      <w:pPr>
        <w:ind w:right="360" w:firstLine="430"/>
        <w:spacing w:after="0" w:line="341" w:lineRule="auto"/>
        <w:tabs>
          <w:tab w:leader="none" w:pos="83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“Performance Period” means one or more periods of time, as the Committee may select, over which the attainment of one or more performance goals (including Performance Criteria) will be measured for the purpose of determining which Awards, if any, are to vest or be earned.</w:t>
      </w:r>
    </w:p>
    <w:p>
      <w:pPr>
        <w:spacing w:after="0" w:line="124" w:lineRule="exact"/>
        <w:rPr>
          <w:rFonts w:ascii="Arial" w:cs="Arial" w:eastAsia="Arial" w:hAnsi="Arial"/>
          <w:sz w:val="16"/>
          <w:szCs w:val="16"/>
          <w:color w:val="auto"/>
        </w:rPr>
      </w:pPr>
    </w:p>
    <w:p>
      <w:pPr>
        <w:jc w:val="both"/>
        <w:ind w:right="60" w:firstLine="430"/>
        <w:spacing w:after="0" w:line="259" w:lineRule="auto"/>
        <w:tabs>
          <w:tab w:leader="none" w:pos="83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“Performance Shares” means a contingent award of a specified number of Performance Shares or Units granted under Section 9 hereof, with each Performance Share equivalent to one or more Shares or a fractional Share or a Unit expressed in terms of one or more Shares or a fractional Share, as specified in the applicable Agreement, a variable percentage of which may vest or be earned depending upon the extent of achievement of specified performance objectives during the applicable Performance Period.</w:t>
      </w:r>
    </w:p>
    <w:p>
      <w:pPr>
        <w:spacing w:after="0" w:line="185" w:lineRule="exact"/>
        <w:rPr>
          <w:rFonts w:ascii="Arial" w:cs="Arial" w:eastAsia="Arial" w:hAnsi="Arial"/>
          <w:sz w:val="18"/>
          <w:szCs w:val="18"/>
          <w:color w:val="auto"/>
        </w:rPr>
      </w:pPr>
    </w:p>
    <w:p>
      <w:pPr>
        <w:ind w:left="800" w:hanging="370"/>
        <w:spacing w:after="0"/>
        <w:tabs>
          <w:tab w:leader="none" w:pos="8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“Plan” means this 2019 Long-Term Incentive Plan, as amended and in effect from time to time.</w:t>
      </w:r>
    </w:p>
    <w:p>
      <w:pPr>
        <w:spacing w:after="0" w:line="225" w:lineRule="exact"/>
        <w:rPr>
          <w:sz w:val="20"/>
          <w:szCs w:val="20"/>
          <w:color w:val="auto"/>
        </w:rPr>
      </w:pPr>
    </w:p>
    <w:p>
      <w:pPr>
        <w:ind w:left="880" w:hanging="450"/>
        <w:spacing w:after="0"/>
        <w:tabs>
          <w:tab w:leader="none" w:pos="88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“Restricted Stock” means Stock granted under Section 10 hereof so long as such Stock remains subject to one or more restrictions.</w:t>
      </w:r>
    </w:p>
    <w:p>
      <w:pPr>
        <w:spacing w:after="0" w:line="236" w:lineRule="exact"/>
        <w:rPr>
          <w:rFonts w:ascii="Arial" w:cs="Arial" w:eastAsia="Arial" w:hAnsi="Arial"/>
          <w:sz w:val="17"/>
          <w:szCs w:val="17"/>
          <w:color w:val="auto"/>
        </w:rPr>
      </w:pPr>
    </w:p>
    <w:p>
      <w:pPr>
        <w:ind w:left="900" w:hanging="470"/>
        <w:spacing w:after="0"/>
        <w:tabs>
          <w:tab w:leader="none" w:pos="9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“Restricted Stock Units” means Units of Stock granted under Section 10 hereof.</w:t>
      </w:r>
    </w:p>
    <w:p>
      <w:pPr>
        <w:spacing w:after="0" w:line="224" w:lineRule="exact"/>
        <w:rPr>
          <w:rFonts w:ascii="Arial" w:cs="Arial" w:eastAsia="Arial" w:hAnsi="Arial"/>
          <w:sz w:val="18"/>
          <w:szCs w:val="18"/>
          <w:color w:val="auto"/>
        </w:rPr>
      </w:pPr>
    </w:p>
    <w:p>
      <w:pPr>
        <w:ind w:left="880" w:hanging="450"/>
        <w:spacing w:after="0"/>
        <w:tabs>
          <w:tab w:leader="none" w:pos="8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224" w:lineRule="exact"/>
        <w:rPr>
          <w:rFonts w:ascii="Arial" w:cs="Arial" w:eastAsia="Arial" w:hAnsi="Arial"/>
          <w:sz w:val="18"/>
          <w:szCs w:val="18"/>
          <w:color w:val="auto"/>
        </w:rPr>
      </w:pPr>
    </w:p>
    <w:p>
      <w:pPr>
        <w:ind w:left="900" w:hanging="470"/>
        <w:spacing w:after="0"/>
        <w:tabs>
          <w:tab w:leader="none" w:pos="9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“Share” means a share of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498" w:name="page499"/>
    <w:bookmarkEnd w:id="498"/>
    <w:p>
      <w:pPr>
        <w:ind w:left="10" w:right="120" w:firstLine="430"/>
        <w:spacing w:after="0" w:line="341" w:lineRule="auto"/>
        <w:tabs>
          <w:tab w:leader="none" w:pos="909" w:val="left"/>
        </w:tabs>
        <w:numPr>
          <w:ilvl w:val="0"/>
          <w:numId w:val="4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means the Company’s Class A common stock, $0.01 par value per share (as such par value may be adjusted from time to time), or any securities issued in respect thereof by the Company or any successor to the Company as a result of an event described in Section 12(f).</w:t>
      </w:r>
    </w:p>
    <w:p>
      <w:pPr>
        <w:spacing w:after="0" w:line="124" w:lineRule="exact"/>
        <w:rPr>
          <w:rFonts w:ascii="Arial" w:cs="Arial" w:eastAsia="Arial" w:hAnsi="Arial"/>
          <w:sz w:val="16"/>
          <w:szCs w:val="16"/>
          <w:color w:val="auto"/>
        </w:rPr>
      </w:pPr>
    </w:p>
    <w:p>
      <w:pPr>
        <w:ind w:left="10" w:right="60" w:firstLine="430"/>
        <w:spacing w:after="0" w:line="277" w:lineRule="auto"/>
        <w:tabs>
          <w:tab w:leader="none" w:pos="86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“Stock Appreciation Right” means a right, the value of which is determined relative to appreciation in value of Shares pursuant to an Award granted under Section 8 hereof.</w:t>
      </w:r>
    </w:p>
    <w:p>
      <w:pPr>
        <w:spacing w:after="0" w:line="169" w:lineRule="exact"/>
        <w:rPr>
          <w:rFonts w:ascii="Arial" w:cs="Arial" w:eastAsia="Arial" w:hAnsi="Arial"/>
          <w:sz w:val="18"/>
          <w:szCs w:val="18"/>
          <w:color w:val="auto"/>
        </w:rPr>
      </w:pPr>
    </w:p>
    <w:p>
      <w:pPr>
        <w:ind w:left="910" w:hanging="470"/>
        <w:spacing w:after="0"/>
        <w:tabs>
          <w:tab w:leader="none" w:pos="91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“Subsidiary” means a “subsidiary,” within the meaning of Rule 405 under the Securities Act, or any successor provision.</w:t>
      </w:r>
    </w:p>
    <w:p>
      <w:pPr>
        <w:spacing w:after="0" w:line="224" w:lineRule="exact"/>
        <w:rPr>
          <w:rFonts w:ascii="Arial" w:cs="Arial" w:eastAsia="Arial" w:hAnsi="Arial"/>
          <w:sz w:val="18"/>
          <w:szCs w:val="18"/>
          <w:color w:val="auto"/>
        </w:rPr>
      </w:pPr>
    </w:p>
    <w:p>
      <w:pPr>
        <w:ind w:left="10" w:right="120" w:firstLine="430"/>
        <w:spacing w:after="0" w:line="301" w:lineRule="auto"/>
        <w:tabs>
          <w:tab w:leader="none" w:pos="929" w:val="left"/>
        </w:tabs>
        <w:numPr>
          <w:ilvl w:val="0"/>
          <w:numId w:val="437"/>
        </w:numPr>
        <w:rPr>
          <w:rFonts w:ascii="Arial" w:cs="Arial" w:eastAsia="Arial" w:hAnsi="Arial"/>
          <w:sz w:val="16"/>
          <w:szCs w:val="16"/>
          <w:color w:val="auto"/>
        </w:rPr>
      </w:pPr>
      <w:r>
        <w:rPr>
          <w:rFonts w:ascii="Arial" w:cs="Arial" w:eastAsia="Arial" w:hAnsi="Arial"/>
          <w:sz w:val="16"/>
          <w:szCs w:val="16"/>
          <w:color w:val="auto"/>
        </w:rPr>
        <w:t>“Successor” with respect to a Participant means, except as otherwise provided in an Agreement, the legal representative of an incompetent Participant and, if the Participant is deceased, the legal representative of the estate of the Participant or the person or persons who may, by bequest or inheritance, or under the terms of an Award or forms submitted by the Participant to the Committee under Section 12(h) hereof, acquire the right to exercise an Option or Stock Appreciation Right or receive cash and/or Shares issuable in satisfaction of an Award in the event of a Participant’s death.</w:t>
      </w:r>
    </w:p>
    <w:p>
      <w:pPr>
        <w:spacing w:after="0" w:line="156" w:lineRule="exact"/>
        <w:rPr>
          <w:rFonts w:ascii="Arial" w:cs="Arial" w:eastAsia="Arial" w:hAnsi="Arial"/>
          <w:sz w:val="16"/>
          <w:szCs w:val="16"/>
          <w:color w:val="auto"/>
        </w:rPr>
      </w:pPr>
    </w:p>
    <w:p>
      <w:pPr>
        <w:ind w:left="10" w:right="140" w:firstLine="430"/>
        <w:spacing w:after="0" w:line="277" w:lineRule="auto"/>
        <w:tabs>
          <w:tab w:leader="none" w:pos="84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“Term” means the period during which an Option or Stock Appreciation Right may be exercised or the period during which the restrictions placed on Restricted Stock or any other Award are in effect.</w:t>
      </w:r>
    </w:p>
    <w:p>
      <w:pPr>
        <w:spacing w:after="0" w:line="169" w:lineRule="exact"/>
        <w:rPr>
          <w:rFonts w:ascii="Arial" w:cs="Arial" w:eastAsia="Arial" w:hAnsi="Arial"/>
          <w:sz w:val="18"/>
          <w:szCs w:val="18"/>
          <w:color w:val="auto"/>
        </w:rPr>
      </w:pPr>
    </w:p>
    <w:p>
      <w:pPr>
        <w:ind w:left="10" w:firstLine="430"/>
        <w:spacing w:after="0" w:line="311" w:lineRule="auto"/>
        <w:tabs>
          <w:tab w:leader="none" w:pos="849" w:val="left"/>
        </w:tabs>
        <w:numPr>
          <w:ilvl w:val="0"/>
          <w:numId w:val="437"/>
        </w:numPr>
        <w:rPr>
          <w:rFonts w:ascii="Arial" w:cs="Arial" w:eastAsia="Arial" w:hAnsi="Arial"/>
          <w:sz w:val="16"/>
          <w:szCs w:val="16"/>
          <w:color w:val="auto"/>
        </w:rPr>
      </w:pPr>
      <w:r>
        <w:rPr>
          <w:rFonts w:ascii="Arial" w:cs="Arial" w:eastAsia="Arial" w:hAnsi="Arial"/>
          <w:sz w:val="16"/>
          <w:szCs w:val="16"/>
          <w:color w:val="auto"/>
        </w:rPr>
        <w:t>“Unit” means a bookkeeping entry that may be used by the Company to record and account for the grant of Stock, Units of Stock, Stock Appreciation Rights and Performance Shares expressed in terms of Units of Stock until such time as the Award is paid, canceled, forfeited or terminated. No Shares will be issued at the time of grant, and the Company will not be required to set aside a fund for the payment of any such Award.</w:t>
      </w:r>
    </w:p>
    <w:p>
      <w:pPr>
        <w:spacing w:after="0" w:line="148" w:lineRule="exact"/>
        <w:rPr>
          <w:sz w:val="20"/>
          <w:szCs w:val="20"/>
          <w:color w:val="auto"/>
        </w:rPr>
      </w:pPr>
    </w:p>
    <w:p>
      <w:pPr>
        <w:ind w:left="10" w:right="260" w:firstLine="440"/>
        <w:spacing w:after="0" w:line="277" w:lineRule="auto"/>
        <w:rPr>
          <w:sz w:val="20"/>
          <w:szCs w:val="20"/>
          <w:color w:val="auto"/>
        </w:rPr>
      </w:pPr>
      <w:r>
        <w:rPr>
          <w:rFonts w:ascii="Arial" w:cs="Arial" w:eastAsia="Arial" w:hAnsi="Arial"/>
          <w:sz w:val="18"/>
          <w:szCs w:val="18"/>
          <w:color w:val="auto"/>
        </w:rPr>
        <w:t>Except when otherwise indicated by the context, reference to the masculine gender shall include, when used, the feminine gender and any term used in the singular shall also include the plural.</w:t>
      </w:r>
    </w:p>
    <w:p>
      <w:pPr>
        <w:spacing w:after="0" w:line="314" w:lineRule="exact"/>
        <w:rPr>
          <w:sz w:val="20"/>
          <w:szCs w:val="20"/>
          <w:color w:val="auto"/>
        </w:rPr>
      </w:pPr>
    </w:p>
    <w:p>
      <w:pPr>
        <w:ind w:left="430" w:hanging="430"/>
        <w:spacing w:after="0"/>
        <w:tabs>
          <w:tab w:leader="none" w:pos="43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0" w:lineRule="exact"/>
        <w:rPr>
          <w:rFonts w:ascii="Arial" w:cs="Arial" w:eastAsia="Arial" w:hAnsi="Arial"/>
          <w:sz w:val="18"/>
          <w:szCs w:val="18"/>
          <w:b w:val="1"/>
          <w:bCs w:val="1"/>
          <w:color w:val="auto"/>
        </w:rPr>
      </w:pPr>
    </w:p>
    <w:p>
      <w:pPr>
        <w:ind w:left="10" w:firstLine="430"/>
        <w:spacing w:after="0" w:line="286" w:lineRule="auto"/>
        <w:tabs>
          <w:tab w:leader="none" w:pos="829"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Authority of Committee</w:t>
      </w:r>
      <w:r>
        <w:rPr>
          <w:rFonts w:ascii="Arial" w:cs="Arial" w:eastAsia="Arial" w:hAnsi="Arial"/>
          <w:sz w:val="17"/>
          <w:szCs w:val="17"/>
          <w:color w:val="auto"/>
        </w:rPr>
        <w:t>. The Committee shall administer this Plan or delegate its authority to do so as provided herein or, in the Board’s sole discretion or in the absence of the Committee, the Board shall administer this Plan. Subject to the terms of the Plan, the Committee’s charter and applicable laws, and in addition to other express powers and authorization conferred by the Plan, the Committee shall have the authority:</w:t>
      </w:r>
    </w:p>
    <w:p>
      <w:pPr>
        <w:spacing w:after="0" w:line="164" w:lineRule="exact"/>
        <w:rPr>
          <w:rFonts w:ascii="Arial" w:cs="Arial" w:eastAsia="Arial" w:hAnsi="Arial"/>
          <w:sz w:val="17"/>
          <w:szCs w:val="17"/>
          <w:color w:val="auto"/>
        </w:rPr>
      </w:pPr>
    </w:p>
    <w:p>
      <w:pPr>
        <w:ind w:left="1350" w:hanging="359"/>
        <w:spacing w:after="0"/>
        <w:tabs>
          <w:tab w:leader="none" w:pos="1350"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to construe and interpret the Plan and apply its provisions;</w:t>
      </w:r>
    </w:p>
    <w:p>
      <w:pPr>
        <w:spacing w:after="0" w:line="224" w:lineRule="exact"/>
        <w:rPr>
          <w:rFonts w:ascii="Arial" w:cs="Arial" w:eastAsia="Arial" w:hAnsi="Arial"/>
          <w:sz w:val="18"/>
          <w:szCs w:val="18"/>
          <w:color w:val="auto"/>
        </w:rPr>
      </w:pPr>
    </w:p>
    <w:p>
      <w:pPr>
        <w:ind w:left="1390" w:hanging="399"/>
        <w:spacing w:after="0"/>
        <w:tabs>
          <w:tab w:leader="none" w:pos="1390"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w:t>
      </w:r>
    </w:p>
    <w:p>
      <w:pPr>
        <w:spacing w:after="0" w:line="224" w:lineRule="exact"/>
        <w:rPr>
          <w:rFonts w:ascii="Arial" w:cs="Arial" w:eastAsia="Arial" w:hAnsi="Arial"/>
          <w:sz w:val="18"/>
          <w:szCs w:val="18"/>
          <w:color w:val="auto"/>
        </w:rPr>
      </w:pPr>
    </w:p>
    <w:p>
      <w:pPr>
        <w:ind w:left="1450" w:hanging="459"/>
        <w:spacing w:after="0"/>
        <w:tabs>
          <w:tab w:leader="none" w:pos="1450" w:val="left"/>
        </w:tabs>
        <w:numPr>
          <w:ilvl w:val="2"/>
          <w:numId w:val="438"/>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236" w:lineRule="exact"/>
        <w:rPr>
          <w:rFonts w:ascii="Arial" w:cs="Arial" w:eastAsia="Arial" w:hAnsi="Arial"/>
          <w:sz w:val="17"/>
          <w:szCs w:val="17"/>
          <w:color w:val="auto"/>
        </w:rPr>
      </w:pPr>
    </w:p>
    <w:p>
      <w:pPr>
        <w:ind w:left="1430" w:hanging="439"/>
        <w:spacing w:after="0"/>
        <w:tabs>
          <w:tab w:leader="none" w:pos="1430"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 and the applicable grant date;</w:t>
      </w:r>
    </w:p>
    <w:p>
      <w:pPr>
        <w:spacing w:after="0" w:line="224" w:lineRule="exact"/>
        <w:rPr>
          <w:rFonts w:ascii="Arial" w:cs="Arial" w:eastAsia="Arial" w:hAnsi="Arial"/>
          <w:sz w:val="18"/>
          <w:szCs w:val="18"/>
          <w:color w:val="auto"/>
        </w:rPr>
      </w:pPr>
    </w:p>
    <w:p>
      <w:pPr>
        <w:ind w:left="1390" w:hanging="399"/>
        <w:spacing w:after="0"/>
        <w:tabs>
          <w:tab w:leader="none" w:pos="1390" w:val="left"/>
        </w:tabs>
        <w:numPr>
          <w:ilvl w:val="2"/>
          <w:numId w:val="438"/>
        </w:numPr>
        <w:rPr>
          <w:rFonts w:ascii="Arial" w:cs="Arial" w:eastAsia="Arial" w:hAnsi="Arial"/>
          <w:sz w:val="17"/>
          <w:szCs w:val="17"/>
          <w:color w:val="auto"/>
        </w:rPr>
      </w:pPr>
      <w:r>
        <w:rPr>
          <w:rFonts w:ascii="Arial" w:cs="Arial" w:eastAsia="Arial" w:hAnsi="Arial"/>
          <w:sz w:val="17"/>
          <w:szCs w:val="17"/>
          <w:color w:val="auto"/>
        </w:rPr>
        <w:t>from time to time to select, subject to the limitations set forth in this Plan, those Participants to whom Awards shall be granted;</w:t>
      </w:r>
    </w:p>
    <w:p>
      <w:pPr>
        <w:spacing w:after="0" w:line="236" w:lineRule="exact"/>
        <w:rPr>
          <w:rFonts w:ascii="Arial" w:cs="Arial" w:eastAsia="Arial" w:hAnsi="Arial"/>
          <w:sz w:val="17"/>
          <w:szCs w:val="17"/>
          <w:color w:val="auto"/>
        </w:rPr>
      </w:pPr>
    </w:p>
    <w:p>
      <w:pPr>
        <w:ind w:left="1430" w:hanging="439"/>
        <w:spacing w:after="0"/>
        <w:tabs>
          <w:tab w:leader="none" w:pos="1430" w:val="left"/>
        </w:tabs>
        <w:numPr>
          <w:ilvl w:val="2"/>
          <w:numId w:val="438"/>
        </w:numPr>
        <w:rPr>
          <w:rFonts w:ascii="Arial" w:cs="Arial" w:eastAsia="Arial" w:hAnsi="Arial"/>
          <w:sz w:val="16"/>
          <w:szCs w:val="16"/>
          <w:color w:val="auto"/>
        </w:rPr>
      </w:pPr>
      <w:r>
        <w:rPr>
          <w:rFonts w:ascii="Arial" w:cs="Arial" w:eastAsia="Arial" w:hAnsi="Arial"/>
          <w:sz w:val="16"/>
          <w:szCs w:val="16"/>
          <w:color w:val="auto"/>
        </w:rPr>
        <w:t>to determine the number of Shares or the amount of cash to be made subject to each Award, subject to the limitations set forth in this</w:t>
      </w:r>
    </w:p>
    <w:p>
      <w:pPr>
        <w:spacing w:after="0" w:line="46"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4" w:right="459" w:bottom="1440" w:gutter="0" w:footer="0" w:header="0"/>
        </w:sectPr>
      </w:pPr>
    </w:p>
    <w:bookmarkStart w:id="499" w:name="page500"/>
    <w:bookmarkEnd w:id="499"/>
    <w:p>
      <w:pPr>
        <w:ind w:left="1480" w:hanging="499"/>
        <w:spacing w:after="0"/>
        <w:tabs>
          <w:tab w:leader="none" w:pos="14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determine whether each Option is to be an Incentive Stock Option or a Non-Qualified Stock Option;</w:t>
      </w:r>
    </w:p>
    <w:p>
      <w:pPr>
        <w:spacing w:after="0" w:line="224" w:lineRule="exact"/>
        <w:rPr>
          <w:rFonts w:ascii="Arial" w:cs="Arial" w:eastAsia="Arial" w:hAnsi="Arial"/>
          <w:sz w:val="18"/>
          <w:szCs w:val="18"/>
          <w:color w:val="auto"/>
        </w:rPr>
      </w:pPr>
    </w:p>
    <w:p>
      <w:pPr>
        <w:ind w:right="120" w:firstLine="981"/>
        <w:spacing w:after="0" w:line="277" w:lineRule="auto"/>
        <w:tabs>
          <w:tab w:leader="none" w:pos="15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Agreement relating to such grant;</w:t>
      </w:r>
    </w:p>
    <w:p>
      <w:pPr>
        <w:spacing w:after="0" w:line="169" w:lineRule="exact"/>
        <w:rPr>
          <w:rFonts w:ascii="Arial" w:cs="Arial" w:eastAsia="Arial" w:hAnsi="Arial"/>
          <w:sz w:val="18"/>
          <w:szCs w:val="18"/>
          <w:color w:val="auto"/>
        </w:rPr>
      </w:pPr>
    </w:p>
    <w:p>
      <w:pPr>
        <w:ind w:right="160" w:firstLine="981"/>
        <w:spacing w:after="0" w:line="263" w:lineRule="auto"/>
        <w:tabs>
          <w:tab w:leader="none" w:pos="14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determine the target number of Performance Shares to be granted pursuant to an Award of Performance Shares, the performance measures that will be used to establish the performance goals (including Performance Criteria), the performance period(s) and the number of Performance Shares earned by a Participant;</w:t>
      </w:r>
    </w:p>
    <w:p>
      <w:pPr>
        <w:spacing w:after="0" w:line="182" w:lineRule="exact"/>
        <w:rPr>
          <w:rFonts w:ascii="Arial" w:cs="Arial" w:eastAsia="Arial" w:hAnsi="Arial"/>
          <w:sz w:val="18"/>
          <w:szCs w:val="18"/>
          <w:color w:val="auto"/>
        </w:rPr>
      </w:pPr>
    </w:p>
    <w:p>
      <w:pPr>
        <w:ind w:right="20" w:firstLine="981"/>
        <w:spacing w:after="0" w:line="277" w:lineRule="auto"/>
        <w:tabs>
          <w:tab w:leader="none" w:pos="13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designate an Award (including a cash bonus) as a performance compensation Award and to select the performance criteria that will be used to establish the performance goals (including Performance Criteria);</w:t>
      </w:r>
    </w:p>
    <w:p>
      <w:pPr>
        <w:spacing w:after="0" w:line="169" w:lineRule="exact"/>
        <w:rPr>
          <w:rFonts w:ascii="Arial" w:cs="Arial" w:eastAsia="Arial" w:hAnsi="Arial"/>
          <w:sz w:val="18"/>
          <w:szCs w:val="18"/>
          <w:color w:val="auto"/>
        </w:rPr>
      </w:pPr>
    </w:p>
    <w:p>
      <w:pPr>
        <w:ind w:right="40" w:firstLine="981"/>
        <w:spacing w:after="0" w:line="307" w:lineRule="auto"/>
        <w:tabs>
          <w:tab w:leader="none" w:pos="143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to amend any outstanding Awards; provided, however, that if the Committee deems any such amendment to be materially adverse to a Participant, such amendment shall also be subject to the Participant’s consent, unless such amendment is required by law;</w:t>
      </w:r>
    </w:p>
    <w:p>
      <w:pPr>
        <w:spacing w:after="0" w:line="147" w:lineRule="exact"/>
        <w:rPr>
          <w:rFonts w:ascii="Arial" w:cs="Arial" w:eastAsia="Arial" w:hAnsi="Arial"/>
          <w:sz w:val="17"/>
          <w:szCs w:val="17"/>
          <w:color w:val="auto"/>
        </w:rPr>
      </w:pPr>
    </w:p>
    <w:p>
      <w:pPr>
        <w:ind w:right="360" w:firstLine="981"/>
        <w:spacing w:after="0" w:line="277" w:lineRule="auto"/>
        <w:tabs>
          <w:tab w:leader="none" w:pos="14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Awards may be settled, paid or exercised in cash, Shares or other Awards or other property, or canceled, forfeited or suspended;</w:t>
      </w:r>
    </w:p>
    <w:p>
      <w:pPr>
        <w:spacing w:after="0" w:line="169" w:lineRule="exact"/>
        <w:rPr>
          <w:rFonts w:ascii="Arial" w:cs="Arial" w:eastAsia="Arial" w:hAnsi="Arial"/>
          <w:sz w:val="18"/>
          <w:szCs w:val="18"/>
          <w:color w:val="auto"/>
        </w:rPr>
      </w:pPr>
    </w:p>
    <w:p>
      <w:pPr>
        <w:ind w:right="800" w:firstLine="981"/>
        <w:spacing w:after="0" w:line="277" w:lineRule="auto"/>
        <w:tabs>
          <w:tab w:leader="none" w:pos="153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determine the duration and purpose of leaves and absences which may be granted to a Participant without constituting termination of employment for purposes of the Plan;</w:t>
      </w:r>
    </w:p>
    <w:p>
      <w:pPr>
        <w:spacing w:after="0" w:line="169" w:lineRule="exact"/>
        <w:rPr>
          <w:rFonts w:ascii="Arial" w:cs="Arial" w:eastAsia="Arial" w:hAnsi="Arial"/>
          <w:sz w:val="18"/>
          <w:szCs w:val="18"/>
          <w:color w:val="auto"/>
        </w:rPr>
      </w:pPr>
    </w:p>
    <w:p>
      <w:pPr>
        <w:ind w:right="200" w:firstLine="981"/>
        <w:spacing w:after="0" w:line="277" w:lineRule="auto"/>
        <w:tabs>
          <w:tab w:leader="none" w:pos="15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69" w:lineRule="exact"/>
        <w:rPr>
          <w:rFonts w:ascii="Arial" w:cs="Arial" w:eastAsia="Arial" w:hAnsi="Arial"/>
          <w:sz w:val="18"/>
          <w:szCs w:val="18"/>
          <w:color w:val="auto"/>
        </w:rPr>
      </w:pPr>
    </w:p>
    <w:p>
      <w:pPr>
        <w:ind w:right="460" w:firstLine="981"/>
        <w:spacing w:after="0" w:line="277" w:lineRule="auto"/>
        <w:tabs>
          <w:tab w:leader="none" w:pos="147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interpret, administer or reconcile any inconsistency in, correct any defect in and/or supply any omission in the Plan and any instrument or agreement relating to, or Award granted under, the Plan; and</w:t>
      </w:r>
    </w:p>
    <w:p>
      <w:pPr>
        <w:spacing w:after="0" w:line="169" w:lineRule="exact"/>
        <w:rPr>
          <w:rFonts w:ascii="Arial" w:cs="Arial" w:eastAsia="Arial" w:hAnsi="Arial"/>
          <w:sz w:val="18"/>
          <w:szCs w:val="18"/>
          <w:color w:val="auto"/>
        </w:rPr>
      </w:pPr>
    </w:p>
    <w:p>
      <w:pPr>
        <w:ind w:right="920" w:firstLine="981"/>
        <w:spacing w:after="0" w:line="277" w:lineRule="auto"/>
        <w:tabs>
          <w:tab w:leader="none" w:pos="15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exercise discretion to make any and all other determinations which it determines to be necessary or advisable for the administration of the Plan.</w:t>
      </w:r>
    </w:p>
    <w:p>
      <w:pPr>
        <w:spacing w:after="0" w:line="170"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Notwithstanding the foregoing, in administering this Plan with respect to Awards for Non-Employee Directors, the Board shall exercise the powers of the Committee. To the extent the Committee determines that the restrictions imposed by this Plan preclude the achievement of material purposes of the Awards in jurisdictions outside of the United States, the Committee has the authority and discretion to modify those restrictions as the Committee determines to be necessary or appropriate to conform to applicable requirements or practices of jurisdictions outside of the United States.</w:t>
      </w:r>
    </w:p>
    <w:p>
      <w:pPr>
        <w:spacing w:after="0" w:line="156"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The Committee shall not have the right, without stockholder approval, to (i) reduce or decrease the purchase price for an outstanding Option or Stock Appreciation Right, (ii) cancel an outstanding Option or Stock Appreciation Right for the purpose of replacing or re-granting such Option or Stock Appreciation Right with a purchase price that is less than the original purchase price, (iii) extend the Term of an Option or Stock Appreciation Right or (iv) deliver stock, cash or other consideration in exchange for the cancellation of an Option or Stock Appreciation Right, the purchase price of which exceeds the Fair Market Value of the Shares underlying such Option or Stock Appreciation Right.</w:t>
      </w:r>
    </w:p>
    <w:p>
      <w:pPr>
        <w:spacing w:after="0" w:line="17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decisions made by the Committee pursuant to the provisions of the Plan shall be final and binding on the Company and the Participants, unless such decisions are determined by a court having jurisdiction to be arbitrary and capricious.</w:t>
      </w:r>
    </w:p>
    <w:p>
      <w:pPr>
        <w:spacing w:after="0" w:line="170" w:lineRule="exact"/>
        <w:rPr>
          <w:sz w:val="20"/>
          <w:szCs w:val="20"/>
          <w:color w:val="auto"/>
        </w:rPr>
      </w:pPr>
    </w:p>
    <w:p>
      <w:pPr>
        <w:ind w:right="20" w:firstLine="430"/>
        <w:spacing w:after="0" w:line="277" w:lineRule="auto"/>
        <w:tabs>
          <w:tab w:leader="none" w:pos="829"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or if no Committee has been appointed, the Board, may delegate all or any part of the administration of the Plan to one or more committees of one or more members of the Board, or to senior officers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500" w:name="page501"/>
    <w:bookmarkEnd w:id="500"/>
    <w:p>
      <w:pPr>
        <w:ind w:left="1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Company, and may authorize further delegation by such committees to senior officers of the Company, in each case, to the extent permitted by</w:t>
      </w:r>
    </w:p>
    <w:p>
      <w:pPr>
        <w:spacing w:after="0" w:line="46" w:lineRule="exact"/>
        <w:rPr>
          <w:sz w:val="20"/>
          <w:szCs w:val="20"/>
          <w:color w:val="auto"/>
        </w:rPr>
      </w:pPr>
    </w:p>
    <w:p>
      <w:pPr>
        <w:ind w:left="10"/>
        <w:spacing w:after="0"/>
        <w:rPr>
          <w:sz w:val="20"/>
          <w:szCs w:val="20"/>
          <w:color w:val="auto"/>
        </w:rPr>
      </w:pPr>
      <w:r>
        <w:rPr>
          <w:rFonts w:ascii="Arial" w:cs="Arial" w:eastAsia="Arial" w:hAnsi="Arial"/>
          <w:sz w:val="16"/>
          <w:szCs w:val="16"/>
          <w:color w:val="auto"/>
        </w:rPr>
        <w:t>Delaware law and subject to the Committee’s charter; provided that, determinations regarding the timing, pricing, amount and terms of any Award to a</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“reporting person” for purposes of Section 16 of the Exchange Act shall be made only by the Committee; and provided further that subject to</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Section 3(e) no such delegation may be made that would cause Awards or other transactions under this Plan to cease to be exempt from Section 16(b) of</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 Exchange Act or cause an Award intended to qualify for favorable treatment under the Code or any other applicable law not to qualify for, or to</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cease to qualify for, such favorable treatment. Any such delegation may be revoked by the Committee at any time. The term “Committee” shall apply to</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any person or persons to whom such authority has been delegated. The Board may abolish, suspend or supersede the Committee at any time and revest</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in the Board the administration of the Plan. The members of the Committee shall be appointed by and serve at the pleasure of the Board. From time to</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time, the Board may increase or decrease the size of the Committee, add additional members to, remove members (with or without cause) from, appoint</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new members in substitution therefor and fill vacancies, however caused, in the Committee. The Committee shall act pursuant to a vote of the majority</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of its members or, in the case of a Committee comprised of only two members, the unanimous consent of its members, whether present or not, or by the</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written consent of the majority of its members, and minutes shall be kept of all of its meetings and copies thereof shall be provided to the Board. Subject</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to the limitations prescribed by the Plan and the Board, the Committee may establish and follow such rules and regulations for the conduct of its</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8"/>
          <w:szCs w:val="18"/>
          <w:color w:val="auto"/>
        </w:rPr>
        <w:t>business as it may determine to be advisable.</w:t>
      </w:r>
    </w:p>
    <w:p>
      <w:pPr>
        <w:spacing w:after="0" w:line="210" w:lineRule="exact"/>
        <w:rPr>
          <w:sz w:val="20"/>
          <w:szCs w:val="20"/>
          <w:color w:val="auto"/>
        </w:rPr>
      </w:pPr>
    </w:p>
    <w:p>
      <w:pPr>
        <w:ind w:left="10" w:right="140" w:firstLine="430"/>
        <w:spacing w:after="0" w:line="255" w:lineRule="auto"/>
        <w:tabs>
          <w:tab w:leader="none" w:pos="829"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Any authority granted to the Committee may also be exercised by the Board or another committee of the Board, except to the extent that the grant or exercise of such authority would cause any Award intended to qualify for favorable treatment under the Code or other applicable law to not qualify for, or cease to qualify for, such favorable treatment.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91" w:lineRule="exact"/>
        <w:rPr>
          <w:rFonts w:ascii="Arial" w:cs="Arial" w:eastAsia="Arial" w:hAnsi="Arial"/>
          <w:sz w:val="18"/>
          <w:szCs w:val="18"/>
          <w:color w:val="auto"/>
        </w:rPr>
      </w:pPr>
    </w:p>
    <w:p>
      <w:pPr>
        <w:ind w:left="10" w:right="20" w:firstLine="430"/>
        <w:spacing w:after="0" w:line="275" w:lineRule="auto"/>
        <w:tabs>
          <w:tab w:leader="none" w:pos="839" w:val="left"/>
        </w:tabs>
        <w:numPr>
          <w:ilvl w:val="1"/>
          <w:numId w:val="441"/>
        </w:numPr>
        <w:rPr>
          <w:rFonts w:ascii="Arial" w:cs="Arial" w:eastAsia="Arial" w:hAnsi="Arial"/>
          <w:sz w:val="17"/>
          <w:szCs w:val="17"/>
          <w:color w:val="auto"/>
        </w:rPr>
      </w:pPr>
      <w:r>
        <w:rPr>
          <w:rFonts w:ascii="Arial" w:cs="Arial" w:eastAsia="Arial" w:hAnsi="Arial"/>
          <w:sz w:val="17"/>
          <w:szCs w:val="17"/>
          <w:u w:val="single" w:color="auto"/>
          <w:color w:val="auto"/>
        </w:rPr>
        <w:t>Awards for Non-Employee Directors</w:t>
      </w:r>
      <w:r>
        <w:rPr>
          <w:rFonts w:ascii="Arial" w:cs="Arial" w:eastAsia="Arial" w:hAnsi="Arial"/>
          <w:sz w:val="17"/>
          <w:szCs w:val="17"/>
          <w:color w:val="auto"/>
        </w:rPr>
        <w:t>. The Board (which may delegate the determination to a committee of the Board) may from time to time determine that each individual who is elected or appointed to the office of director as a Non-Employee Director receive an Award (other than Incentive Stock Options) as compensation, in whole or in part, for such individual’s services as a director. In determining the level and terms of such Awards for Non-Employee Directors, the Board may consider such factors as compensation practices of comparable companies with respect to directors, consultants’ recommendations and such other information as the Board may deem appropriate.</w:t>
      </w:r>
    </w:p>
    <w:p>
      <w:pPr>
        <w:spacing w:after="0" w:line="175" w:lineRule="exact"/>
        <w:rPr>
          <w:rFonts w:ascii="Arial" w:cs="Arial" w:eastAsia="Arial" w:hAnsi="Arial"/>
          <w:sz w:val="17"/>
          <w:szCs w:val="17"/>
          <w:color w:val="auto"/>
        </w:rPr>
      </w:pPr>
    </w:p>
    <w:p>
      <w:pPr>
        <w:ind w:left="10" w:right="80" w:firstLine="430"/>
        <w:spacing w:after="0" w:line="259" w:lineRule="auto"/>
        <w:tabs>
          <w:tab w:leader="none" w:pos="829"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Committee Composition</w:t>
      </w:r>
      <w:r>
        <w:rPr>
          <w:rFonts w:ascii="Arial" w:cs="Arial" w:eastAsia="Arial" w:hAnsi="Arial"/>
          <w:sz w:val="18"/>
          <w:szCs w:val="18"/>
          <w:color w:val="auto"/>
        </w:rPr>
        <w:t>. The Board shall have discretion to determine whether or not it intends to comply with the exemption requirements of Exchange Act Rule 16b-3, the Code or other applicable law. Nothing herein shall create an inference that an Award is not validly granted under the Plan in the event Awards are granted under the Plan by a committee of the Board that does not at all times consist solely of two or more Non-Employee Directors.</w:t>
      </w:r>
    </w:p>
    <w:p>
      <w:pPr>
        <w:spacing w:after="0" w:line="330" w:lineRule="exact"/>
        <w:rPr>
          <w:rFonts w:ascii="Arial" w:cs="Arial" w:eastAsia="Arial" w:hAnsi="Arial"/>
          <w:sz w:val="18"/>
          <w:szCs w:val="18"/>
          <w:color w:val="auto"/>
        </w:rPr>
      </w:pPr>
    </w:p>
    <w:p>
      <w:pPr>
        <w:ind w:left="430" w:hanging="430"/>
        <w:spacing w:after="0"/>
        <w:tabs>
          <w:tab w:leader="none" w:pos="43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Maximum Payouts.</w:t>
      </w:r>
    </w:p>
    <w:p>
      <w:pPr>
        <w:spacing w:after="0" w:line="120" w:lineRule="exact"/>
        <w:rPr>
          <w:rFonts w:ascii="Arial" w:cs="Arial" w:eastAsia="Arial" w:hAnsi="Arial"/>
          <w:sz w:val="18"/>
          <w:szCs w:val="18"/>
          <w:b w:val="1"/>
          <w:bCs w:val="1"/>
          <w:color w:val="auto"/>
        </w:rPr>
      </w:pPr>
    </w:p>
    <w:p>
      <w:pPr>
        <w:ind w:left="810" w:hanging="370"/>
        <w:spacing w:after="0"/>
        <w:tabs>
          <w:tab w:leader="none" w:pos="810"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Shares Available</w:t>
      </w:r>
      <w:r>
        <w:rPr>
          <w:rFonts w:ascii="Arial" w:cs="Arial" w:eastAsia="Arial" w:hAnsi="Arial"/>
          <w:sz w:val="16"/>
          <w:szCs w:val="16"/>
          <w:color w:val="auto"/>
        </w:rPr>
        <w:t>. Subject to adjustment in accordance with Section 12(f) and subject to Section 4(b), the total number of Shares available for</w:t>
      </w:r>
    </w:p>
    <w:p>
      <w:pPr>
        <w:spacing w:after="0" w:line="46" w:lineRule="exact"/>
        <w:rPr>
          <w:sz w:val="20"/>
          <w:szCs w:val="20"/>
          <w:color w:val="auto"/>
        </w:rPr>
      </w:pPr>
    </w:p>
    <w:p>
      <w:pPr>
        <w:jc w:val="both"/>
        <w:ind w:left="10" w:right="40"/>
        <w:spacing w:after="0" w:line="281" w:lineRule="auto"/>
        <w:rPr>
          <w:sz w:val="20"/>
          <w:szCs w:val="20"/>
          <w:color w:val="auto"/>
        </w:rPr>
      </w:pPr>
      <w:r>
        <w:rPr>
          <w:rFonts w:ascii="Arial" w:cs="Arial" w:eastAsia="Arial" w:hAnsi="Arial"/>
          <w:sz w:val="16"/>
          <w:szCs w:val="16"/>
          <w:color w:val="auto"/>
        </w:rPr>
        <w:t>the grant of Awards under the Plan shall be Shares. No more than a maximum aggregate of Shares may be granted as Incentive Stock Options. Stock Options, Stock Appreciation Rights and Restricted Stock awarded, and Awards of Restricted Stock Units, Performance Shares and Other Awards settled in Shares awarded, shall reduce the number of Shares available for Awards by one Share for every one Share subject to such Award.</w:t>
      </w:r>
    </w:p>
    <w:p>
      <w:pPr>
        <w:spacing w:after="0" w:line="1" w:lineRule="exact"/>
        <w:rPr>
          <w:sz w:val="20"/>
          <w:szCs w:val="20"/>
          <w:color w:val="auto"/>
        </w:rPr>
      </w:pPr>
    </w:p>
    <w:p>
      <w:pPr>
        <w:ind w:left="10" w:right="60"/>
        <w:spacing w:after="0" w:line="281" w:lineRule="auto"/>
        <w:rPr>
          <w:sz w:val="20"/>
          <w:szCs w:val="20"/>
          <w:color w:val="auto"/>
        </w:rPr>
      </w:pPr>
      <w:r>
        <w:rPr>
          <w:rFonts w:ascii="Arial" w:cs="Arial" w:eastAsia="Arial" w:hAnsi="Arial"/>
          <w:sz w:val="16"/>
          <w:szCs w:val="16"/>
          <w:color w:val="auto"/>
        </w:rPr>
        <w:t>Shares issued under this Plan may be authorized and unissued shares or issued shares held as treasury shares. Any Shares that again become available for future grants pursuant to Section 4 shall be added back as one Share. The following Shares may not again be made available for issuance as Awards:</w:t>
      </w:r>
    </w:p>
    <w:p>
      <w:pPr>
        <w:spacing w:after="0" w:line="1" w:lineRule="exact"/>
        <w:rPr>
          <w:sz w:val="20"/>
          <w:szCs w:val="20"/>
          <w:color w:val="auto"/>
        </w:rPr>
      </w:pPr>
    </w:p>
    <w:p>
      <w:pPr>
        <w:ind w:left="10" w:hanging="10"/>
        <w:spacing w:after="0" w:line="255" w:lineRule="auto"/>
        <w:tabs>
          <w:tab w:leader="none" w:pos="22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Shares not issued or delivered as a result of the net settlement of an outstanding Stock Appreciation Right or Stock Option; (ii) Shares used to pay the exercise price or withholding taxes related to an outstanding Award; or (iii) Shares repurchased on the open market with the proceeds of a Stock Option exercise price.</w:t>
      </w:r>
    </w:p>
    <w:p>
      <w:pPr>
        <w:spacing w:after="0" w:line="12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0"/>
          </w:cols>
          <w:pgMar w:left="450" w:top="274" w:right="459" w:bottom="1440" w:gutter="0" w:footer="0" w:header="0"/>
        </w:sectPr>
      </w:pPr>
    </w:p>
    <w:bookmarkStart w:id="501" w:name="page502"/>
    <w:bookmarkEnd w:id="501"/>
    <w:p>
      <w:pPr>
        <w:ind w:left="10" w:firstLine="430"/>
        <w:spacing w:after="0" w:line="255" w:lineRule="auto"/>
        <w:tabs>
          <w:tab w:leader="none" w:pos="839"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Not Applied to Limitations</w:t>
      </w:r>
      <w:r>
        <w:rPr>
          <w:rFonts w:ascii="Arial" w:cs="Arial" w:eastAsia="Arial" w:hAnsi="Arial"/>
          <w:sz w:val="18"/>
          <w:szCs w:val="18"/>
          <w:color w:val="auto"/>
        </w:rPr>
        <w:t>. The following will not be applied to the Share limitations of subsection 4(a) above: (i) any Shares subject to an Award under the Plan to the extent to which such Award is forfeited, cancelled, terminated, expires or lapses for any reason; and (ii) Shares and any Awards that are granted through the settlement, assumption or substitution of outstanding awards previously granted (subject to applicable repricing restrictions herein), or through obligations to grant future awards, as a result of a merger, consolidation or acquisition of the employing company with or by the Company. If an Award is settled in cash, the number of Shares on which the Award is based shall not be applied to the Share limitations of subsection 4(a).</w:t>
      </w:r>
    </w:p>
    <w:p>
      <w:pPr>
        <w:spacing w:after="0" w:line="299" w:lineRule="exact"/>
        <w:rPr>
          <w:rFonts w:ascii="Arial" w:cs="Arial" w:eastAsia="Arial" w:hAnsi="Arial"/>
          <w:sz w:val="18"/>
          <w:szCs w:val="18"/>
          <w:color w:val="auto"/>
        </w:rPr>
      </w:pPr>
    </w:p>
    <w:p>
      <w:pPr>
        <w:ind w:left="810" w:hanging="370"/>
        <w:spacing w:after="0"/>
        <w:tabs>
          <w:tab w:leader="none" w:pos="81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Award Limitations</w:t>
      </w:r>
      <w:r>
        <w:rPr>
          <w:rFonts w:ascii="Arial" w:cs="Arial" w:eastAsia="Arial" w:hAnsi="Arial"/>
          <w:sz w:val="18"/>
          <w:szCs w:val="18"/>
          <w:color w:val="auto"/>
        </w:rPr>
        <w:t>.</w:t>
      </w:r>
    </w:p>
    <w:p>
      <w:pPr>
        <w:spacing w:after="0" w:line="117" w:lineRule="exact"/>
        <w:rPr>
          <w:sz w:val="20"/>
          <w:szCs w:val="20"/>
          <w:color w:val="auto"/>
        </w:rPr>
      </w:pPr>
    </w:p>
    <w:p>
      <w:pPr>
        <w:jc w:val="center"/>
        <w:ind w:right="350"/>
        <w:spacing w:after="0"/>
        <w:tabs>
          <w:tab w:leader="none" w:pos="1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No Participant shall be granted (A) Options to purchase Shares and Stock Appreciation Rights with respect to more</w:t>
      </w:r>
    </w:p>
    <w:p>
      <w:pPr>
        <w:spacing w:after="0" w:line="23" w:lineRule="exact"/>
        <w:rPr>
          <w:sz w:val="20"/>
          <w:szCs w:val="20"/>
          <w:color w:val="auto"/>
        </w:rPr>
      </w:pPr>
    </w:p>
    <w:p>
      <w:pPr>
        <w:jc w:val="both"/>
        <w:ind w:left="10" w:right="280"/>
        <w:spacing w:after="0" w:line="295" w:lineRule="auto"/>
        <w:rPr>
          <w:sz w:val="20"/>
          <w:szCs w:val="20"/>
          <w:color w:val="auto"/>
        </w:rPr>
      </w:pPr>
      <w:r>
        <w:rPr>
          <w:rFonts w:ascii="Arial" w:cs="Arial" w:eastAsia="Arial" w:hAnsi="Arial"/>
          <w:sz w:val="16"/>
          <w:szCs w:val="16"/>
          <w:color w:val="auto"/>
        </w:rPr>
        <w:t>than Shares in the aggregate, (B) any other Awards with respect to more than Shares in the aggregate (or, in the event such Award denominated or expressed in terms of number of Shares or Units is paid in cash, the equivalent cash value thereof) or (C) any cash bonus Awards not denominated or expressed in terms of number of Shares or Units with a value that exceeds ten million (10,000,000) dollars in the aggregate, in each case, in any twelve-month period under this Plan (such share limits being subject to adjustment under Section 12(f) hereof).</w:t>
      </w:r>
    </w:p>
    <w:p>
      <w:pPr>
        <w:spacing w:after="0" w:line="160" w:lineRule="exact"/>
        <w:rPr>
          <w:sz w:val="20"/>
          <w:szCs w:val="20"/>
          <w:color w:val="auto"/>
        </w:rPr>
      </w:pPr>
    </w:p>
    <w:p>
      <w:pPr>
        <w:jc w:val="both"/>
        <w:ind w:left="10" w:right="160" w:firstLine="981"/>
        <w:spacing w:after="0" w:line="311" w:lineRule="auto"/>
        <w:tabs>
          <w:tab w:leader="none" w:pos="1400" w:val="left"/>
        </w:tabs>
        <w:numPr>
          <w:ilvl w:val="2"/>
          <w:numId w:val="445"/>
        </w:numPr>
        <w:rPr>
          <w:rFonts w:ascii="Arial" w:cs="Arial" w:eastAsia="Arial" w:hAnsi="Arial"/>
          <w:sz w:val="16"/>
          <w:szCs w:val="16"/>
          <w:color w:val="auto"/>
        </w:rPr>
      </w:pPr>
      <w:r>
        <w:rPr>
          <w:rFonts w:ascii="Arial" w:cs="Arial" w:eastAsia="Arial" w:hAnsi="Arial"/>
          <w:sz w:val="16"/>
          <w:szCs w:val="16"/>
          <w:color w:val="auto"/>
        </w:rPr>
        <w:t>Notwithstanding the foregoing, in no event shall the aggregate grant date fair value (computed as of the date of grant in accordance with applicable financial accounting rules) of all Awards granted to any single Non-Employee Director during any single calendar year, taken together with any retainers payable to such person during such calendar year, exceed $500,000 (or, for a non-employee Chairperson of the Board, $700,000).</w:t>
      </w:r>
    </w:p>
    <w:p>
      <w:pPr>
        <w:spacing w:after="0" w:line="148" w:lineRule="exact"/>
        <w:rPr>
          <w:rFonts w:ascii="Arial" w:cs="Arial" w:eastAsia="Arial" w:hAnsi="Arial"/>
          <w:sz w:val="16"/>
          <w:szCs w:val="16"/>
          <w:color w:val="auto"/>
        </w:rPr>
      </w:pPr>
    </w:p>
    <w:p>
      <w:pPr>
        <w:ind w:left="830" w:hanging="390"/>
        <w:spacing w:after="0"/>
        <w:tabs>
          <w:tab w:leader="none" w:pos="830" w:val="left"/>
        </w:tabs>
        <w:numPr>
          <w:ilvl w:val="1"/>
          <w:numId w:val="446"/>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Shares may be issued under this Plan; fractional Shares will be rounded down to the nearest whole</w:t>
      </w:r>
    </w:p>
    <w:p>
      <w:pPr>
        <w:spacing w:after="0" w:line="34" w:lineRule="exact"/>
        <w:rPr>
          <w:rFonts w:ascii="Arial" w:cs="Arial" w:eastAsia="Arial" w:hAnsi="Arial"/>
          <w:sz w:val="17"/>
          <w:szCs w:val="17"/>
          <w:color w:val="auto"/>
        </w:rPr>
      </w:pPr>
    </w:p>
    <w:p>
      <w:pPr>
        <w:ind w:left="10"/>
        <w:spacing w:after="0"/>
        <w:rPr>
          <w:rFonts w:ascii="Arial" w:cs="Arial" w:eastAsia="Arial" w:hAnsi="Arial"/>
          <w:sz w:val="17"/>
          <w:szCs w:val="17"/>
          <w:color w:val="auto"/>
        </w:rPr>
      </w:pPr>
      <w:r>
        <w:rPr>
          <w:rFonts w:ascii="Arial" w:cs="Arial" w:eastAsia="Arial" w:hAnsi="Arial"/>
          <w:sz w:val="18"/>
          <w:szCs w:val="18"/>
          <w:color w:val="auto"/>
        </w:rPr>
        <w:t>Share.</w:t>
      </w:r>
    </w:p>
    <w:p>
      <w:pPr>
        <w:spacing w:after="0" w:line="206" w:lineRule="exact"/>
        <w:rPr>
          <w:rFonts w:ascii="Arial" w:cs="Arial" w:eastAsia="Arial" w:hAnsi="Arial"/>
          <w:sz w:val="17"/>
          <w:szCs w:val="17"/>
          <w:color w:val="auto"/>
        </w:rPr>
      </w:pPr>
    </w:p>
    <w:p>
      <w:pPr>
        <w:ind w:left="310" w:hanging="310"/>
        <w:spacing w:after="0"/>
        <w:tabs>
          <w:tab w:leader="none" w:pos="31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Awards may be granted under this Plan to any Associate at the discretion of the Committee.</w:t>
      </w:r>
    </w:p>
    <w:p>
      <w:pPr>
        <w:spacing w:after="0" w:line="373" w:lineRule="exact"/>
        <w:rPr>
          <w:rFonts w:ascii="Arial" w:cs="Arial" w:eastAsia="Arial" w:hAnsi="Arial"/>
          <w:sz w:val="18"/>
          <w:szCs w:val="18"/>
          <w:b w:val="1"/>
          <w:bCs w:val="1"/>
          <w:color w:val="auto"/>
        </w:rPr>
      </w:pPr>
    </w:p>
    <w:p>
      <w:pPr>
        <w:ind w:left="430" w:hanging="430"/>
        <w:spacing w:after="0"/>
        <w:tabs>
          <w:tab w:leader="none" w:pos="43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of Awards.</w:t>
      </w:r>
    </w:p>
    <w:p>
      <w:pPr>
        <w:spacing w:after="0" w:line="120" w:lineRule="exact"/>
        <w:rPr>
          <w:rFonts w:ascii="Arial" w:cs="Arial" w:eastAsia="Arial" w:hAnsi="Arial"/>
          <w:sz w:val="18"/>
          <w:szCs w:val="18"/>
          <w:b w:val="1"/>
          <w:bCs w:val="1"/>
          <w:color w:val="auto"/>
        </w:rPr>
      </w:pPr>
    </w:p>
    <w:p>
      <w:pPr>
        <w:ind w:left="10" w:right="960" w:firstLine="430"/>
        <w:spacing w:after="0" w:line="277" w:lineRule="auto"/>
        <w:tabs>
          <w:tab w:leader="none" w:pos="829"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Awards under this Plan may consist of Options (either Incentive Stock Options or Non-Qualified Stock Options), Stock Appreciation Rights, Performance Shares, Restricted Stock, Restricted Stock Units or Other Awards.</w:t>
      </w:r>
    </w:p>
    <w:p>
      <w:pPr>
        <w:spacing w:after="0" w:line="169" w:lineRule="exact"/>
        <w:rPr>
          <w:rFonts w:ascii="Arial" w:cs="Arial" w:eastAsia="Arial" w:hAnsi="Arial"/>
          <w:sz w:val="18"/>
          <w:szCs w:val="18"/>
          <w:color w:val="auto"/>
        </w:rPr>
      </w:pPr>
    </w:p>
    <w:p>
      <w:pPr>
        <w:ind w:left="10" w:right="80" w:firstLine="430"/>
        <w:spacing w:after="0" w:line="259" w:lineRule="auto"/>
        <w:tabs>
          <w:tab w:leader="none" w:pos="839"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Amount of Awards</w:t>
      </w:r>
      <w:r>
        <w:rPr>
          <w:rFonts w:ascii="Arial" w:cs="Arial" w:eastAsia="Arial" w:hAnsi="Arial"/>
          <w:sz w:val="18"/>
          <w:szCs w:val="18"/>
          <w:color w:val="auto"/>
        </w:rPr>
        <w:t>. Each Agreement shall set forth the number of Shares of Restricted Stock, Stock, Units of Stock or Performance Shares, or the amount of cash, subject to such Agreement, or the number of Shares to which the Option applies or with respect to which payment upon the exercise of the Stock Appreciation Right is to be determined, as the case may be, together with such other terms and conditions applicable to the Award (not inconsistent with this Plan) as determined by the Committee in its sole discretion.</w:t>
      </w:r>
    </w:p>
    <w:p>
      <w:pPr>
        <w:spacing w:after="0" w:line="185" w:lineRule="exact"/>
        <w:rPr>
          <w:rFonts w:ascii="Arial" w:cs="Arial" w:eastAsia="Arial" w:hAnsi="Arial"/>
          <w:sz w:val="18"/>
          <w:szCs w:val="18"/>
          <w:color w:val="auto"/>
        </w:rPr>
      </w:pPr>
    </w:p>
    <w:p>
      <w:pPr>
        <w:ind w:left="10" w:firstLine="430"/>
        <w:spacing w:after="0" w:line="291" w:lineRule="auto"/>
        <w:tabs>
          <w:tab w:leader="none" w:pos="829" w:val="left"/>
        </w:tabs>
        <w:numPr>
          <w:ilvl w:val="1"/>
          <w:numId w:val="447"/>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Each Agreement, other than those relating solely to Awards of Stock without restrictions, shall set forth the Term of the Award and any applicable Performance Period, as the case may be, but in no event shall the Term of an Award or the Performance Period be longer than ten (10) years after the date of grant; provided, however, that the Committee may, in its discretion, grant Awards with a longer term to Participants who are located outside the United States. An Agreement with a Participant may permit acceleration of vesting requirements and of the expiration of the applicable Term upon such terms and conditions as shall be set forth in the Agreement, which may, but, unless otherwise specifically provided in this Plan, need not, include, without limitation, acceleration resulting from the occurrence of the Participant’s death or Disability. Acceleration of the Performance Period of Performance Shares and other performance-based Awards shall be subject to Section 12(f) hereof, as applicable.</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0"/>
          </w:cols>
          <w:pgMar w:left="450" w:top="273" w:right="459" w:bottom="1440" w:gutter="0" w:footer="0" w:header="0"/>
        </w:sectPr>
      </w:pPr>
    </w:p>
    <w:bookmarkStart w:id="502" w:name="page503"/>
    <w:bookmarkEnd w:id="502"/>
    <w:p>
      <w:pPr>
        <w:ind w:left="10" w:right="240" w:firstLine="430"/>
        <w:spacing w:after="0" w:line="277" w:lineRule="auto"/>
        <w:tabs>
          <w:tab w:leader="none" w:pos="839"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w:t>
      </w:r>
      <w:r>
        <w:rPr>
          <w:rFonts w:ascii="Arial" w:cs="Arial" w:eastAsia="Arial" w:hAnsi="Arial"/>
          <w:sz w:val="18"/>
          <w:szCs w:val="18"/>
          <w:color w:val="auto"/>
        </w:rPr>
        <w:t>. Each Award under this Plan shall be evidenced by an Agreement setting forth the terms and conditions, as determined by the Committee, that shall apply to such Award, in addition to the terms and conditions specified in this Plan.</w:t>
      </w:r>
    </w:p>
    <w:p>
      <w:pPr>
        <w:spacing w:after="0" w:line="169" w:lineRule="exact"/>
        <w:rPr>
          <w:rFonts w:ascii="Arial" w:cs="Arial" w:eastAsia="Arial" w:hAnsi="Arial"/>
          <w:sz w:val="18"/>
          <w:szCs w:val="18"/>
          <w:color w:val="auto"/>
        </w:rPr>
      </w:pPr>
    </w:p>
    <w:p>
      <w:pPr>
        <w:ind w:left="10" w:firstLine="430"/>
        <w:spacing w:after="0" w:line="272" w:lineRule="auto"/>
        <w:tabs>
          <w:tab w:leader="none" w:pos="829" w:val="left"/>
        </w:tabs>
        <w:numPr>
          <w:ilvl w:val="1"/>
          <w:numId w:val="44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otherwise permitted by the Committee, during the lifetime of a Participant to whom an Award is granted, only such Participant (or such Participant’s legal representative) may exercise an Option or Stock Appreciation Right or receive payment with respect to any other Award. Except as may be permitted by the Company in the case of a transfer not for value, no Award of Restricted Stock (prior to the expiration of the restrictions), Restricted Stock Units, Options, Stock Appreciation Rights, Performance Shares or Other Award (other than an award of Stock without restrictions) may be sold, assigned, transferred, exchanged or otherwise encumbered, and any attempt to do so (including pursuant to a decree of divorce or any judicial declaration of property division) shall be of no effect. Notwithstanding the immediately preceding sentence, an Agreement may provide that an Award shall be transferable to a Successor in the event of a Participant’s death.</w:t>
      </w:r>
    </w:p>
    <w:p>
      <w:pPr>
        <w:spacing w:after="0" w:line="175" w:lineRule="exact"/>
        <w:rPr>
          <w:rFonts w:ascii="Arial" w:cs="Arial" w:eastAsia="Arial" w:hAnsi="Arial"/>
          <w:sz w:val="17"/>
          <w:szCs w:val="17"/>
          <w:color w:val="auto"/>
        </w:rPr>
      </w:pPr>
    </w:p>
    <w:p>
      <w:pPr>
        <w:ind w:left="10" w:right="40" w:firstLine="430"/>
        <w:spacing w:after="0" w:line="301" w:lineRule="auto"/>
        <w:tabs>
          <w:tab w:leader="none" w:pos="809"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Each Agreement shall set forth the extent to which the Participant shall have the right to exercise and/or retain an Award following termination of the Participant’s service with the Company or its Affiliates, including, without limitation, upon death or Disability or other termination of employment. Such provisions shall be determined in the sole discretion of the Committee, shall be included in the Agreement, need not be uniform among Agreements issued pursuant to this Plan, and may reflect distinctions based on the reasons for termination.</w:t>
      </w:r>
    </w:p>
    <w:p>
      <w:pPr>
        <w:spacing w:after="0" w:line="156" w:lineRule="exact"/>
        <w:rPr>
          <w:rFonts w:ascii="Arial" w:cs="Arial" w:eastAsia="Arial" w:hAnsi="Arial"/>
          <w:sz w:val="16"/>
          <w:szCs w:val="16"/>
          <w:color w:val="auto"/>
        </w:rPr>
      </w:pPr>
    </w:p>
    <w:p>
      <w:pPr>
        <w:ind w:left="10" w:right="100" w:firstLine="430"/>
        <w:spacing w:after="0" w:line="277" w:lineRule="auto"/>
        <w:tabs>
          <w:tab w:leader="none" w:pos="839"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the Participant ceases to be employed with the Company, either as a result of a termination by the Company without Cause or by the Participant for Good Reason, in connection with a Change in Control:</w:t>
      </w:r>
    </w:p>
    <w:p>
      <w:pPr>
        <w:spacing w:after="0" w:line="169" w:lineRule="exact"/>
        <w:rPr>
          <w:rFonts w:ascii="Arial" w:cs="Arial" w:eastAsia="Arial" w:hAnsi="Arial"/>
          <w:sz w:val="18"/>
          <w:szCs w:val="18"/>
          <w:color w:val="auto"/>
        </w:rPr>
      </w:pPr>
    </w:p>
    <w:p>
      <w:pPr>
        <w:ind w:left="10" w:right="100" w:firstLine="981"/>
        <w:spacing w:after="0" w:line="263" w:lineRule="auto"/>
        <w:tabs>
          <w:tab w:leader="none" w:pos="1340" w:val="left"/>
        </w:tabs>
        <w:numPr>
          <w:ilvl w:val="2"/>
          <w:numId w:val="448"/>
        </w:numPr>
        <w:rPr>
          <w:rFonts w:ascii="Arial" w:cs="Arial" w:eastAsia="Arial" w:hAnsi="Arial"/>
          <w:sz w:val="18"/>
          <w:szCs w:val="18"/>
          <w:color w:val="auto"/>
        </w:rPr>
      </w:pPr>
      <w:r>
        <w:rPr>
          <w:rFonts w:ascii="Arial" w:cs="Arial" w:eastAsia="Arial" w:hAnsi="Arial"/>
          <w:sz w:val="18"/>
          <w:szCs w:val="18"/>
          <w:color w:val="auto"/>
        </w:rPr>
        <w:t>All Options and Stock Appreciation Rights shall become immediately exercisable with respect to 100% of the Shares subject to such Options or Stock Appreciation Rights, and/or the period of restriction shall expire and the Award shall vest immediately with respect to 100% of the Shares of Restricted Stock, Restricted Stock Units and any other Award;</w:t>
      </w:r>
    </w:p>
    <w:p>
      <w:pPr>
        <w:spacing w:after="0" w:line="182" w:lineRule="exact"/>
        <w:rPr>
          <w:rFonts w:ascii="Arial" w:cs="Arial" w:eastAsia="Arial" w:hAnsi="Arial"/>
          <w:sz w:val="18"/>
          <w:szCs w:val="18"/>
          <w:color w:val="auto"/>
        </w:rPr>
      </w:pPr>
    </w:p>
    <w:p>
      <w:pPr>
        <w:ind w:left="10" w:right="100" w:firstLine="981"/>
        <w:spacing w:after="0" w:line="286" w:lineRule="auto"/>
        <w:tabs>
          <w:tab w:leader="none" w:pos="1397" w:val="left"/>
        </w:tabs>
        <w:numPr>
          <w:ilvl w:val="2"/>
          <w:numId w:val="448"/>
        </w:numPr>
        <w:rPr>
          <w:rFonts w:ascii="Arial" w:cs="Arial" w:eastAsia="Arial" w:hAnsi="Arial"/>
          <w:sz w:val="17"/>
          <w:szCs w:val="17"/>
          <w:color w:val="auto"/>
        </w:rPr>
      </w:pPr>
      <w:r>
        <w:rPr>
          <w:rFonts w:ascii="Arial" w:cs="Arial" w:eastAsia="Arial" w:hAnsi="Arial"/>
          <w:sz w:val="17"/>
          <w:szCs w:val="17"/>
          <w:color w:val="auto"/>
        </w:rPr>
        <w:t>The Agreement will specify that, with respect to performance-based awards, all performance goals (including Performance Criteria) or other vesting criteria will be either (A) deemed achieved at 100% target levels and adjusted pro-rata based on the applicable portion of the performance period which has passed, (B) vested based upon actual performance levels or (C) the greater of (A) or (B); and</w:t>
      </w:r>
    </w:p>
    <w:p>
      <w:pPr>
        <w:spacing w:after="0" w:line="164" w:lineRule="exact"/>
        <w:rPr>
          <w:rFonts w:ascii="Arial" w:cs="Arial" w:eastAsia="Arial" w:hAnsi="Arial"/>
          <w:sz w:val="17"/>
          <w:szCs w:val="17"/>
          <w:color w:val="auto"/>
        </w:rPr>
      </w:pPr>
    </w:p>
    <w:p>
      <w:pPr>
        <w:ind w:left="1450" w:hanging="459"/>
        <w:spacing w:after="0"/>
        <w:tabs>
          <w:tab w:leader="none" w:pos="1450" w:val="left"/>
        </w:tabs>
        <w:numPr>
          <w:ilvl w:val="2"/>
          <w:numId w:val="448"/>
        </w:numPr>
        <w:rPr>
          <w:rFonts w:ascii="Arial" w:cs="Arial" w:eastAsia="Arial" w:hAnsi="Arial"/>
          <w:sz w:val="18"/>
          <w:szCs w:val="18"/>
          <w:color w:val="auto"/>
        </w:rPr>
      </w:pPr>
      <w:r>
        <w:rPr>
          <w:rFonts w:ascii="Arial" w:cs="Arial" w:eastAsia="Arial" w:hAnsi="Arial"/>
          <w:sz w:val="18"/>
          <w:szCs w:val="18"/>
          <w:color w:val="auto"/>
        </w:rPr>
        <w:t>all other terms and conditions will be deemed met.</w:t>
      </w:r>
    </w:p>
    <w:p>
      <w:pPr>
        <w:spacing w:after="0" w:line="224" w:lineRule="exact"/>
        <w:rPr>
          <w:rFonts w:ascii="Arial" w:cs="Arial" w:eastAsia="Arial" w:hAnsi="Arial"/>
          <w:sz w:val="18"/>
          <w:szCs w:val="18"/>
          <w:color w:val="auto"/>
        </w:rPr>
      </w:pPr>
    </w:p>
    <w:p>
      <w:pPr>
        <w:ind w:left="10" w:firstLine="430"/>
        <w:spacing w:after="0" w:line="277" w:lineRule="auto"/>
        <w:tabs>
          <w:tab w:leader="none" w:pos="839"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A Participant shall have no right as a stockholder with respect to any securities covered by an Award until the date the Participant becomes the holder of record.</w:t>
      </w:r>
    </w:p>
    <w:p>
      <w:pPr>
        <w:spacing w:after="0" w:line="169" w:lineRule="exact"/>
        <w:rPr>
          <w:rFonts w:ascii="Arial" w:cs="Arial" w:eastAsia="Arial" w:hAnsi="Arial"/>
          <w:sz w:val="18"/>
          <w:szCs w:val="18"/>
          <w:color w:val="auto"/>
        </w:rPr>
      </w:pPr>
    </w:p>
    <w:p>
      <w:pPr>
        <w:ind w:left="10" w:right="20" w:firstLine="430"/>
        <w:spacing w:after="0" w:line="277" w:lineRule="auto"/>
        <w:tabs>
          <w:tab w:leader="none" w:pos="799"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 The Committee may require the satisfaction of certain performance goals (including Performance Criteria) as a condition to the grant, vesting or payment of any Award provided under the Plan.</w:t>
      </w:r>
    </w:p>
    <w:p>
      <w:pPr>
        <w:spacing w:after="0" w:line="314" w:lineRule="exact"/>
        <w:rPr>
          <w:rFonts w:ascii="Arial" w:cs="Arial" w:eastAsia="Arial" w:hAnsi="Arial"/>
          <w:sz w:val="18"/>
          <w:szCs w:val="18"/>
          <w:color w:val="auto"/>
        </w:rPr>
      </w:pPr>
    </w:p>
    <w:p>
      <w:pPr>
        <w:ind w:left="430" w:hanging="430"/>
        <w:spacing w:after="0"/>
        <w:tabs>
          <w:tab w:leader="none" w:pos="43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20" w:lineRule="exact"/>
        <w:rPr>
          <w:rFonts w:ascii="Arial" w:cs="Arial" w:eastAsia="Arial" w:hAnsi="Arial"/>
          <w:sz w:val="18"/>
          <w:szCs w:val="18"/>
          <w:b w:val="1"/>
          <w:bCs w:val="1"/>
          <w:color w:val="auto"/>
        </w:rPr>
      </w:pPr>
    </w:p>
    <w:p>
      <w:pPr>
        <w:ind w:left="810" w:hanging="370"/>
        <w:spacing w:after="0"/>
        <w:tabs>
          <w:tab w:leader="none" w:pos="810" w:val="left"/>
        </w:tabs>
        <w:numPr>
          <w:ilvl w:val="1"/>
          <w:numId w:val="449"/>
        </w:numPr>
        <w:rPr>
          <w:rFonts w:ascii="Arial" w:cs="Arial" w:eastAsia="Arial" w:hAnsi="Arial"/>
          <w:sz w:val="18"/>
          <w:szCs w:val="18"/>
          <w:color w:val="auto"/>
        </w:rPr>
      </w:pPr>
      <w:r>
        <w:rPr>
          <w:rFonts w:ascii="Arial" w:cs="Arial" w:eastAsia="Arial" w:hAnsi="Arial"/>
          <w:sz w:val="18"/>
          <w:szCs w:val="18"/>
          <w:u w:val="single" w:color="auto"/>
          <w:color w:val="auto"/>
        </w:rPr>
        <w:t>Terms of All Options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10" w:right="60" w:firstLine="981"/>
        <w:spacing w:after="0" w:line="301" w:lineRule="auto"/>
        <w:tabs>
          <w:tab w:leader="none" w:pos="1215" w:val="left"/>
        </w:tabs>
        <w:numPr>
          <w:ilvl w:val="2"/>
          <w:numId w:val="449"/>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Each Option shall be granted pursuant to an Agreement as either an Incentive Stock Option or a Non-Qualified Stock Option. Incentive Stock Options may only be granted to Associates who are employees of the Company or an Affiliate in accordance with the requirements of Section 422 of the Code. Only Non-Qualified Stock Options may be granted to Associates who are not employees of the Company or an Affiliate. In no event may Options known as reload options be granted hereunder. The provisions of separate Options need not be identical. Except as</w:t>
      </w:r>
    </w:p>
    <w:p>
      <w:pPr>
        <w:spacing w:after="0" w:line="8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0"/>
          </w:cols>
          <w:pgMar w:left="450" w:top="274" w:right="459" w:bottom="1440" w:gutter="0" w:footer="0" w:header="0"/>
        </w:sectPr>
      </w:pPr>
    </w:p>
    <w:bookmarkStart w:id="503" w:name="page504"/>
    <w:bookmarkEnd w:id="503"/>
    <w:p>
      <w:pPr>
        <w:ind w:left="10" w:right="20"/>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by Section 12(f), Participants holding Options shall have no dividend rights with respect to Shares subject to such Options. The Company shall have no liability to any Participant or any other person if an Option designated as an Incentive Stock Option fails to qualify as such at any time.</w:t>
      </w:r>
    </w:p>
    <w:p>
      <w:pPr>
        <w:spacing w:after="0" w:line="125" w:lineRule="exact"/>
        <w:rPr>
          <w:sz w:val="20"/>
          <w:szCs w:val="20"/>
          <w:color w:val="auto"/>
        </w:rPr>
      </w:pPr>
    </w:p>
    <w:p>
      <w:pPr>
        <w:ind w:left="10" w:right="20" w:firstLine="981"/>
        <w:spacing w:after="0" w:line="271" w:lineRule="auto"/>
        <w:tabs>
          <w:tab w:leader="none" w:pos="1400" w:val="left"/>
        </w:tabs>
        <w:numPr>
          <w:ilvl w:val="2"/>
          <w:numId w:val="450"/>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of each Share subject to an Option shall be determined by the Committee and set forth in the applicable Agreement, but shall not be less than 100% of the Fair Market Value of a Share as of the date the Option is granted. The purchase price of the Shares with respect to which an Option is exercised shall be payable in full at the time of exercise. The purchase price may be paid in cash or, if the Committee so permits and upon such terms as the Committee shall approve, through delivery or tender to the Company of Shares held, either actually or by attestation, by such Participant (in each case, such Shares having a Fair Market Value as of the date the Option is exercised equal to the purchase price of the Shares being purchased pursuant to the Option) or through a net or cashless form of exercise as permitted by the Committee, or, if the Committee so permits, a combination thereof, unless otherwise provided in the Agreement. Further, the Committee, in its discretion, may approve other methods or forms of payment of the purchase price, and establish rules and procedures therefor.</w:t>
      </w:r>
    </w:p>
    <w:p>
      <w:pPr>
        <w:spacing w:after="0" w:line="176" w:lineRule="exact"/>
        <w:rPr>
          <w:rFonts w:ascii="Arial" w:cs="Arial" w:eastAsia="Arial" w:hAnsi="Arial"/>
          <w:sz w:val="17"/>
          <w:szCs w:val="17"/>
          <w:color w:val="auto"/>
        </w:rPr>
      </w:pPr>
    </w:p>
    <w:p>
      <w:pPr>
        <w:ind w:left="10" w:right="140" w:firstLine="981"/>
        <w:spacing w:after="0" w:line="263" w:lineRule="auto"/>
        <w:tabs>
          <w:tab w:leader="none" w:pos="1450" w:val="left"/>
        </w:tabs>
        <w:numPr>
          <w:ilvl w:val="2"/>
          <w:numId w:val="45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Option shall vest and be exercisable in whole or in part on the terms and for the duration provided in the Agreement. In no event shall any Option be exercisable at any time after its Term. When an Option is no longer exercisable, it shall be deemed to have lapsed or terminated. No Option may be exercised for a fraction of a Share.</w:t>
      </w:r>
    </w:p>
    <w:p>
      <w:pPr>
        <w:spacing w:after="0" w:line="182" w:lineRule="exact"/>
        <w:rPr>
          <w:rFonts w:ascii="Arial" w:cs="Arial" w:eastAsia="Arial" w:hAnsi="Arial"/>
          <w:sz w:val="18"/>
          <w:szCs w:val="18"/>
          <w:color w:val="auto"/>
        </w:rPr>
      </w:pPr>
    </w:p>
    <w:p>
      <w:pPr>
        <w:ind w:left="830" w:hanging="390"/>
        <w:spacing w:after="0"/>
        <w:tabs>
          <w:tab w:leader="none" w:pos="830" w:val="left"/>
        </w:tabs>
        <w:numPr>
          <w:ilvl w:val="1"/>
          <w:numId w:val="451"/>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In addition to the other terms and conditions applicable to all Options:</w:t>
      </w:r>
    </w:p>
    <w:p>
      <w:pPr>
        <w:spacing w:after="0" w:line="224" w:lineRule="exact"/>
        <w:rPr>
          <w:rFonts w:ascii="Arial" w:cs="Arial" w:eastAsia="Arial" w:hAnsi="Arial"/>
          <w:sz w:val="18"/>
          <w:szCs w:val="18"/>
          <w:color w:val="auto"/>
        </w:rPr>
      </w:pPr>
    </w:p>
    <w:p>
      <w:pPr>
        <w:ind w:left="10" w:right="20" w:firstLine="981"/>
        <w:spacing w:after="0" w:line="256" w:lineRule="auto"/>
        <w:tabs>
          <w:tab w:leader="none" w:pos="135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Option is granted) of the Shares with respect to which Incentive Stock Options held by an individual first become exercisable in any calendar year (under this Plan and all other incentive stock option plans of the Company and its Affiliates) shall not exceed $100,000 (or such other limit as may be required by the Code), if such limitation is necessary to qualify the Option as an Incentive Stock Option, and to the extent an Option granted to a Participant exceeds such limit, such Option shall be treated as a Non-Qualified Stock Option;</w:t>
      </w:r>
    </w:p>
    <w:p>
      <w:pPr>
        <w:spacing w:after="0" w:line="191" w:lineRule="exact"/>
        <w:rPr>
          <w:rFonts w:ascii="Arial" w:cs="Arial" w:eastAsia="Arial" w:hAnsi="Arial"/>
          <w:sz w:val="18"/>
          <w:szCs w:val="18"/>
          <w:color w:val="auto"/>
        </w:rPr>
      </w:pPr>
    </w:p>
    <w:p>
      <w:pPr>
        <w:ind w:left="10" w:right="160" w:firstLine="981"/>
        <w:spacing w:after="0" w:line="341" w:lineRule="auto"/>
        <w:tabs>
          <w:tab w:leader="none" w:pos="1400" w:val="left"/>
        </w:tabs>
        <w:numPr>
          <w:ilvl w:val="2"/>
          <w:numId w:val="451"/>
        </w:numPr>
        <w:rPr>
          <w:rFonts w:ascii="Arial" w:cs="Arial" w:eastAsia="Arial" w:hAnsi="Arial"/>
          <w:sz w:val="16"/>
          <w:szCs w:val="16"/>
          <w:color w:val="auto"/>
        </w:rPr>
      </w:pPr>
      <w:r>
        <w:rPr>
          <w:rFonts w:ascii="Arial" w:cs="Arial" w:eastAsia="Arial" w:hAnsi="Arial"/>
          <w:sz w:val="16"/>
          <w:szCs w:val="16"/>
          <w:color w:val="auto"/>
        </w:rPr>
        <w:t>an Incentive Stock Option shall not be exercisable and the Term of the Award shall not be more than ten (10) years after the date of grant (or such other limit as may be required by the Code) if such limitation is necessary to qualify the Option as an Incentive Stock Option;</w:t>
      </w:r>
    </w:p>
    <w:p>
      <w:pPr>
        <w:spacing w:after="0" w:line="124" w:lineRule="exact"/>
        <w:rPr>
          <w:rFonts w:ascii="Arial" w:cs="Arial" w:eastAsia="Arial" w:hAnsi="Arial"/>
          <w:sz w:val="16"/>
          <w:szCs w:val="16"/>
          <w:color w:val="auto"/>
        </w:rPr>
      </w:pPr>
    </w:p>
    <w:p>
      <w:pPr>
        <w:ind w:left="10" w:right="160" w:firstLine="981"/>
        <w:spacing w:after="0" w:line="277" w:lineRule="auto"/>
        <w:tabs>
          <w:tab w:leader="none" w:pos="145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which the Committee determines necessary to qualify such Option as an Incentive Stock Option; and</w:t>
      </w:r>
    </w:p>
    <w:p>
      <w:pPr>
        <w:spacing w:after="0" w:line="169" w:lineRule="exact"/>
        <w:rPr>
          <w:rFonts w:ascii="Arial" w:cs="Arial" w:eastAsia="Arial" w:hAnsi="Arial"/>
          <w:sz w:val="18"/>
          <w:szCs w:val="18"/>
          <w:color w:val="auto"/>
        </w:rPr>
      </w:pPr>
    </w:p>
    <w:p>
      <w:pPr>
        <w:ind w:left="10" w:right="180" w:firstLine="981"/>
        <w:spacing w:after="0" w:line="256" w:lineRule="auto"/>
        <w:tabs>
          <w:tab w:leader="none" w:pos="144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notwithstanding any other provision of this Plan, if, at the time an Incentive Stock Option is granted, the Participant owns (after application of the rules contained in Section 424(d) of the Code, or its successor provision) Shares possessing more than ten percent of the total combined voting power of all classes of stock of the Company or its subsidiaries, (A) the option price for such Incentive Stock Option shall be at least 110% of the Fair Market Value of the Shares subject to such Incentive Stock Option on the date of grant, and (B) such Option shall not be exercisable after the date five (5) years from the date such Incentive Stock Option is granted.</w:t>
      </w:r>
    </w:p>
    <w:p>
      <w:pPr>
        <w:spacing w:after="0" w:line="335" w:lineRule="exact"/>
        <w:rPr>
          <w:rFonts w:ascii="Arial" w:cs="Arial" w:eastAsia="Arial" w:hAnsi="Arial"/>
          <w:sz w:val="18"/>
          <w:szCs w:val="18"/>
          <w:color w:val="auto"/>
        </w:rPr>
      </w:pPr>
    </w:p>
    <w:p>
      <w:pPr>
        <w:ind w:left="430" w:hanging="430"/>
        <w:spacing w:after="0"/>
        <w:tabs>
          <w:tab w:leader="none" w:pos="43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20" w:lineRule="exact"/>
        <w:rPr>
          <w:rFonts w:ascii="Arial" w:cs="Arial" w:eastAsia="Arial" w:hAnsi="Arial"/>
          <w:sz w:val="18"/>
          <w:szCs w:val="18"/>
          <w:b w:val="1"/>
          <w:bCs w:val="1"/>
          <w:color w:val="auto"/>
        </w:rPr>
      </w:pPr>
    </w:p>
    <w:p>
      <w:pPr>
        <w:jc w:val="both"/>
        <w:ind w:left="10" w:firstLine="430"/>
        <w:spacing w:after="0" w:line="301" w:lineRule="auto"/>
        <w:tabs>
          <w:tab w:leader="none" w:pos="829" w:val="left"/>
        </w:tabs>
        <w:numPr>
          <w:ilvl w:val="1"/>
          <w:numId w:val="452"/>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An Award of a Stock Appreciation Right shall entitle the Participant, subject to terms and conditions determined by the Committee, to receive upon exercise of the Stock Appreciation Right all or a portion of the excess of (i) the Fair Market Value of a specified number of Shares as of the date of exercise of the Stock Appreciation Right over (ii) a specified price which shall not be less than 100% of the Fair Market Value of such Shares as of the date of grant of the Stock Appreciation Right (“purchase price”). Each Stock Appreciation Right may be exercisable in whole or</w:t>
      </w:r>
    </w:p>
    <w:p>
      <w:pPr>
        <w:spacing w:after="0" w:line="8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0"/>
          </w:cols>
          <w:pgMar w:left="450" w:top="274" w:right="459" w:bottom="1440" w:gutter="0" w:footer="0" w:header="0"/>
        </w:sectPr>
      </w:pPr>
    </w:p>
    <w:bookmarkStart w:id="504" w:name="page505"/>
    <w:bookmarkEnd w:id="504"/>
    <w:p>
      <w:pPr>
        <w:ind w:left="1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 on and otherwise subject to the terms provided in the applicable Agreement. No Stock Appreciation Right shall be exercisable at any time after its Term. When a Stock Appreciation Right is no longer exercisable, it shall be deemed to have lapsed or terminated. Except as otherwise provided in the applicable Agreement, upon exercise of a Stock Appreciation Right, payment to the Participant (or to his or her Successor) shall be made in the form of cash, Stock or a combination of cash and Stock (as determined by the Committee if not otherwise specified in the Award) as promptly as practicable after such exercise. The Agreement may provide for a limitation upon the amount or percentage of the total appreciation on which payment (whether in cash and/or Stock) may be made in the event of the exercise of a Stock Appreciation Right. Except as provided by Section 12(f), Participants holding Stock Appreciation Rights shall have no dividend rights with respect to Shares subject to such Stock Appreciation Rights.</w:t>
      </w:r>
    </w:p>
    <w:p>
      <w:pPr>
        <w:spacing w:after="0" w:line="165" w:lineRule="exact"/>
        <w:rPr>
          <w:sz w:val="20"/>
          <w:szCs w:val="20"/>
          <w:color w:val="auto"/>
        </w:rPr>
      </w:pPr>
    </w:p>
    <w:p>
      <w:pPr>
        <w:jc w:val="both"/>
        <w:ind w:left="10" w:right="20" w:firstLine="430"/>
        <w:spacing w:after="0" w:line="286" w:lineRule="auto"/>
        <w:tabs>
          <w:tab w:leader="none" w:pos="839" w:val="left"/>
        </w:tabs>
        <w:numPr>
          <w:ilvl w:val="1"/>
          <w:numId w:val="453"/>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Each Stock Appreciation Right shall vest and be exercisable in whole or in part on the terms provided in the Agreement. In no event shall any Stock Appreciation Right be exercisable at any time after its Term. When a Stock Appreciation Right is no longer exercisable, it shall be deemed to have lapsed or terminated. No Stock Appreciation Right may be exercised for a fraction of a Share.</w:t>
      </w:r>
    </w:p>
    <w:p>
      <w:pPr>
        <w:spacing w:after="0" w:line="308" w:lineRule="exact"/>
        <w:rPr>
          <w:rFonts w:ascii="Arial" w:cs="Arial" w:eastAsia="Arial" w:hAnsi="Arial"/>
          <w:sz w:val="17"/>
          <w:szCs w:val="17"/>
          <w:color w:val="auto"/>
        </w:rPr>
      </w:pPr>
    </w:p>
    <w:p>
      <w:pPr>
        <w:ind w:left="430" w:hanging="430"/>
        <w:spacing w:after="0"/>
        <w:tabs>
          <w:tab w:leader="none" w:pos="43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Shares and other Awards Subject to Performance Criteria.</w:t>
      </w:r>
    </w:p>
    <w:p>
      <w:pPr>
        <w:spacing w:after="0" w:line="120" w:lineRule="exact"/>
        <w:rPr>
          <w:rFonts w:ascii="Arial" w:cs="Arial" w:eastAsia="Arial" w:hAnsi="Arial"/>
          <w:sz w:val="18"/>
          <w:szCs w:val="18"/>
          <w:b w:val="1"/>
          <w:bCs w:val="1"/>
          <w:color w:val="auto"/>
        </w:rPr>
      </w:pPr>
    </w:p>
    <w:p>
      <w:pPr>
        <w:ind w:left="10" w:right="40" w:firstLine="430"/>
        <w:spacing w:after="0" w:line="255" w:lineRule="auto"/>
        <w:tabs>
          <w:tab w:leader="none" w:pos="829" w:val="left"/>
        </w:tabs>
        <w:numPr>
          <w:ilvl w:val="1"/>
          <w:numId w:val="454"/>
        </w:numPr>
        <w:rPr>
          <w:rFonts w:ascii="Arial" w:cs="Arial" w:eastAsia="Arial" w:hAnsi="Arial"/>
          <w:sz w:val="18"/>
          <w:szCs w:val="18"/>
          <w:color w:val="auto"/>
        </w:rPr>
      </w:pPr>
      <w:r>
        <w:rPr>
          <w:rFonts w:ascii="Arial" w:cs="Arial" w:eastAsia="Arial" w:hAnsi="Arial"/>
          <w:sz w:val="18"/>
          <w:szCs w:val="18"/>
          <w:u w:val="single" w:color="auto"/>
          <w:color w:val="auto"/>
        </w:rPr>
        <w:t>Initial Award</w:t>
      </w:r>
      <w:r>
        <w:rPr>
          <w:rFonts w:ascii="Arial" w:cs="Arial" w:eastAsia="Arial" w:hAnsi="Arial"/>
          <w:sz w:val="18"/>
          <w:szCs w:val="18"/>
          <w:color w:val="auto"/>
        </w:rPr>
        <w:t>. An Award of Performance Shares shall entitle a Participant to future payments based upon the achievement of performance goals (including Performance Criteria) established in writing by the Committee and denominated in Stock. Payment shall be made in cash or Stock, or a combination of cash and Stock, as determined by the Committee. Such performance goals and other terms and conditions shall be determined by the Committee in its sole discretion. The Agreement may establish that a portion of the maximum amount of a Participant’s Award will be paid for performance which exceeds the minimum target but falls below the maximum target applicable to such Award. The Agreement shall also provide for the timing of such payment.</w:t>
      </w:r>
    </w:p>
    <w:p>
      <w:pPr>
        <w:spacing w:after="0" w:line="191" w:lineRule="exact"/>
        <w:rPr>
          <w:rFonts w:ascii="Arial" w:cs="Arial" w:eastAsia="Arial" w:hAnsi="Arial"/>
          <w:sz w:val="18"/>
          <w:szCs w:val="18"/>
          <w:color w:val="auto"/>
        </w:rPr>
      </w:pPr>
    </w:p>
    <w:p>
      <w:pPr>
        <w:ind w:left="830" w:hanging="390"/>
        <w:spacing w:after="0"/>
        <w:tabs>
          <w:tab w:leader="none" w:pos="830" w:val="left"/>
        </w:tabs>
        <w:numPr>
          <w:ilvl w:val="1"/>
          <w:numId w:val="45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An Award subject to this Section 9 shall vest or be earned on the terms provided in the Agreement.</w:t>
      </w:r>
    </w:p>
    <w:p>
      <w:pPr>
        <w:spacing w:after="0" w:line="224" w:lineRule="exact"/>
        <w:rPr>
          <w:rFonts w:ascii="Arial" w:cs="Arial" w:eastAsia="Arial" w:hAnsi="Arial"/>
          <w:sz w:val="18"/>
          <w:szCs w:val="18"/>
          <w:color w:val="auto"/>
        </w:rPr>
      </w:pPr>
    </w:p>
    <w:p>
      <w:pPr>
        <w:ind w:left="10" w:right="20" w:firstLine="430"/>
        <w:spacing w:after="0" w:line="277" w:lineRule="auto"/>
        <w:tabs>
          <w:tab w:leader="none" w:pos="829" w:val="left"/>
        </w:tabs>
        <w:numPr>
          <w:ilvl w:val="1"/>
          <w:numId w:val="454"/>
        </w:numPr>
        <w:rPr>
          <w:rFonts w:ascii="Arial" w:cs="Arial" w:eastAsia="Arial" w:hAnsi="Arial"/>
          <w:sz w:val="18"/>
          <w:szCs w:val="18"/>
          <w:color w:val="auto"/>
        </w:rPr>
      </w:pPr>
      <w:r>
        <w:rPr>
          <w:rFonts w:ascii="Arial" w:cs="Arial" w:eastAsia="Arial" w:hAnsi="Arial"/>
          <w:sz w:val="18"/>
          <w:szCs w:val="18"/>
          <w:u w:val="single" w:color="auto"/>
          <w:color w:val="auto"/>
        </w:rPr>
        <w:t>Valuation</w:t>
      </w:r>
      <w:r>
        <w:rPr>
          <w:rFonts w:ascii="Arial" w:cs="Arial" w:eastAsia="Arial" w:hAnsi="Arial"/>
          <w:sz w:val="18"/>
          <w:szCs w:val="18"/>
          <w:color w:val="auto"/>
        </w:rPr>
        <w:t>. To the extent that payment of a Performance Share is made in cash, a Performance Share earned after conclusion of a Performance Period shall have a value equal to the Fair Market Value of a Share on the last day of such Performance Period.</w:t>
      </w:r>
    </w:p>
    <w:p>
      <w:pPr>
        <w:spacing w:after="0" w:line="169" w:lineRule="exact"/>
        <w:rPr>
          <w:rFonts w:ascii="Arial" w:cs="Arial" w:eastAsia="Arial" w:hAnsi="Arial"/>
          <w:sz w:val="18"/>
          <w:szCs w:val="18"/>
          <w:color w:val="auto"/>
        </w:rPr>
      </w:pPr>
    </w:p>
    <w:p>
      <w:pPr>
        <w:ind w:left="10" w:right="160" w:firstLine="430"/>
        <w:spacing w:after="0" w:line="301" w:lineRule="auto"/>
        <w:tabs>
          <w:tab w:leader="none" w:pos="839" w:val="left"/>
        </w:tabs>
        <w:numPr>
          <w:ilvl w:val="1"/>
          <w:numId w:val="454"/>
        </w:numPr>
        <w:rPr>
          <w:rFonts w:ascii="Arial" w:cs="Arial" w:eastAsia="Arial" w:hAnsi="Arial"/>
          <w:sz w:val="16"/>
          <w:szCs w:val="16"/>
          <w:color w:val="auto"/>
        </w:rPr>
      </w:pPr>
      <w:r>
        <w:rPr>
          <w:rFonts w:ascii="Arial" w:cs="Arial" w:eastAsia="Arial" w:hAnsi="Arial"/>
          <w:sz w:val="16"/>
          <w:szCs w:val="16"/>
          <w:u w:val="single" w:color="auto"/>
          <w:color w:val="auto"/>
        </w:rPr>
        <w:t>Voting; Dividends</w:t>
      </w:r>
      <w:r>
        <w:rPr>
          <w:rFonts w:ascii="Arial" w:cs="Arial" w:eastAsia="Arial" w:hAnsi="Arial"/>
          <w:sz w:val="16"/>
          <w:szCs w:val="16"/>
          <w:color w:val="auto"/>
        </w:rPr>
        <w:t>. Participants holding Performance Shares shall have no voting rights with respect to such Awards and shall have no dividend rights with respect to Shares subject to such Performances Shares other than as the Committee so provides, in its discretion, in an Agreement, or as provided by Section 12(f); provided, that, any such dividends shall be subject to the same restrictions and conditions as the Performance Shares underlying such dividends and shall be payable only if, and no earlier than at the same time as, the underlying Performance Shares become vested.</w:t>
      </w:r>
    </w:p>
    <w:p>
      <w:pPr>
        <w:spacing w:after="0" w:line="156" w:lineRule="exact"/>
        <w:rPr>
          <w:rFonts w:ascii="Arial" w:cs="Arial" w:eastAsia="Arial" w:hAnsi="Arial"/>
          <w:sz w:val="16"/>
          <w:szCs w:val="16"/>
          <w:color w:val="auto"/>
        </w:rPr>
      </w:pPr>
    </w:p>
    <w:p>
      <w:pPr>
        <w:ind w:left="10" w:right="20" w:firstLine="430"/>
        <w:spacing w:after="0" w:line="269" w:lineRule="auto"/>
        <w:tabs>
          <w:tab w:leader="none" w:pos="829" w:val="left"/>
        </w:tabs>
        <w:numPr>
          <w:ilvl w:val="1"/>
          <w:numId w:val="454"/>
        </w:numPr>
        <w:rPr>
          <w:rFonts w:ascii="Arial" w:cs="Arial" w:eastAsia="Arial" w:hAnsi="Arial"/>
          <w:sz w:val="17"/>
          <w:szCs w:val="17"/>
          <w:color w:val="auto"/>
        </w:rPr>
      </w:pPr>
      <w:r>
        <w:rPr>
          <w:rFonts w:ascii="Arial" w:cs="Arial" w:eastAsia="Arial" w:hAnsi="Arial"/>
          <w:sz w:val="17"/>
          <w:szCs w:val="17"/>
          <w:u w:val="single" w:color="auto"/>
          <w:color w:val="auto"/>
        </w:rPr>
        <w:t>Performance Criteria</w:t>
      </w:r>
      <w:r>
        <w:rPr>
          <w:rFonts w:ascii="Arial" w:cs="Arial" w:eastAsia="Arial" w:hAnsi="Arial"/>
          <w:sz w:val="17"/>
          <w:szCs w:val="17"/>
          <w:color w:val="auto"/>
        </w:rPr>
        <w:t>. Performance Shares and other Awards under the Plan may be made subject to the achievement of Performance Criteria, which shall be performance goals established by the Committee relating to one or more business criteria as set forth herein. Performance Criteria may be applied to the Company, an Affiliate, a Parent, a Subsidiary, a division, a business unit, a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 share, operating income, total stockholder return, compound stockholder return, market share, return on equity, average return on invested capital, pre-tax and pre-interest expense return on average invested capital, which may be expressed on a current value basis, or sales growth,</w:t>
      </w:r>
    </w:p>
    <w:p>
      <w:pPr>
        <w:spacing w:after="0" w:line="11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10"/>
          </w:cols>
          <w:pgMar w:left="450" w:top="274" w:right="439" w:bottom="1440" w:gutter="0" w:footer="0" w:header="0"/>
        </w:sectPr>
      </w:pPr>
    </w:p>
    <w:bookmarkStart w:id="505" w:name="page506"/>
    <w:bookmarkEnd w:id="505"/>
    <w:p>
      <w:pPr>
        <w:ind w:left="1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marketing, operating or workplan goals. Such Performance Criteria and the amount payable for each performance period if the Performance Criteria are achieved shall be set forth in the applicable Agreement and shall be established pursuant to such procedures and on such terms and conditions as are necessary to satisfy the requirements of the Code or other applicable law.</w:t>
      </w:r>
    </w:p>
    <w:p>
      <w:pPr>
        <w:spacing w:after="0" w:line="327" w:lineRule="exact"/>
        <w:rPr>
          <w:sz w:val="20"/>
          <w:szCs w:val="20"/>
          <w:color w:val="auto"/>
        </w:rPr>
      </w:pPr>
    </w:p>
    <w:p>
      <w:pPr>
        <w:ind w:left="430" w:hanging="430"/>
        <w:spacing w:after="0"/>
        <w:tabs>
          <w:tab w:leader="none" w:pos="43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120" w:lineRule="exact"/>
        <w:rPr>
          <w:rFonts w:ascii="Arial" w:cs="Arial" w:eastAsia="Arial" w:hAnsi="Arial"/>
          <w:sz w:val="18"/>
          <w:szCs w:val="18"/>
          <w:b w:val="1"/>
          <w:bCs w:val="1"/>
          <w:color w:val="auto"/>
        </w:rPr>
      </w:pPr>
    </w:p>
    <w:p>
      <w:pPr>
        <w:ind w:left="10" w:firstLine="430"/>
        <w:spacing w:after="0" w:line="268" w:lineRule="auto"/>
        <w:tabs>
          <w:tab w:leader="none" w:pos="829" w:val="left"/>
        </w:tabs>
        <w:numPr>
          <w:ilvl w:val="1"/>
          <w:numId w:val="455"/>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All or any part of any Restricted Stock or Restricted Stock Unit Award may be subject to such conditions and restrictions as may be established by the Committee, and set forth in the applicable Agreement, which may include, but are not limited to, continuous employment with the Company, a requirement that a Participant pay a purchase price for such Award, the achievement of specific performance goals (including Performance Criteria) and/or applicable securities laws restrictions. During any period in which an Award of Restricted Stock or Restricted Stock Units is restricted and subject to a substantial risk of forfeiture, (i) Participants holding Restricted Stock Awards may exercise full voting rights with respect to such Shares and (ii) Participants holding Restricted Stock Units shall have no voting rights with respect to such Awards. Except as provided by Section 12(f), dividends or dividend equivalents shall be subject to the same restrictions and conditions as the Restricted Stock Awards underlying such dividends or the Restricted Stock Units underlying the dividend equivalents and shall be payable only if, and no earlier than at the same time as, the underlying Restricted Stock Award or Restricted Stock Unit become vested. If the Committee determines that Restricted Stock shall be held by the Company or in escrow rather than delivered to the Participant pending the release of the applicable restrictions, the Committee may require the Participant to execute and deliver to the Company an escrow agreement satisfactory to the Committee, if applicable, and an appropriate blank stock power with respect to the Restricted Stock covered by such agreement.</w:t>
      </w:r>
    </w:p>
    <w:p>
      <w:pPr>
        <w:spacing w:after="0" w:line="294" w:lineRule="exact"/>
        <w:rPr>
          <w:rFonts w:ascii="Arial" w:cs="Arial" w:eastAsia="Arial" w:hAnsi="Arial"/>
          <w:sz w:val="17"/>
          <w:szCs w:val="17"/>
          <w:color w:val="auto"/>
        </w:rPr>
      </w:pPr>
    </w:p>
    <w:p>
      <w:pPr>
        <w:ind w:left="830" w:hanging="390"/>
        <w:spacing w:after="0"/>
        <w:tabs>
          <w:tab w:leader="none" w:pos="830" w:val="left"/>
        </w:tabs>
        <w:numPr>
          <w:ilvl w:val="1"/>
          <w:numId w:val="45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450" w:firstLine="413"/>
        <w:spacing w:after="0" w:line="272" w:lineRule="auto"/>
        <w:tabs>
          <w:tab w:leader="none" w:pos="1222" w:val="left"/>
        </w:tabs>
        <w:numPr>
          <w:ilvl w:val="2"/>
          <w:numId w:val="455"/>
        </w:numPr>
        <w:rPr>
          <w:rFonts w:ascii="Arial" w:cs="Arial" w:eastAsia="Arial" w:hAnsi="Arial"/>
          <w:sz w:val="17"/>
          <w:szCs w:val="17"/>
          <w:color w:val="auto"/>
        </w:rPr>
      </w:pPr>
      <w:r>
        <w:rPr>
          <w:rFonts w:ascii="Arial" w:cs="Arial" w:eastAsia="Arial" w:hAnsi="Arial"/>
          <w:sz w:val="17"/>
          <w:szCs w:val="17"/>
          <w:color w:val="auto"/>
        </w:rPr>
        <w:t>Restricted Stock awarded to a Participant shall be subject to the following restrictions until the expiration of the period during which the Award is restricted, and to such other terms and conditions as may be set forth in the applicable Agreement: (A) if an escrow arrangement is used, the Participant shall not be entitled to delivery of the stock certificate; (B) the Shares shall be subject to the restrictions on transferability set forth in the Agreement; (C) the Shares shall be subject to forfeiture for such period and subject to satisfaction of any applicable performance goals (including Performance Criteria) during such period, to the extent provided in the applicable Agreement; and (D) to the extent such Shares are forfeited, the stock certificates, if any, shall be returned to the Company, and all rights of the Participant to such Shares and, as a stockholder, with respect to such Shares shall terminate without further obligation on the part of the Company.</w:t>
      </w:r>
    </w:p>
    <w:p>
      <w:pPr>
        <w:spacing w:after="0" w:line="67" w:lineRule="exact"/>
        <w:rPr>
          <w:rFonts w:ascii="Arial" w:cs="Arial" w:eastAsia="Arial" w:hAnsi="Arial"/>
          <w:sz w:val="17"/>
          <w:szCs w:val="17"/>
          <w:color w:val="auto"/>
        </w:rPr>
      </w:pPr>
    </w:p>
    <w:p>
      <w:pPr>
        <w:ind w:left="450" w:right="120" w:firstLine="413"/>
        <w:spacing w:after="0" w:line="256" w:lineRule="auto"/>
        <w:tabs>
          <w:tab w:leader="none" w:pos="1272" w:val="left"/>
        </w:tabs>
        <w:numPr>
          <w:ilvl w:val="2"/>
          <w:numId w:val="455"/>
        </w:numPr>
        <w:rPr>
          <w:rFonts w:ascii="Arial" w:cs="Arial" w:eastAsia="Arial" w:hAnsi="Arial"/>
          <w:sz w:val="18"/>
          <w:szCs w:val="18"/>
          <w:color w:val="auto"/>
        </w:rPr>
      </w:pPr>
      <w:r>
        <w:rPr>
          <w:rFonts w:ascii="Arial" w:cs="Arial" w:eastAsia="Arial" w:hAnsi="Arial"/>
          <w:sz w:val="18"/>
          <w:szCs w:val="18"/>
          <w:color w:val="auto"/>
        </w:rPr>
        <w:t>Restricted Stock Units awarded to any Participant shall be subject to (A) forfeiture until the expiration of the period during which the Award is restricted, and the satisfaction of any applicable performance goals (including Performance Criteria) during such period, to the extent provided in the applicable Agreement, and to the extent such Restricted Stock Units are forfeited, all rights of the Participant to such Restricted Stock Units shall terminate without further obligation on the part of the Company and (B) such other terms and conditions as may be set forth in the applicable Agreement.</w:t>
      </w:r>
    </w:p>
    <w:p>
      <w:pPr>
        <w:spacing w:after="0" w:line="83" w:lineRule="exact"/>
        <w:rPr>
          <w:rFonts w:ascii="Arial" w:cs="Arial" w:eastAsia="Arial" w:hAnsi="Arial"/>
          <w:sz w:val="18"/>
          <w:szCs w:val="18"/>
          <w:color w:val="auto"/>
        </w:rPr>
      </w:pPr>
    </w:p>
    <w:p>
      <w:pPr>
        <w:jc w:val="both"/>
        <w:ind w:left="450" w:right="280" w:firstLine="413"/>
        <w:spacing w:after="0" w:line="263" w:lineRule="auto"/>
        <w:tabs>
          <w:tab w:leader="none" w:pos="1318" w:val="left"/>
        </w:tabs>
        <w:numPr>
          <w:ilvl w:val="2"/>
          <w:numId w:val="455"/>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the Restricted Stock or Restricted Stock Units are granted, such action is appropriate.</w:t>
      </w:r>
    </w:p>
    <w:p>
      <w:pPr>
        <w:spacing w:after="0" w:line="182" w:lineRule="exact"/>
        <w:rPr>
          <w:rFonts w:ascii="Arial" w:cs="Arial" w:eastAsia="Arial" w:hAnsi="Arial"/>
          <w:sz w:val="18"/>
          <w:szCs w:val="18"/>
          <w:color w:val="auto"/>
        </w:rPr>
      </w:pPr>
    </w:p>
    <w:p>
      <w:pPr>
        <w:ind w:left="10" w:right="720" w:firstLine="430"/>
        <w:spacing w:after="0" w:line="341" w:lineRule="auto"/>
        <w:tabs>
          <w:tab w:leader="none" w:pos="829"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Restricted Period</w:t>
      </w:r>
      <w:r>
        <w:rPr>
          <w:rFonts w:ascii="Arial" w:cs="Arial" w:eastAsia="Arial" w:hAnsi="Arial"/>
          <w:sz w:val="16"/>
          <w:szCs w:val="16"/>
          <w:color w:val="auto"/>
        </w:rPr>
        <w:t>. An Award of Restricted Stock or Restricted Stock Units shall vest on the terms provided in the Agreement. Each certificate representing Restricted Stock awarded under the Plan shall bear a legend in such form as the Company deems appropriate.</w:t>
      </w:r>
    </w:p>
    <w:p>
      <w:pPr>
        <w:spacing w:after="0" w:line="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70"/>
          </w:cols>
          <w:pgMar w:left="450" w:top="274" w:right="479" w:bottom="1440" w:gutter="0" w:footer="0" w:header="0"/>
        </w:sectPr>
      </w:pPr>
    </w:p>
    <w:bookmarkStart w:id="506" w:name="page507"/>
    <w:bookmarkEnd w:id="506"/>
    <w:p>
      <w:pPr>
        <w:ind w:left="10" w:right="120" w:hanging="10"/>
        <w:spacing w:after="0" w:line="274" w:lineRule="auto"/>
        <w:tabs>
          <w:tab w:leader="none" w:pos="404" w:val="left"/>
        </w:tabs>
        <w:numPr>
          <w:ilvl w:val="0"/>
          <w:numId w:val="45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Awards. </w:t>
      </w:r>
      <w:r>
        <w:rPr>
          <w:rFonts w:ascii="Arial" w:cs="Arial" w:eastAsia="Arial" w:hAnsi="Arial"/>
          <w:sz w:val="17"/>
          <w:szCs w:val="17"/>
          <w:color w:val="auto"/>
        </w:rPr>
        <w:t>The Committee may from time to time grant Other Awards under this Plan, including without limitation those Awards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cash bonus award may be made or pursuant to which Shares may be acquired in the future, such as Awards denominated in Stock, Units of Stock, securities convertible into Stock and phantom securities. The Committee, in its sole discretion, shall determine, and provide in the applicable Agreement for, the terms and conditions of such Awards provided that such Awards shall not be inconsistent with the terms and purposes of this Plan. The Committee may, in its sole discretion, direct the Company to issue Shares subject to restrictive legends and/or stop transfer instructions which are consistent with the terms and conditions of the Award to which such Shares relate.</w:t>
      </w:r>
    </w:p>
    <w:p>
      <w:pPr>
        <w:spacing w:after="0" w:line="320" w:lineRule="exact"/>
        <w:rPr>
          <w:rFonts w:ascii="Arial" w:cs="Arial" w:eastAsia="Arial" w:hAnsi="Arial"/>
          <w:sz w:val="17"/>
          <w:szCs w:val="17"/>
          <w:b w:val="1"/>
          <w:bCs w:val="1"/>
          <w:color w:val="auto"/>
        </w:rPr>
      </w:pPr>
    </w:p>
    <w:p>
      <w:pPr>
        <w:ind w:left="430" w:hanging="430"/>
        <w:spacing w:after="0"/>
        <w:tabs>
          <w:tab w:leader="none" w:pos="43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450"/>
        <w:spacing w:after="0"/>
        <w:tabs>
          <w:tab w:leader="none" w:pos="789" w:val="left"/>
          <w:tab w:leader="none" w:pos="6429"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Effective Date of this Plan</w:t>
      </w:r>
      <w:r>
        <w:rPr>
          <w:rFonts w:ascii="Arial" w:cs="Arial" w:eastAsia="Arial" w:hAnsi="Arial"/>
          <w:sz w:val="18"/>
          <w:szCs w:val="18"/>
          <w:color w:val="auto"/>
        </w:rPr>
        <w:t>. This Plan shall become effective as of</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left="450"/>
        <w:spacing w:after="0"/>
        <w:tabs>
          <w:tab w:leader="none" w:pos="809"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u w:val="single" w:color="auto"/>
          <w:color w:val="auto"/>
        </w:rPr>
        <w:t>Duration of this Plan; Date of Grant</w:t>
      </w:r>
      <w:r>
        <w:rPr>
          <w:rFonts w:ascii="Arial" w:cs="Arial" w:eastAsia="Arial" w:hAnsi="Arial"/>
          <w:sz w:val="16"/>
          <w:szCs w:val="16"/>
          <w:color w:val="auto"/>
        </w:rPr>
        <w:t>. This Plan shall remain in effect for a term of ten (10) years following the date on which it is effective</w:t>
      </w:r>
    </w:p>
    <w:p>
      <w:pPr>
        <w:spacing w:after="0" w:line="23" w:lineRule="exact"/>
        <w:rPr>
          <w:sz w:val="20"/>
          <w:szCs w:val="20"/>
          <w:color w:val="auto"/>
        </w:rPr>
      </w:pPr>
    </w:p>
    <w:p>
      <w:pPr>
        <w:ind w:left="10" w:right="40"/>
        <w:spacing w:after="0" w:line="268" w:lineRule="auto"/>
        <w:rPr>
          <w:sz w:val="20"/>
          <w:szCs w:val="20"/>
          <w:color w:val="auto"/>
        </w:rPr>
      </w:pPr>
      <w:r>
        <w:rPr>
          <w:rFonts w:ascii="Arial" w:cs="Arial" w:eastAsia="Arial" w:hAnsi="Arial"/>
          <w:sz w:val="17"/>
          <w:szCs w:val="17"/>
          <w:color w:val="auto"/>
        </w:rPr>
        <w:t>(i.e., until ) or until all Shares subject to the Plan shall have been purchased or acquired according to the Plan’s provisions, whichever occurs first, unless this Plan is sooner terminated pursuant to Section 12(e) hereof. No Awards shall be granted pursuant to the Plan after such Plan termination or expiration, but outstanding Awards may extend beyond that date. The date and time of approval by the Committee of the granting of an Award shall be considered the date and time at which such Award is made or granted, or such later effective date as determined by the Committee, notwithstanding the date of any Agreement with respect to such Award; provided, however, that the Committee may grant Awards other than Incentive Stock Options to Associates or to persons who are about to become Associates, to be effective and deemed to be granted on the occurrence of certain specified contingencies, provided that if the Award is granted to a non-Associate who is about to become an Associate, such specified contingencies shall include, without limitation, that such person becomes an Associate.</w:t>
      </w:r>
    </w:p>
    <w:p>
      <w:pPr>
        <w:spacing w:after="0" w:line="182" w:lineRule="exact"/>
        <w:rPr>
          <w:sz w:val="20"/>
          <w:szCs w:val="20"/>
          <w:color w:val="auto"/>
        </w:rPr>
      </w:pPr>
    </w:p>
    <w:p>
      <w:pPr>
        <w:ind w:left="10" w:right="160" w:firstLine="430"/>
        <w:spacing w:after="0" w:line="263" w:lineRule="auto"/>
        <w:tabs>
          <w:tab w:leader="none" w:pos="829"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in this Plan or in any Agreement shall confer upon any Participant the right to continue in the employment of the Company or any Affiliate or affect any right which the Company or any Affiliate may have to terminate or modify the employment of the Participant with or without cause.</w:t>
      </w:r>
    </w:p>
    <w:p>
      <w:pPr>
        <w:spacing w:after="0" w:line="182" w:lineRule="exact"/>
        <w:rPr>
          <w:rFonts w:ascii="Arial" w:cs="Arial" w:eastAsia="Arial" w:hAnsi="Arial"/>
          <w:sz w:val="18"/>
          <w:szCs w:val="18"/>
          <w:color w:val="auto"/>
        </w:rPr>
      </w:pPr>
    </w:p>
    <w:p>
      <w:pPr>
        <w:ind w:left="10" w:right="20" w:firstLine="430"/>
        <w:spacing w:after="0" w:line="290" w:lineRule="auto"/>
        <w:tabs>
          <w:tab w:leader="none" w:pos="839"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withhold from any payment of cash or Stock to a Participant or other person under this Plan an amount sufficient to cover any required withholding taxes, including the Participant’s social security and Medicare taxes (FICA) and federal, state and local income tax with respect to income arising from payment of the Award. The Company shall have the right to require the payment of any such taxes before issuing any Stock pursuant to the Award. In lieu of all or any part of a cash payment from a person receiving Stock under this Plan, the Committee may, in the applicable Agreement or otherwise, permit a person to cover all or any part of the required withholdings, and to cover any additional withholdings up to the amount needed to cover the person’s full FICA and federal, state and local income tax with respect to income arising from payment of the Award, through a reduction of the numbers of Shares delivered to such person or a delivery or tender to the Company of Shares held by such person, in each case valued in the same manner as used in computing the withholding taxes under applicable laws.</w:t>
      </w:r>
    </w:p>
    <w:p>
      <w:pPr>
        <w:spacing w:after="0" w:line="163" w:lineRule="exact"/>
        <w:rPr>
          <w:rFonts w:ascii="Arial" w:cs="Arial" w:eastAsia="Arial" w:hAnsi="Arial"/>
          <w:sz w:val="16"/>
          <w:szCs w:val="16"/>
          <w:color w:val="auto"/>
        </w:rPr>
      </w:pPr>
    </w:p>
    <w:p>
      <w:pPr>
        <w:ind w:left="10" w:firstLine="430"/>
        <w:spacing w:after="0" w:line="289" w:lineRule="auto"/>
        <w:tabs>
          <w:tab w:leader="none" w:pos="829"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Amendment, Modification and Termination of this Plan</w:t>
      </w:r>
      <w:r>
        <w:rPr>
          <w:rFonts w:ascii="Arial" w:cs="Arial" w:eastAsia="Arial" w:hAnsi="Arial"/>
          <w:sz w:val="16"/>
          <w:szCs w:val="16"/>
          <w:color w:val="auto"/>
        </w:rPr>
        <w:t>. Except as provided in this Section 12(e), the Board may at any time amend, modify, terminate or suspend this Plan. Except as provided in this Section 12(e), the Committee may at any time alter or amend any or all Agreements under this Plan to the extent permitted by law and subject to the requirements of Section 2(b), in which event, as provided in Section 2(b), the term “Agreement” shall mean the Agreement as so amended. Amendments are subject to approval of the stockholders of the Company only as required by applicable law or regulation, or if the amendment increases the total number of shares available under this Plan, except as provided in Section 12(f). No termination, suspension or modification of this Plan may materially and adversely affect any right acquired by any Participant (or a Participant’s legal representative) or any Successor or permitted transferee under an Award granted before the date of termination, suspension or modification, unless otherwise provided in an Agreement or otherwise or required as a matter of law. It is conclusively presumed that any adjustment for changes in capitalization provided for in Section 12(f) hereof does not adversely affect any right of a Participant or other person under an Award. It</w:t>
      </w:r>
    </w:p>
    <w:p>
      <w:pPr>
        <w:spacing w:after="0" w:line="9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0" w:right="439" w:bottom="1440" w:gutter="0" w:footer="0" w:header="0"/>
        </w:sectPr>
      </w:pPr>
    </w:p>
    <w:bookmarkStart w:id="507" w:name="page508"/>
    <w:bookmarkEnd w:id="50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expressly contemplated that the Board may amend the Plan in any respect the Board deems necessary or advisable to provide eligible Associates with the maximum benefits provided or to be provided under the provisions of the Code relating to Incentive Stock Options or to the provisions of Section 409A of the Code and/or to bring the Plan and/or Awards granted under it into compliance therewith.</w:t>
      </w:r>
    </w:p>
    <w:p>
      <w:pPr>
        <w:spacing w:after="0" w:line="291" w:lineRule="exact"/>
        <w:rPr>
          <w:sz w:val="20"/>
          <w:szCs w:val="20"/>
          <w:color w:val="auto"/>
        </w:rPr>
      </w:pPr>
    </w:p>
    <w:p>
      <w:pPr>
        <w:ind w:left="780" w:hanging="350"/>
        <w:spacing w:after="0"/>
        <w:tabs>
          <w:tab w:leader="none" w:pos="78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Adjustment Upon Certain Changes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100" w:firstLine="981"/>
        <w:spacing w:after="0" w:line="279" w:lineRule="auto"/>
        <w:tabs>
          <w:tab w:leader="none" w:pos="1340" w:val="left"/>
        </w:tabs>
        <w:numPr>
          <w:ilvl w:val="1"/>
          <w:numId w:val="458"/>
        </w:numPr>
        <w:rPr>
          <w:rFonts w:ascii="Arial" w:cs="Arial" w:eastAsia="Arial" w:hAnsi="Arial"/>
          <w:sz w:val="17"/>
          <w:szCs w:val="17"/>
          <w:color w:val="auto"/>
        </w:rPr>
      </w:pPr>
      <w:r>
        <w:rPr>
          <w:rFonts w:ascii="Arial" w:cs="Arial" w:eastAsia="Arial" w:hAnsi="Arial"/>
          <w:sz w:val="17"/>
          <w:szCs w:val="17"/>
          <w:u w:val="single" w:color="auto"/>
          <w:color w:val="auto"/>
        </w:rPr>
        <w:t>Shares Available for Grants</w:t>
      </w:r>
      <w:r>
        <w:rPr>
          <w:rFonts w:ascii="Arial" w:cs="Arial" w:eastAsia="Arial" w:hAnsi="Arial"/>
          <w:sz w:val="17"/>
          <w:szCs w:val="17"/>
          <w:color w:val="auto"/>
        </w:rPr>
        <w:t>. In the event of any change in the number of Shares outstanding by reason of any stock dividend or split, recapitalization, merger, consolidation, combination or exchange of shares or similar corporate change or transaction, the maximum aggregate number of Shares with respect to which the Committee may grant Awards and the maximum aggregate number of Shares with respect to which the Committee may grant Awards to any individual Participant in any year shall be appropriately adjusted by the Committee.</w:t>
      </w:r>
    </w:p>
    <w:p>
      <w:pPr>
        <w:spacing w:after="0" w:line="170" w:lineRule="exact"/>
        <w:rPr>
          <w:rFonts w:ascii="Arial" w:cs="Arial" w:eastAsia="Arial" w:hAnsi="Arial"/>
          <w:sz w:val="17"/>
          <w:szCs w:val="17"/>
          <w:color w:val="auto"/>
        </w:rPr>
      </w:pPr>
    </w:p>
    <w:p>
      <w:pPr>
        <w:ind w:right="100" w:firstLine="981"/>
        <w:spacing w:after="0" w:line="275" w:lineRule="auto"/>
        <w:tabs>
          <w:tab w:leader="none" w:pos="1390" w:val="left"/>
        </w:tabs>
        <w:numPr>
          <w:ilvl w:val="1"/>
          <w:numId w:val="458"/>
        </w:numPr>
        <w:rPr>
          <w:rFonts w:ascii="Arial" w:cs="Arial" w:eastAsia="Arial" w:hAnsi="Arial"/>
          <w:sz w:val="17"/>
          <w:szCs w:val="17"/>
          <w:color w:val="auto"/>
        </w:rPr>
      </w:pPr>
      <w:r>
        <w:rPr>
          <w:rFonts w:ascii="Arial" w:cs="Arial" w:eastAsia="Arial" w:hAnsi="Arial"/>
          <w:sz w:val="17"/>
          <w:szCs w:val="17"/>
          <w:u w:val="single" w:color="auto"/>
          <w:color w:val="auto"/>
        </w:rPr>
        <w:t>Increase or Decrease in Issued Shares Without Consideration</w:t>
      </w:r>
      <w:r>
        <w:rPr>
          <w:rFonts w:ascii="Arial" w:cs="Arial" w:eastAsia="Arial" w:hAnsi="Arial"/>
          <w:sz w:val="17"/>
          <w:szCs w:val="17"/>
          <w:color w:val="auto"/>
        </w:rPr>
        <w:t>. Subject to any required action by the stockholders of the Company, in the event of any increase or decrease in the number of issued Shares resulting from a subdivision or consolidation of Shares, the payment of a stock dividend (but only on the Shares), or any other increase or decrease in the number of such Shares effected without receipt or payment of consideration by the Company, the Committee shall appropriately adjust the number of Shares subject to each outstanding Award and the exercise price per Share, or similar reference price, to the extent applicable, of each such Award.</w:t>
      </w:r>
    </w:p>
    <w:p>
      <w:pPr>
        <w:spacing w:after="0" w:line="175" w:lineRule="exact"/>
        <w:rPr>
          <w:rFonts w:ascii="Arial" w:cs="Arial" w:eastAsia="Arial" w:hAnsi="Arial"/>
          <w:sz w:val="17"/>
          <w:szCs w:val="17"/>
          <w:color w:val="auto"/>
        </w:rPr>
      </w:pPr>
    </w:p>
    <w:p>
      <w:pPr>
        <w:ind w:right="20" w:firstLine="981"/>
        <w:spacing w:after="0" w:line="256" w:lineRule="auto"/>
        <w:tabs>
          <w:tab w:leader="none" w:pos="1440" w:val="left"/>
        </w:tabs>
        <w:numPr>
          <w:ilvl w:val="1"/>
          <w:numId w:val="458"/>
        </w:numPr>
        <w:rPr>
          <w:rFonts w:ascii="Arial" w:cs="Arial" w:eastAsia="Arial" w:hAnsi="Arial"/>
          <w:sz w:val="18"/>
          <w:szCs w:val="18"/>
          <w:color w:val="auto"/>
        </w:rPr>
      </w:pPr>
      <w:r>
        <w:rPr>
          <w:rFonts w:ascii="Arial" w:cs="Arial" w:eastAsia="Arial" w:hAnsi="Arial"/>
          <w:sz w:val="18"/>
          <w:szCs w:val="18"/>
          <w:u w:val="single" w:color="auto"/>
          <w:color w:val="auto"/>
        </w:rPr>
        <w:t>Certain Mergers</w:t>
      </w:r>
      <w:r>
        <w:rPr>
          <w:rFonts w:ascii="Arial" w:cs="Arial" w:eastAsia="Arial" w:hAnsi="Arial"/>
          <w:sz w:val="18"/>
          <w:szCs w:val="18"/>
          <w:color w:val="auto"/>
        </w:rPr>
        <w:t>. Subject to any required action by the stockholders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191" w:lineRule="exact"/>
        <w:rPr>
          <w:rFonts w:ascii="Arial" w:cs="Arial" w:eastAsia="Arial" w:hAnsi="Arial"/>
          <w:sz w:val="18"/>
          <w:szCs w:val="18"/>
          <w:color w:val="auto"/>
        </w:rPr>
      </w:pPr>
    </w:p>
    <w:p>
      <w:pPr>
        <w:ind w:firstLine="981"/>
        <w:spacing w:after="0" w:line="256" w:lineRule="auto"/>
        <w:tabs>
          <w:tab w:leader="none" w:pos="1430" w:val="left"/>
        </w:tabs>
        <w:numPr>
          <w:ilvl w:val="1"/>
          <w:numId w:val="458"/>
        </w:numPr>
        <w:rPr>
          <w:rFonts w:ascii="Arial" w:cs="Arial" w:eastAsia="Arial" w:hAnsi="Arial"/>
          <w:sz w:val="18"/>
          <w:szCs w:val="18"/>
          <w:color w:val="auto"/>
        </w:rPr>
      </w:pPr>
      <w:r>
        <w:rPr>
          <w:rFonts w:ascii="Arial" w:cs="Arial" w:eastAsia="Arial" w:hAnsi="Arial"/>
          <w:sz w:val="18"/>
          <w:szCs w:val="18"/>
          <w:u w:val="single" w:color="auto"/>
          <w:color w:val="auto"/>
        </w:rPr>
        <w:t>Certain Other Transactions</w:t>
      </w:r>
      <w:r>
        <w:rPr>
          <w:rFonts w:ascii="Arial" w:cs="Arial" w:eastAsia="Arial" w:hAnsi="Arial"/>
          <w:sz w:val="18"/>
          <w:szCs w:val="18"/>
          <w:color w:val="auto"/>
        </w:rPr>
        <w:t>. In the event of (A) a dissolution or liquidation of the Company, (B) a sale of all or substantially all of the Company’s assets (on a consolidated basis), (C) a merger, consolidation or similar transaction involving the Company in which the Company is not the surviving corporation or (D) a merger, consolidation or similar transaction involving the Company in which the Company is the surviving corporation but the holders of Shares receive securities of another corporation and/or other property, including cash, the Committee shall, in its sole discretion, have the power to:</w:t>
      </w:r>
    </w:p>
    <w:p>
      <w:pPr>
        <w:spacing w:after="0" w:line="83" w:lineRule="exact"/>
        <w:rPr>
          <w:rFonts w:ascii="Arial" w:cs="Arial" w:eastAsia="Arial" w:hAnsi="Arial"/>
          <w:sz w:val="18"/>
          <w:szCs w:val="18"/>
          <w:color w:val="auto"/>
        </w:rPr>
      </w:pPr>
    </w:p>
    <w:p>
      <w:pPr>
        <w:ind w:left="1420" w:right="240" w:firstLine="1"/>
        <w:spacing w:after="0" w:line="286" w:lineRule="auto"/>
        <w:tabs>
          <w:tab w:leader="none" w:pos="1675" w:val="left"/>
        </w:tabs>
        <w:numPr>
          <w:ilvl w:val="2"/>
          <w:numId w:val="458"/>
        </w:numPr>
        <w:rPr>
          <w:rFonts w:ascii="Arial" w:cs="Arial" w:eastAsia="Arial" w:hAnsi="Arial"/>
          <w:sz w:val="16"/>
          <w:szCs w:val="16"/>
          <w:color w:val="auto"/>
        </w:rPr>
      </w:pPr>
      <w:r>
        <w:rPr>
          <w:rFonts w:ascii="Arial" w:cs="Arial" w:eastAsia="Arial" w:hAnsi="Arial"/>
          <w:sz w:val="16"/>
          <w:szCs w:val="16"/>
          <w:color w:val="auto"/>
        </w:rPr>
        <w:t>cancel, effective immediately prior to the occurrence of such event, each Award (whether or not then exercisable), and, in full consideration of such cancellation, pay to the Participant to whom such Award was granted an amount in cash for each share of Stock subject to such Award equal to the value, as determined by the Committee in its reasonable discretion, of such Award, provided that with respect to any outstanding Stock Option or Stock Appreciation Right such value shall be equal to the excess of</w:t>
      </w:r>
    </w:p>
    <w:p>
      <w:pPr>
        <w:ind w:left="1420" w:right="80"/>
        <w:spacing w:after="0" w:line="273" w:lineRule="auto"/>
        <w:rPr>
          <w:rFonts w:ascii="Arial" w:cs="Arial" w:eastAsia="Arial" w:hAnsi="Arial"/>
          <w:sz w:val="16"/>
          <w:szCs w:val="16"/>
          <w:color w:val="auto"/>
        </w:rPr>
      </w:pPr>
      <w:r>
        <w:rPr>
          <w:rFonts w:ascii="Arial" w:cs="Arial" w:eastAsia="Arial" w:hAnsi="Arial"/>
          <w:sz w:val="17"/>
          <w:szCs w:val="17"/>
          <w:color w:val="auto"/>
        </w:rPr>
        <w:t>(I) the value, as determined by the Committee in its reasonable discretion, of the property (including cash) received by the holder of a Share as a result of such event over (II) the exercise price per Share of such Stock Option or Stock Appreciation Right, and provided, further, that the Committee shall not accelerate the vesting of an Award in a manner that is inconsistent with Section 6(g) hereof, unless the Committee determines that such acceleration is in the best interests of the Company; or</w:t>
      </w:r>
    </w:p>
    <w:p>
      <w:pPr>
        <w:spacing w:after="0" w:line="67" w:lineRule="exact"/>
        <w:rPr>
          <w:rFonts w:ascii="Arial" w:cs="Arial" w:eastAsia="Arial" w:hAnsi="Arial"/>
          <w:sz w:val="16"/>
          <w:szCs w:val="16"/>
          <w:color w:val="auto"/>
        </w:rPr>
      </w:pPr>
    </w:p>
    <w:p>
      <w:pPr>
        <w:ind w:left="1420" w:right="60" w:firstLine="1"/>
        <w:spacing w:after="0" w:line="311" w:lineRule="auto"/>
        <w:tabs>
          <w:tab w:leader="none" w:pos="1675" w:val="left"/>
        </w:tabs>
        <w:numPr>
          <w:ilvl w:val="2"/>
          <w:numId w:val="458"/>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as determined by the Committee in its reasonable discretion in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508" w:name="page509"/>
    <w:bookmarkEnd w:id="508"/>
    <w:p>
      <w:pPr>
        <w:ind w:left="1430" w:right="4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price of the Award, or the number of shares or amount of property subject to the Award or, if appropriate, provide for a cash payment to the Participant to whom such Award was granted in partial consideration for the exchange of the Award.</w:t>
      </w:r>
    </w:p>
    <w:p>
      <w:pPr>
        <w:spacing w:after="0" w:line="147" w:lineRule="exact"/>
        <w:rPr>
          <w:sz w:val="20"/>
          <w:szCs w:val="20"/>
          <w:color w:val="auto"/>
        </w:rPr>
      </w:pPr>
    </w:p>
    <w:p>
      <w:pPr>
        <w:ind w:left="10" w:right="60" w:firstLine="981"/>
        <w:spacing w:after="0" w:line="286" w:lineRule="auto"/>
        <w:tabs>
          <w:tab w:leader="none" w:pos="1390" w:val="left"/>
        </w:tabs>
        <w:numPr>
          <w:ilvl w:val="2"/>
          <w:numId w:val="459"/>
        </w:numPr>
        <w:rPr>
          <w:rFonts w:ascii="Arial" w:cs="Arial" w:eastAsia="Arial" w:hAnsi="Arial"/>
          <w:sz w:val="17"/>
          <w:szCs w:val="17"/>
          <w:color w:val="auto"/>
        </w:rPr>
      </w:pPr>
      <w:r>
        <w:rPr>
          <w:rFonts w:ascii="Arial" w:cs="Arial" w:eastAsia="Arial" w:hAnsi="Arial"/>
          <w:sz w:val="17"/>
          <w:szCs w:val="17"/>
          <w:u w:val="single" w:color="auto"/>
          <w:color w:val="auto"/>
        </w:rPr>
        <w:t>Other Changes</w:t>
      </w:r>
      <w:r>
        <w:rPr>
          <w:rFonts w:ascii="Arial" w:cs="Arial" w:eastAsia="Arial" w:hAnsi="Arial"/>
          <w:sz w:val="17"/>
          <w:szCs w:val="17"/>
          <w:color w:val="auto"/>
        </w:rPr>
        <w:t>. In the event of any change in the capitalization of the Company or any corporate change other than those specifically referred to in subsections (ii), (iii) or (iv), the Committee shall have the power to make equitable adjustments in the number and class of shares subject to Awards outstanding on the date on which such change occurs and in such other terms of such Awards.</w:t>
      </w:r>
    </w:p>
    <w:p>
      <w:pPr>
        <w:spacing w:after="0" w:line="164" w:lineRule="exact"/>
        <w:rPr>
          <w:rFonts w:ascii="Arial" w:cs="Arial" w:eastAsia="Arial" w:hAnsi="Arial"/>
          <w:sz w:val="17"/>
          <w:szCs w:val="17"/>
          <w:color w:val="auto"/>
        </w:rPr>
      </w:pPr>
    </w:p>
    <w:p>
      <w:pPr>
        <w:ind w:left="10" w:right="100" w:firstLine="981"/>
        <w:spacing w:after="0" w:line="259" w:lineRule="auto"/>
        <w:tabs>
          <w:tab w:leader="none" w:pos="1440" w:val="left"/>
        </w:tabs>
        <w:numPr>
          <w:ilvl w:val="2"/>
          <w:numId w:val="459"/>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 In the event of any transaction or event described in this Section 12(f), including without limitation any corporate change referred to in subsection (v) hereof, and in the event of any changes in accounting treatment, practices, standards or principles, the Committee shall have the power to make equitable adjustments in any Performance Criteria and in other terms and the performance goals of any Award made pursuant to Section 9 hereof.</w:t>
      </w:r>
    </w:p>
    <w:p>
      <w:pPr>
        <w:spacing w:after="0" w:line="185" w:lineRule="exact"/>
        <w:rPr>
          <w:rFonts w:ascii="Arial" w:cs="Arial" w:eastAsia="Arial" w:hAnsi="Arial"/>
          <w:sz w:val="18"/>
          <w:szCs w:val="18"/>
          <w:color w:val="auto"/>
        </w:rPr>
      </w:pPr>
    </w:p>
    <w:p>
      <w:pPr>
        <w:ind w:left="10" w:right="100" w:firstLine="981"/>
        <w:spacing w:after="0" w:line="296" w:lineRule="auto"/>
        <w:tabs>
          <w:tab w:leader="none" w:pos="1490" w:val="left"/>
        </w:tabs>
        <w:numPr>
          <w:ilvl w:val="2"/>
          <w:numId w:val="459"/>
        </w:numPr>
        <w:rPr>
          <w:rFonts w:ascii="Arial" w:cs="Arial" w:eastAsia="Arial" w:hAnsi="Arial"/>
          <w:sz w:val="16"/>
          <w:szCs w:val="16"/>
          <w:color w:val="auto"/>
        </w:rPr>
      </w:pP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60" w:lineRule="exact"/>
        <w:rPr>
          <w:rFonts w:ascii="Arial" w:cs="Arial" w:eastAsia="Arial" w:hAnsi="Arial"/>
          <w:sz w:val="16"/>
          <w:szCs w:val="16"/>
          <w:color w:val="auto"/>
        </w:rPr>
      </w:pPr>
    </w:p>
    <w:p>
      <w:pPr>
        <w:ind w:left="10" w:right="20" w:firstLine="430"/>
        <w:spacing w:after="0" w:line="255" w:lineRule="auto"/>
        <w:tabs>
          <w:tab w:leader="none" w:pos="839" w:val="left"/>
        </w:tabs>
        <w:numPr>
          <w:ilvl w:val="1"/>
          <w:numId w:val="460"/>
        </w:numPr>
        <w:rPr>
          <w:rFonts w:ascii="Arial" w:cs="Arial" w:eastAsia="Arial" w:hAnsi="Arial"/>
          <w:sz w:val="18"/>
          <w:szCs w:val="18"/>
          <w:color w:val="auto"/>
        </w:rPr>
      </w:pP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Participant under an Award shall not be deemed a part of a Participant’s regular, recurring compensation for purposes of any termination, indemnity or severance pay laws and shall not be included in, nor have any effect on, the determination of benefits under any other employee benefit plan, contract or similar arrangement provided by the Company or an Affiliate,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91" w:lineRule="exact"/>
        <w:rPr>
          <w:rFonts w:ascii="Arial" w:cs="Arial" w:eastAsia="Arial" w:hAnsi="Arial"/>
          <w:sz w:val="18"/>
          <w:szCs w:val="18"/>
          <w:color w:val="auto"/>
        </w:rPr>
      </w:pPr>
    </w:p>
    <w:p>
      <w:pPr>
        <w:ind w:left="10" w:right="60" w:firstLine="430"/>
        <w:spacing w:after="0" w:line="290" w:lineRule="auto"/>
        <w:tabs>
          <w:tab w:leader="none" w:pos="839" w:val="left"/>
        </w:tabs>
        <w:numPr>
          <w:ilvl w:val="1"/>
          <w:numId w:val="460"/>
        </w:numPr>
        <w:rPr>
          <w:rFonts w:ascii="Arial" w:cs="Arial" w:eastAsia="Arial" w:hAnsi="Arial"/>
          <w:sz w:val="16"/>
          <w:szCs w:val="16"/>
          <w:color w:val="auto"/>
        </w:rPr>
      </w:pPr>
      <w:r>
        <w:rPr>
          <w:rFonts w:ascii="Arial" w:cs="Arial" w:eastAsia="Arial" w:hAnsi="Arial"/>
          <w:sz w:val="16"/>
          <w:szCs w:val="16"/>
          <w:u w:val="single" w:color="auto"/>
          <w:color w:val="auto"/>
        </w:rPr>
        <w:t>Beneficiary Upon Participant’s Death</w:t>
      </w:r>
      <w:r>
        <w:rPr>
          <w:rFonts w:ascii="Arial" w:cs="Arial" w:eastAsia="Arial" w:hAnsi="Arial"/>
          <w:sz w:val="16"/>
          <w:szCs w:val="16"/>
          <w:color w:val="auto"/>
        </w:rPr>
        <w:t>. To the extent that the transfer of a Participant’s Award at death is permitted by this Plan or under an Agreement, (i) a Participant’s Award shall be transferable to the beneficiary, if any, designated on forms prescribed by and filed with the Committee and</w:t>
      </w:r>
    </w:p>
    <w:p>
      <w:pPr>
        <w:spacing w:after="0" w:line="1" w:lineRule="exact"/>
        <w:rPr>
          <w:rFonts w:ascii="Arial" w:cs="Arial" w:eastAsia="Arial" w:hAnsi="Arial"/>
          <w:sz w:val="16"/>
          <w:szCs w:val="16"/>
          <w:color w:val="auto"/>
        </w:rPr>
      </w:pPr>
    </w:p>
    <w:p>
      <w:pPr>
        <w:ind w:left="10" w:right="340" w:hanging="10"/>
        <w:spacing w:after="0" w:line="252" w:lineRule="auto"/>
        <w:tabs>
          <w:tab w:leader="none" w:pos="27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upon the death of the Participant, such beneficiary shall succeed to the rights of the Participant to the extent permitted by law and this Plan. If no such designation of a beneficiary has been made, or if the Committee shall be in doubt as to the rights of any beneficiary, as determined in the Committee’s discretion, the Participant’s legal representative shall succeed to the Awards, which shall be transferable by will or pursuant to laws of descent and distribution to the extent permitted by this Plan or under an Agreement, and the Company and the Committee and Board and members thereof, shall not be under any further liability to anyone.</w:t>
      </w:r>
    </w:p>
    <w:p>
      <w:pPr>
        <w:spacing w:after="0" w:line="193" w:lineRule="exact"/>
        <w:rPr>
          <w:rFonts w:ascii="Arial" w:cs="Arial" w:eastAsia="Arial" w:hAnsi="Arial"/>
          <w:sz w:val="18"/>
          <w:szCs w:val="18"/>
          <w:color w:val="auto"/>
        </w:rPr>
      </w:pPr>
    </w:p>
    <w:p>
      <w:pPr>
        <w:ind w:left="790" w:hanging="350"/>
        <w:spacing w:after="0"/>
        <w:tabs>
          <w:tab w:leader="none" w:pos="790" w:val="left"/>
        </w:tabs>
        <w:numPr>
          <w:ilvl w:val="1"/>
          <w:numId w:val="461"/>
        </w:numPr>
        <w:rPr>
          <w:rFonts w:ascii="Arial" w:cs="Arial" w:eastAsia="Arial" w:hAnsi="Arial"/>
          <w:sz w:val="17"/>
          <w:szCs w:val="17"/>
          <w:color w:val="auto"/>
        </w:rPr>
      </w:pPr>
      <w:r>
        <w:rPr>
          <w:rFonts w:ascii="Arial" w:cs="Arial" w:eastAsia="Arial" w:hAnsi="Arial"/>
          <w:sz w:val="17"/>
          <w:szCs w:val="17"/>
          <w:u w:val="single" w:color="auto"/>
          <w:color w:val="auto"/>
        </w:rPr>
        <w:t>Unfunded Plan</w:t>
      </w:r>
      <w:r>
        <w:rPr>
          <w:rFonts w:ascii="Arial" w:cs="Arial" w:eastAsia="Arial" w:hAnsi="Arial"/>
          <w:sz w:val="17"/>
          <w:szCs w:val="17"/>
          <w:color w:val="auto"/>
        </w:rPr>
        <w:t>. This Plan shall be unfunded and the Company shall not be required to segregate any assets that may at any time be</w:t>
      </w:r>
    </w:p>
    <w:p>
      <w:pPr>
        <w:spacing w:after="0" w:line="34" w:lineRule="exact"/>
        <w:rPr>
          <w:rFonts w:ascii="Arial" w:cs="Arial" w:eastAsia="Arial" w:hAnsi="Arial"/>
          <w:sz w:val="17"/>
          <w:szCs w:val="17"/>
          <w:color w:val="auto"/>
        </w:rPr>
      </w:pPr>
    </w:p>
    <w:p>
      <w:pPr>
        <w:ind w:left="10"/>
        <w:spacing w:after="0" w:line="273" w:lineRule="auto"/>
        <w:rPr>
          <w:rFonts w:ascii="Arial" w:cs="Arial" w:eastAsia="Arial" w:hAnsi="Arial"/>
          <w:sz w:val="17"/>
          <w:szCs w:val="17"/>
          <w:color w:val="auto"/>
        </w:rPr>
      </w:pPr>
      <w:r>
        <w:rPr>
          <w:rFonts w:ascii="Arial" w:cs="Arial" w:eastAsia="Arial" w:hAnsi="Arial"/>
          <w:sz w:val="17"/>
          <w:szCs w:val="17"/>
          <w:color w:val="auto"/>
        </w:rPr>
        <w:t>represented by Awards under this Plan. Neither the Company, its Affiliates, the Committee, nor the Board shall be deemed to be a trustee of any amounts to be paid under this Plan nor shall anything contained in this Plan or any action taken pursuant to its provisions create or be construed to create a fiduciary relationship between the Company and/or its Affiliates and a Participant or Successor. To the extent any person acquires a right to receive an Award under this Plan, such right shall be no greater than the right of an unsecured general creditor of the Company.</w:t>
      </w:r>
    </w:p>
    <w:p>
      <w:pPr>
        <w:spacing w:after="0" w:line="283" w:lineRule="exact"/>
        <w:rPr>
          <w:rFonts w:ascii="Arial" w:cs="Arial" w:eastAsia="Arial" w:hAnsi="Arial"/>
          <w:sz w:val="17"/>
          <w:szCs w:val="17"/>
          <w:color w:val="auto"/>
        </w:rPr>
      </w:pPr>
    </w:p>
    <w:p>
      <w:pPr>
        <w:ind w:left="790" w:hanging="350"/>
        <w:spacing w:after="0"/>
        <w:tabs>
          <w:tab w:leader="none" w:pos="790" w:val="left"/>
        </w:tabs>
        <w:numPr>
          <w:ilvl w:val="1"/>
          <w:numId w:val="461"/>
        </w:numPr>
        <w:rPr>
          <w:rFonts w:ascii="Arial" w:cs="Arial" w:eastAsia="Arial" w:hAnsi="Arial"/>
          <w:sz w:val="18"/>
          <w:szCs w:val="18"/>
          <w:color w:val="auto"/>
        </w:rPr>
      </w:pPr>
      <w:r>
        <w:rPr>
          <w:rFonts w:ascii="Arial" w:cs="Arial" w:eastAsia="Arial" w:hAnsi="Arial"/>
          <w:sz w:val="18"/>
          <w:szCs w:val="18"/>
          <w:u w:val="single" w:color="auto"/>
          <w:color w:val="auto"/>
        </w:rPr>
        <w:t>Limits of Liability</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firstLine="981"/>
        <w:spacing w:after="0" w:line="277" w:lineRule="auto"/>
        <w:tabs>
          <w:tab w:leader="none" w:pos="134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shall be based solely upon contractual obligations created by this Plan and the Agreement.</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10"/>
          </w:cols>
          <w:pgMar w:left="450" w:top="274" w:right="439" w:bottom="1440" w:gutter="0" w:footer="0" w:header="0"/>
        </w:sectPr>
      </w:pPr>
    </w:p>
    <w:bookmarkStart w:id="509" w:name="page510"/>
    <w:bookmarkEnd w:id="509"/>
    <w:p>
      <w:pPr>
        <w:ind w:left="-40" w:right="60" w:firstLine="981"/>
        <w:spacing w:after="0" w:line="259" w:lineRule="auto"/>
        <w:tabs>
          <w:tab w:leader="none" w:pos="1350" w:val="left"/>
        </w:tabs>
        <w:numPr>
          <w:ilvl w:val="1"/>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may be required by law, neither the Company nor any member or former member of the Board or the Committee, nor any other person participating (including participation pursuant to a delegation of authority under Section 3 hereof) in any determination of any question under this Plan, or in the interpretation, administration or application of this Plan, shall have any liability to any party for any action taken, or not taken, in good faith under this Plan.</w:t>
      </w:r>
    </w:p>
    <w:p>
      <w:pPr>
        <w:spacing w:after="0" w:line="185" w:lineRule="exact"/>
        <w:rPr>
          <w:rFonts w:ascii="Arial" w:cs="Arial" w:eastAsia="Arial" w:hAnsi="Arial"/>
          <w:sz w:val="18"/>
          <w:szCs w:val="18"/>
          <w:color w:val="auto"/>
        </w:rPr>
      </w:pPr>
    </w:p>
    <w:p>
      <w:pPr>
        <w:jc w:val="both"/>
        <w:ind w:left="-40" w:firstLine="981"/>
        <w:spacing w:after="0" w:line="259" w:lineRule="auto"/>
        <w:tabs>
          <w:tab w:leader="none" w:pos="1397" w:val="left"/>
        </w:tabs>
        <w:numPr>
          <w:ilvl w:val="1"/>
          <w:numId w:val="462"/>
        </w:numPr>
        <w:rPr>
          <w:rFonts w:ascii="Arial" w:cs="Arial" w:eastAsia="Arial" w:hAnsi="Arial"/>
          <w:sz w:val="18"/>
          <w:szCs w:val="18"/>
          <w:color w:val="auto"/>
        </w:rPr>
      </w:pPr>
      <w:r>
        <w:rPr>
          <w:rFonts w:ascii="Arial" w:cs="Arial" w:eastAsia="Arial" w:hAnsi="Arial"/>
          <w:sz w:val="18"/>
          <w:szCs w:val="18"/>
          <w:color w:val="auto"/>
        </w:rPr>
        <w:t>To the full extent permitted by law, each member and former member of the Board and the Committee and each person to whom the Committee delegates or has delegated authority under this Plan shall be entitled to indemnification by the Company against any loss, liability, judgment, damage, cost and reasonable expense incurred by such member, former member or other person by reason of any action taken, failure to act or determination made in good faith under or with respect to this Plan.</w:t>
      </w:r>
    </w:p>
    <w:p>
      <w:pPr>
        <w:spacing w:after="0" w:line="185" w:lineRule="exact"/>
        <w:rPr>
          <w:rFonts w:ascii="Arial" w:cs="Arial" w:eastAsia="Arial" w:hAnsi="Arial"/>
          <w:sz w:val="18"/>
          <w:szCs w:val="18"/>
          <w:color w:val="auto"/>
        </w:rPr>
      </w:pPr>
    </w:p>
    <w:p>
      <w:pPr>
        <w:ind w:left="-40" w:firstLine="430"/>
        <w:spacing w:after="0" w:line="259" w:lineRule="auto"/>
        <w:tabs>
          <w:tab w:leader="none" w:pos="789"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Legal Requirements</w:t>
      </w:r>
      <w:r>
        <w:rPr>
          <w:rFonts w:ascii="Arial" w:cs="Arial" w:eastAsia="Arial" w:hAnsi="Arial"/>
          <w:sz w:val="18"/>
          <w:szCs w:val="18"/>
          <w:color w:val="auto"/>
        </w:rPr>
        <w:t>. The Company shall not be required to issue or deliver a certificate for Shares distributable pursuant to this Plan unless the issuance of such certificate complies with all applicable legal requirements including, without limitation, compliance with the provisions of applicable state securities laws, the Securities Act, the Exchange Act and the requirements of the exchanges, if any, on which the Company’s Shares may, at the time, be listed.</w:t>
      </w:r>
    </w:p>
    <w:p>
      <w:pPr>
        <w:spacing w:after="0" w:line="185" w:lineRule="exact"/>
        <w:rPr>
          <w:rFonts w:ascii="Arial" w:cs="Arial" w:eastAsia="Arial" w:hAnsi="Arial"/>
          <w:sz w:val="18"/>
          <w:szCs w:val="18"/>
          <w:color w:val="auto"/>
        </w:rPr>
      </w:pPr>
    </w:p>
    <w:p>
      <w:pPr>
        <w:ind w:left="-40" w:right="40" w:firstLine="430"/>
        <w:spacing w:after="0" w:line="263" w:lineRule="auto"/>
        <w:tabs>
          <w:tab w:leader="none" w:pos="750"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Deferrals and Settlements</w:t>
      </w:r>
      <w:r>
        <w:rPr>
          <w:rFonts w:ascii="Arial" w:cs="Arial" w:eastAsia="Arial" w:hAnsi="Arial"/>
          <w:sz w:val="18"/>
          <w:szCs w:val="18"/>
          <w:color w:val="auto"/>
        </w:rPr>
        <w:t>. The Committee may require or permit Participants to elect to defer the issuance of Shares or the settlement of Awards in cash under such rules and procedures as it may establish under this Plan. It may also provide that deferred settlements include the payment or crediting of interest on the deferral amounts.</w:t>
      </w:r>
    </w:p>
    <w:p>
      <w:pPr>
        <w:spacing w:after="0" w:line="182" w:lineRule="exact"/>
        <w:rPr>
          <w:rFonts w:ascii="Arial" w:cs="Arial" w:eastAsia="Arial" w:hAnsi="Arial"/>
          <w:sz w:val="18"/>
          <w:szCs w:val="18"/>
          <w:color w:val="auto"/>
        </w:rPr>
      </w:pPr>
    </w:p>
    <w:p>
      <w:pPr>
        <w:ind w:left="-40" w:right="100" w:firstLine="430"/>
        <w:spacing w:after="0" w:line="275" w:lineRule="auto"/>
        <w:tabs>
          <w:tab w:leader="none" w:pos="839"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The Committee may specify in an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Agreement or otherwise applicable to the Participant, a termination of the Participant’s employment for Cause or other conduct by the Participant that is detrimental to the business or reputation of the Company and/or its Affiliates.</w:t>
      </w:r>
    </w:p>
    <w:p>
      <w:pPr>
        <w:spacing w:after="0" w:line="175" w:lineRule="exact"/>
        <w:rPr>
          <w:rFonts w:ascii="Arial" w:cs="Arial" w:eastAsia="Arial" w:hAnsi="Arial"/>
          <w:sz w:val="17"/>
          <w:szCs w:val="17"/>
          <w:color w:val="auto"/>
        </w:rPr>
      </w:pPr>
    </w:p>
    <w:p>
      <w:pPr>
        <w:ind w:left="-40" w:right="180" w:firstLine="430"/>
        <w:spacing w:after="0" w:line="291" w:lineRule="auto"/>
        <w:tabs>
          <w:tab w:leader="none" w:pos="789"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Clawback and Noncompete</w:t>
      </w:r>
      <w:r>
        <w:rPr>
          <w:rFonts w:ascii="Arial" w:cs="Arial" w:eastAsia="Arial" w:hAnsi="Arial"/>
          <w:sz w:val="16"/>
          <w:szCs w:val="16"/>
          <w:color w:val="auto"/>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stock exchange listing requirement or any policy adopted by the Company whether pursuant to any such law, government regulation or stock exchange listing requirement or otherwise. In addition and notwithstanding any other provisions of this Plan, any Award shall be subject to such noncompete provisions under the terms of the Agreement or any other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w:t>
      </w:r>
    </w:p>
    <w:p>
      <w:pPr>
        <w:spacing w:after="0" w:line="165" w:lineRule="exact"/>
        <w:rPr>
          <w:rFonts w:ascii="Arial" w:cs="Arial" w:eastAsia="Arial" w:hAnsi="Arial"/>
          <w:sz w:val="16"/>
          <w:szCs w:val="16"/>
          <w:color w:val="auto"/>
        </w:rPr>
      </w:pPr>
    </w:p>
    <w:p>
      <w:pPr>
        <w:ind w:left="-40" w:right="100" w:firstLine="430"/>
        <w:spacing w:after="0" w:line="259" w:lineRule="auto"/>
        <w:tabs>
          <w:tab w:leader="none" w:pos="789"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Sub-plans</w:t>
      </w:r>
      <w:r>
        <w:rPr>
          <w:rFonts w:ascii="Arial" w:cs="Arial" w:eastAsia="Arial" w:hAnsi="Arial"/>
          <w:sz w:val="18"/>
          <w:szCs w:val="18"/>
          <w:color w:val="auto"/>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5" w:lineRule="exact"/>
        <w:rPr>
          <w:rFonts w:ascii="Arial" w:cs="Arial" w:eastAsia="Arial" w:hAnsi="Arial"/>
          <w:sz w:val="18"/>
          <w:szCs w:val="18"/>
          <w:color w:val="auto"/>
        </w:rPr>
      </w:pPr>
    </w:p>
    <w:p>
      <w:pPr>
        <w:ind w:left="-40" w:right="100" w:firstLine="430"/>
        <w:spacing w:after="0" w:line="277" w:lineRule="auto"/>
        <w:tabs>
          <w:tab w:leader="none" w:pos="789"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Plan Headings</w:t>
      </w:r>
      <w:r>
        <w:rPr>
          <w:rFonts w:ascii="Arial" w:cs="Arial" w:eastAsia="Arial" w:hAnsi="Arial"/>
          <w:sz w:val="18"/>
          <w:szCs w:val="18"/>
          <w:color w:val="auto"/>
        </w:rPr>
        <w:t>. The headings in the Plan are for purposes of convenience only and are not intended to define or limit the construction of the provisions hereof.</w:t>
      </w:r>
    </w:p>
    <w:p>
      <w:pPr>
        <w:spacing w:after="0" w:line="169" w:lineRule="exact"/>
        <w:rPr>
          <w:rFonts w:ascii="Arial" w:cs="Arial" w:eastAsia="Arial" w:hAnsi="Arial"/>
          <w:sz w:val="18"/>
          <w:szCs w:val="18"/>
          <w:color w:val="auto"/>
        </w:rPr>
      </w:pPr>
    </w:p>
    <w:p>
      <w:pPr>
        <w:jc w:val="both"/>
        <w:ind w:left="-40" w:right="320" w:firstLine="430"/>
        <w:spacing w:after="0" w:line="311" w:lineRule="auto"/>
        <w:tabs>
          <w:tab w:leader="none" w:pos="789"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Non-Uniform Treatment</w:t>
      </w:r>
      <w:r>
        <w:rPr>
          <w:rFonts w:ascii="Arial" w:cs="Arial" w:eastAsia="Arial" w:hAnsi="Arial"/>
          <w:sz w:val="16"/>
          <w:szCs w:val="16"/>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Agreements.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500" w:top="274" w:right="479" w:bottom="1440" w:gutter="0" w:footer="0" w:header="0"/>
        </w:sectPr>
      </w:pPr>
    </w:p>
    <w:bookmarkStart w:id="510" w:name="page511"/>
    <w:bookmarkEnd w:id="510"/>
    <w:p>
      <w:pPr>
        <w:ind w:left="10" w:right="40" w:hanging="10"/>
        <w:spacing w:after="0" w:line="290" w:lineRule="auto"/>
        <w:tabs>
          <w:tab w:leader="none" w:pos="504"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Substitute Awards. </w:t>
      </w:r>
      <w:r>
        <w:rPr>
          <w:rFonts w:ascii="Arial" w:cs="Arial" w:eastAsia="Arial" w:hAnsi="Arial"/>
          <w:sz w:val="16"/>
          <w:szCs w:val="16"/>
          <w:color w:val="auto"/>
        </w:rPr>
        <w:t>Awards may be granted under this Plan from time to time in substitution for Awards held by employees or other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providers of other entities who are about to become Associates, or whose employer (or entity with respect to which such individual provides services) is about to become a Subsidiary of the Company, as the result of a merger or consolidation of the Company or a Subsidiary of the Company with another entity, the acquisition by the Company or a Subsidiary of the Company of all or substantially all the assets of another entity or the acquisition by the Company or a Subsidiary of the Company of at least 50% of the issued and outstanding stock of another entity. The terms and conditions of the substitute Awards so granted may vary from the terms and conditions set forth in this Plan to such extent as the Board at the time of the grant may deem appropriate to conform, in whole or in part, to the provisions of the Awards in substitution for which they are granted, but with respect to Awards which are Incentive Stock Options, no such variation shall be permitted which affects the status of any such substitute option as an Incentive Stock Option.</w:t>
      </w:r>
    </w:p>
    <w:p>
      <w:pPr>
        <w:spacing w:after="0" w:line="163" w:lineRule="exact"/>
        <w:rPr>
          <w:rFonts w:ascii="Arial" w:cs="Arial" w:eastAsia="Arial" w:hAnsi="Arial"/>
          <w:sz w:val="16"/>
          <w:szCs w:val="16"/>
          <w:b w:val="1"/>
          <w:bCs w:val="1"/>
          <w:color w:val="auto"/>
        </w:rPr>
      </w:pPr>
    </w:p>
    <w:p>
      <w:pPr>
        <w:ind w:left="10" w:hanging="10"/>
        <w:spacing w:after="0" w:line="312" w:lineRule="auto"/>
        <w:tabs>
          <w:tab w:leader="none" w:pos="504" w:val="left"/>
        </w:tabs>
        <w:numPr>
          <w:ilvl w:val="0"/>
          <w:numId w:val="4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To the extent that federal laws do not otherwise control, this Plan and all determinations made and actions taken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shall be governed by the laws of Delaware, without giving effect to principles of conflicts of laws, and construed accordingly.</w:t>
      </w:r>
    </w:p>
    <w:p>
      <w:pPr>
        <w:spacing w:after="0" w:line="139" w:lineRule="exact"/>
        <w:rPr>
          <w:rFonts w:ascii="Arial" w:cs="Arial" w:eastAsia="Arial" w:hAnsi="Arial"/>
          <w:sz w:val="17"/>
          <w:szCs w:val="17"/>
          <w:b w:val="1"/>
          <w:bCs w:val="1"/>
          <w:color w:val="auto"/>
        </w:rPr>
      </w:pPr>
    </w:p>
    <w:p>
      <w:pPr>
        <w:ind w:left="10" w:right="200" w:hanging="10"/>
        <w:spacing w:after="0" w:line="312" w:lineRule="auto"/>
        <w:tabs>
          <w:tab w:leader="none" w:pos="504" w:val="left"/>
        </w:tabs>
        <w:numPr>
          <w:ilvl w:val="0"/>
          <w:numId w:val="4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any provision of this Plan shall be held illegal or invalid for any reason, the illegality or invalidity shall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parts of this Plan, and this Plan shall be construed and enforced as if the illegal or invalid provision had not been included.</w:t>
      </w:r>
    </w:p>
    <w:p>
      <w:pPr>
        <w:spacing w:after="0" w:line="139" w:lineRule="exact"/>
        <w:rPr>
          <w:rFonts w:ascii="Arial" w:cs="Arial" w:eastAsia="Arial" w:hAnsi="Arial"/>
          <w:sz w:val="17"/>
          <w:szCs w:val="17"/>
          <w:b w:val="1"/>
          <w:bCs w:val="1"/>
          <w:color w:val="auto"/>
        </w:rPr>
      </w:pPr>
    </w:p>
    <w:p>
      <w:pPr>
        <w:ind w:left="10" w:right="240" w:hanging="10"/>
        <w:spacing w:after="0" w:line="287" w:lineRule="auto"/>
        <w:tabs>
          <w:tab w:leader="none" w:pos="504"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The Plan is intended to comply with Section 409A of the Code to the extent subject thereto, and, accordingly,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extent permitted, the Plan shall be interpreted and administered to be in compliance therewith. Each installment in any series of payments under any Award shall be considered a “separate payment” for all purposes of Section 409A of the Code. Any payments that are due within the short-term deferral period as defined in Section 409A of the Code shall not be treated as deferred compensation unless applicable laws require otherwise.</w:t>
      </w:r>
    </w:p>
    <w:p>
      <w:pPr>
        <w:spacing w:after="0" w:line="1" w:lineRule="exact"/>
        <w:rPr>
          <w:rFonts w:ascii="Arial" w:cs="Arial" w:eastAsia="Arial" w:hAnsi="Arial"/>
          <w:sz w:val="16"/>
          <w:szCs w:val="16"/>
          <w:b w:val="1"/>
          <w:bCs w:val="1"/>
          <w:color w:val="auto"/>
        </w:rPr>
      </w:pPr>
    </w:p>
    <w:p>
      <w:pPr>
        <w:ind w:left="10"/>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References to termination or cessation of employment, separation from service, or similar or correlative terms shall be construed to require a “separation from service” (as that term is defined in Section 1.409A-1(h) of the Code), to the extent necessary to comply with Section 409A of the Code. Notwithstanding anything to the contrary in the Plan, to the extent required to avoid adverse tax consequences under Section 409A of the Code, amounts that would otherwise be payable and benefits that would otherwise be provided pursuant to the Plan during the six (6)-month period immediately following the Participant’s termination of employment shall instead be paid on the first payroll date after the six (6)-month anniversary of the Participant’s separation from service (or the Participant’s death, if earlier). Notwithstanding the foregoing, neither the Company nor the Committee shall have any obligation to take any action to prevent the assessment of any tax or penalty under Section 409A of the Code and neither the Company, the Board nor the Committee will have any liability to any Participant or otherwise for such tax or penalty. If any Award would be considered deferred compensation as defined under Code Section 409A and would fail to meet the requirements of Code Section 409A, then such Award shall be null and void.</w:t>
      </w:r>
    </w:p>
    <w:p>
      <w:pPr>
        <w:spacing w:after="0" w:line="12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90"/>
          </w:cols>
          <w:pgMar w:left="450" w:top="269" w:right="459" w:bottom="1440" w:gutter="0" w:footer="0" w:header="0"/>
        </w:sectPr>
      </w:pPr>
    </w:p>
    <w:bookmarkStart w:id="511" w:name="page512"/>
    <w:bookmarkEnd w:id="511"/>
    <w:p>
      <w:pPr>
        <w:ind w:left="9980"/>
        <w:spacing w:after="0"/>
        <w:rPr>
          <w:sz w:val="20"/>
          <w:szCs w:val="20"/>
          <w:color w:val="auto"/>
        </w:rPr>
      </w:pPr>
      <w:r>
        <w:rPr>
          <w:rFonts w:ascii="Arial" w:cs="Arial" w:eastAsia="Arial" w:hAnsi="Arial"/>
          <w:sz w:val="16"/>
          <w:szCs w:val="16"/>
          <w:b w:val="1"/>
          <w:bCs w:val="1"/>
          <w:color w:val="auto"/>
        </w:rPr>
        <w:t>Exhibit 10.12</w:t>
      </w:r>
    </w:p>
    <w:p>
      <w:pPr>
        <w:spacing w:after="0" w:line="248" w:lineRule="exact"/>
        <w:rPr>
          <w:sz w:val="20"/>
          <w:szCs w:val="20"/>
          <w:color w:val="auto"/>
        </w:rPr>
      </w:pPr>
    </w:p>
    <w:p>
      <w:pPr>
        <w:jc w:val="center"/>
        <w:spacing w:after="0" w:line="274" w:lineRule="auto"/>
        <w:rPr>
          <w:sz w:val="20"/>
          <w:szCs w:val="20"/>
          <w:color w:val="auto"/>
        </w:rPr>
      </w:pPr>
      <w:r>
        <w:rPr>
          <w:rFonts w:ascii="Arial" w:cs="Arial" w:eastAsia="Arial" w:hAnsi="Arial"/>
          <w:sz w:val="18"/>
          <w:szCs w:val="18"/>
          <w:b w:val="1"/>
          <w:bCs w:val="1"/>
          <w:color w:val="auto"/>
        </w:rPr>
        <w:t>CERTAIN IDENTIFIED INFORMATION CONTAINED IN THIS DOCUMENT, MARKED BY [***], HAS BEEN OMITTED BECAUSE IT IS BOTH (1) NOT MATERIAL AND (2) WOULD LIKELY CAUSE COMPETITIVE HARM TO THE COMPANY IF PUBLICLY DISCLOSED.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STREMICK HERITAGE FOODS,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PREMIER NUTRITION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AGREEMENT</w:t>
      </w:r>
    </w:p>
    <w:p>
      <w:pPr>
        <w:spacing w:after="0" w:line="21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THIS MANUFACTURING AGREEMENT (the “Agreement”) is made this first day of July, 2017 (the “Effective Date”) between Stremicks Heritage Foods, LLC (“Heritage”), a Delaware limited liability company with an address of 4002 Westminster Avenue, Santa Ana, CA 92703 and PREMIER NUTRITION CORPORATION (“Premier”), a Delaware corporation with a principal place of business at 5905 Christie Avenue, Emeryville, California 94608 (each a “Party”, collectively, the “Parties”).</w:t>
      </w:r>
    </w:p>
    <w:p>
      <w:pPr>
        <w:spacing w:after="0" w:line="186" w:lineRule="exact"/>
        <w:rPr>
          <w:sz w:val="20"/>
          <w:szCs w:val="20"/>
          <w:color w:val="auto"/>
        </w:rPr>
      </w:pPr>
    </w:p>
    <w:p>
      <w:pPr>
        <w:ind w:right="520" w:firstLine="440"/>
        <w:spacing w:after="0" w:line="307" w:lineRule="auto"/>
        <w:rPr>
          <w:sz w:val="20"/>
          <w:szCs w:val="20"/>
          <w:color w:val="auto"/>
        </w:rPr>
      </w:pPr>
      <w:r>
        <w:rPr>
          <w:rFonts w:ascii="Arial" w:cs="Arial" w:eastAsia="Arial" w:hAnsi="Arial"/>
          <w:sz w:val="17"/>
          <w:szCs w:val="17"/>
          <w:color w:val="auto"/>
        </w:rPr>
        <w:t>WHEREAS, Heritage is engaged in the business of producing food products on a contract basis and desires to produce Products (as defined below) for Premier at its facilities in [***] as well as at its majority-owned subsidiary, Jasper Products, L.L.C. (“Jasper”) in [***];</w:t>
      </w:r>
    </w:p>
    <w:p>
      <w:pPr>
        <w:spacing w:after="0" w:line="14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WHEREAS, Premier is the owner of certain proprietary formulations, manufacturing processes and techniques and wishes to have Product manufactured and packaged by Heritage in accordance with the terms and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covenants contained herein and intending to be legally bound, the Parties agree as follows:</w:t>
      </w:r>
    </w:p>
    <w:p>
      <w:pPr>
        <w:spacing w:after="0" w:line="392" w:lineRule="exact"/>
        <w:rPr>
          <w:sz w:val="20"/>
          <w:szCs w:val="20"/>
          <w:color w:val="auto"/>
        </w:rPr>
      </w:pPr>
    </w:p>
    <w:p>
      <w:pPr>
        <w:ind w:left="960" w:hanging="538"/>
        <w:spacing w:after="0"/>
        <w:tabs>
          <w:tab w:leader="none" w:pos="96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BASIC TERMS</w:t>
      </w:r>
    </w:p>
    <w:p>
      <w:pPr>
        <w:spacing w:after="0" w:line="120" w:lineRule="exact"/>
        <w:rPr>
          <w:rFonts w:ascii="Arial" w:cs="Arial" w:eastAsia="Arial" w:hAnsi="Arial"/>
          <w:sz w:val="18"/>
          <w:szCs w:val="18"/>
          <w:b w:val="1"/>
          <w:bCs w:val="1"/>
          <w:color w:val="auto"/>
        </w:rPr>
      </w:pPr>
    </w:p>
    <w:p>
      <w:pPr>
        <w:ind w:right="100" w:firstLine="981"/>
        <w:spacing w:after="0" w:line="277" w:lineRule="auto"/>
        <w:tabs>
          <w:tab w:leader="none" w:pos="1367"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This Section contains the basic terms of this Agreement between Heritage and Premier. All other provisions of this Agreement are to be read in accordance with the provisions herein contained.</w:t>
      </w:r>
    </w:p>
    <w:p>
      <w:pPr>
        <w:spacing w:after="0" w:line="197"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(i)</w:t>
            </w:r>
          </w:p>
        </w:tc>
        <w:tc>
          <w:tcPr>
            <w:tcW w:w="2740" w:type="dxa"/>
            <w:vAlign w:val="bottom"/>
          </w:tcPr>
          <w:p>
            <w:pPr>
              <w:ind w:left="80"/>
              <w:spacing w:after="0"/>
              <w:rPr>
                <w:sz w:val="20"/>
                <w:szCs w:val="20"/>
                <w:color w:val="auto"/>
              </w:rPr>
            </w:pPr>
            <w:r>
              <w:rPr>
                <w:rFonts w:ascii="Arial" w:cs="Arial" w:eastAsia="Arial" w:hAnsi="Arial"/>
                <w:sz w:val="18"/>
                <w:szCs w:val="18"/>
                <w:color w:val="auto"/>
              </w:rPr>
              <w:t>Commencement Date</w:t>
            </w:r>
          </w:p>
        </w:tc>
        <w:tc>
          <w:tcPr>
            <w:tcW w:w="1940" w:type="dxa"/>
            <w:vAlign w:val="bottom"/>
          </w:tcPr>
          <w:p>
            <w:pPr>
              <w:ind w:left="320"/>
              <w:spacing w:after="0"/>
              <w:rPr>
                <w:sz w:val="20"/>
                <w:szCs w:val="20"/>
                <w:color w:val="auto"/>
              </w:rPr>
            </w:pPr>
            <w:r>
              <w:rPr>
                <w:rFonts w:ascii="Arial" w:cs="Arial" w:eastAsia="Arial" w:hAnsi="Arial"/>
                <w:sz w:val="18"/>
                <w:szCs w:val="18"/>
                <w:color w:val="auto"/>
              </w:rPr>
              <w:t>July 1, 2017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2740" w:type="dxa"/>
            <w:vAlign w:val="bottom"/>
          </w:tcPr>
          <w:p>
            <w:pPr>
              <w:ind w:left="80"/>
              <w:spacing w:after="0"/>
              <w:rPr>
                <w:sz w:val="20"/>
                <w:szCs w:val="20"/>
                <w:color w:val="auto"/>
              </w:rPr>
            </w:pPr>
            <w:r>
              <w:rPr>
                <w:rFonts w:ascii="Arial" w:cs="Arial" w:eastAsia="Arial" w:hAnsi="Arial"/>
                <w:sz w:val="18"/>
                <w:szCs w:val="18"/>
                <w:color w:val="auto"/>
              </w:rPr>
              <w:t>Termination Date</w:t>
            </w:r>
          </w:p>
        </w:tc>
        <w:tc>
          <w:tcPr>
            <w:tcW w:w="1940" w:type="dxa"/>
            <w:vAlign w:val="bottom"/>
          </w:tcPr>
          <w:p>
            <w:pPr>
              <w:ind w:left="320"/>
              <w:spacing w:after="0"/>
              <w:rPr>
                <w:sz w:val="20"/>
                <w:szCs w:val="20"/>
                <w:color w:val="auto"/>
              </w:rPr>
            </w:pPr>
            <w:r>
              <w:rPr>
                <w:rFonts w:ascii="Arial" w:cs="Arial" w:eastAsia="Arial" w:hAnsi="Arial"/>
                <w:sz w:val="18"/>
                <w:szCs w:val="18"/>
                <w:color w:val="auto"/>
              </w:rPr>
              <w:t>December 31, 2022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(iii)</w:t>
            </w:r>
          </w:p>
        </w:tc>
        <w:tc>
          <w:tcPr>
            <w:tcW w:w="2740" w:type="dxa"/>
            <w:vAlign w:val="bottom"/>
          </w:tcPr>
          <w:p>
            <w:pPr>
              <w:ind w:left="80"/>
              <w:spacing w:after="0"/>
              <w:rPr>
                <w:sz w:val="20"/>
                <w:szCs w:val="20"/>
                <w:color w:val="auto"/>
              </w:rPr>
            </w:pPr>
            <w:r>
              <w:rPr>
                <w:rFonts w:ascii="Arial" w:cs="Arial" w:eastAsia="Arial" w:hAnsi="Arial"/>
                <w:sz w:val="18"/>
                <w:szCs w:val="18"/>
                <w:color w:val="auto"/>
              </w:rPr>
              <w:t>Product Descriptions</w:t>
            </w:r>
          </w:p>
        </w:tc>
        <w:tc>
          <w:tcPr>
            <w:tcW w:w="1940" w:type="dxa"/>
            <w:vAlign w:val="bottom"/>
          </w:tcPr>
          <w:p>
            <w:pPr>
              <w:ind w:left="320"/>
              <w:spacing w:after="0"/>
              <w:rPr>
                <w:sz w:val="20"/>
                <w:szCs w:val="20"/>
                <w:color w:val="auto"/>
              </w:rPr>
            </w:pPr>
            <w:r>
              <w:rPr>
                <w:rFonts w:ascii="Arial" w:cs="Arial" w:eastAsia="Arial" w:hAnsi="Arial"/>
                <w:sz w:val="18"/>
                <w:szCs w:val="18"/>
                <w:color w:val="auto"/>
              </w:rPr>
              <w:t>Schedule A (2(a))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(iv)</w:t>
            </w:r>
          </w:p>
        </w:tc>
        <w:tc>
          <w:tcPr>
            <w:tcW w:w="2740" w:type="dxa"/>
            <w:vAlign w:val="bottom"/>
          </w:tcPr>
          <w:p>
            <w:pPr>
              <w:ind w:left="80"/>
              <w:spacing w:after="0"/>
              <w:rPr>
                <w:sz w:val="20"/>
                <w:szCs w:val="20"/>
                <w:color w:val="auto"/>
              </w:rPr>
            </w:pPr>
            <w:r>
              <w:rPr>
                <w:rFonts w:ascii="Arial" w:cs="Arial" w:eastAsia="Arial" w:hAnsi="Arial"/>
                <w:sz w:val="18"/>
                <w:szCs w:val="18"/>
                <w:color w:val="auto"/>
              </w:rPr>
              <w:t>Records</w:t>
            </w:r>
          </w:p>
        </w:tc>
        <w:tc>
          <w:tcPr>
            <w:tcW w:w="1940" w:type="dxa"/>
            <w:vAlign w:val="bottom"/>
          </w:tcPr>
          <w:p>
            <w:pPr>
              <w:ind w:left="320"/>
              <w:spacing w:after="0"/>
              <w:rPr>
                <w:sz w:val="20"/>
                <w:szCs w:val="20"/>
                <w:color w:val="auto"/>
              </w:rPr>
            </w:pPr>
            <w:r>
              <w:rPr>
                <w:rFonts w:ascii="Arial" w:cs="Arial" w:eastAsia="Arial" w:hAnsi="Arial"/>
                <w:sz w:val="18"/>
                <w:szCs w:val="18"/>
                <w:color w:val="auto"/>
                <w:w w:val="90"/>
              </w:rPr>
              <w:t>Schedule B (2(i), 3(e))</w:t>
            </w:r>
          </w:p>
        </w:tc>
      </w:tr>
      <w:tr>
        <w:trPr>
          <w:trHeight w:val="309"/>
        </w:trPr>
        <w:tc>
          <w:tcPr>
            <w:tcW w:w="380" w:type="dxa"/>
            <w:vAlign w:val="bottom"/>
          </w:tcPr>
          <w:p>
            <w:pPr>
              <w:spacing w:after="0"/>
              <w:rPr>
                <w:sz w:val="20"/>
                <w:szCs w:val="20"/>
                <w:color w:val="auto"/>
              </w:rPr>
            </w:pPr>
            <w:r>
              <w:rPr>
                <w:rFonts w:ascii="Arial" w:cs="Arial" w:eastAsia="Arial" w:hAnsi="Arial"/>
                <w:sz w:val="18"/>
                <w:szCs w:val="18"/>
                <w:color w:val="auto"/>
              </w:rPr>
              <w:t>(v)</w:t>
            </w:r>
          </w:p>
        </w:tc>
        <w:tc>
          <w:tcPr>
            <w:tcW w:w="2740" w:type="dxa"/>
            <w:vAlign w:val="bottom"/>
          </w:tcPr>
          <w:p>
            <w:pPr>
              <w:ind w:left="80"/>
              <w:spacing w:after="0"/>
              <w:rPr>
                <w:sz w:val="20"/>
                <w:szCs w:val="20"/>
                <w:color w:val="auto"/>
              </w:rPr>
            </w:pPr>
            <w:r>
              <w:rPr>
                <w:rFonts w:ascii="Arial" w:cs="Arial" w:eastAsia="Arial" w:hAnsi="Arial"/>
                <w:sz w:val="18"/>
                <w:szCs w:val="18"/>
                <w:color w:val="auto"/>
              </w:rPr>
              <w:t>Ingredients/Materials/Packaging</w:t>
            </w:r>
          </w:p>
        </w:tc>
        <w:tc>
          <w:tcPr>
            <w:tcW w:w="1940" w:type="dxa"/>
            <w:vAlign w:val="bottom"/>
          </w:tcPr>
          <w:p>
            <w:pPr>
              <w:spacing w:after="0"/>
              <w:rPr>
                <w:sz w:val="24"/>
                <w:szCs w:val="24"/>
                <w:color w:val="auto"/>
              </w:rPr>
            </w:pPr>
          </w:p>
        </w:tc>
      </w:tr>
      <w:tr>
        <w:trPr>
          <w:trHeight w:val="244"/>
        </w:trPr>
        <w:tc>
          <w:tcPr>
            <w:tcW w:w="380" w:type="dxa"/>
            <w:vAlign w:val="bottom"/>
          </w:tcPr>
          <w:p>
            <w:pPr>
              <w:spacing w:after="0"/>
              <w:rPr>
                <w:sz w:val="21"/>
                <w:szCs w:val="21"/>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Purchased by Premier</w:t>
            </w:r>
          </w:p>
        </w:tc>
        <w:tc>
          <w:tcPr>
            <w:tcW w:w="1940" w:type="dxa"/>
            <w:vAlign w:val="bottom"/>
          </w:tcPr>
          <w:p>
            <w:pPr>
              <w:ind w:left="320"/>
              <w:spacing w:after="0"/>
              <w:rPr>
                <w:sz w:val="20"/>
                <w:szCs w:val="20"/>
                <w:color w:val="auto"/>
              </w:rPr>
            </w:pPr>
            <w:r>
              <w:rPr>
                <w:rFonts w:ascii="Arial" w:cs="Arial" w:eastAsia="Arial" w:hAnsi="Arial"/>
                <w:sz w:val="18"/>
                <w:szCs w:val="18"/>
                <w:color w:val="auto"/>
              </w:rPr>
              <w:t>Schedule C (3(b))</w:t>
            </w:r>
          </w:p>
        </w:tc>
      </w:tr>
    </w:tbl>
    <w:p>
      <w:pPr>
        <w:spacing w:after="0" w:line="94" w:lineRule="exact"/>
        <w:rPr>
          <w:sz w:val="20"/>
          <w:szCs w:val="20"/>
          <w:color w:val="auto"/>
        </w:rPr>
      </w:pPr>
    </w:p>
    <w:p>
      <w:pPr>
        <w:ind w:left="1820" w:hanging="454"/>
        <w:spacing w:after="0"/>
        <w:tabs>
          <w:tab w:leader="none" w:pos="18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Ingredient/Materials/Packaging</w:t>
      </w:r>
    </w:p>
    <w:p>
      <w:pPr>
        <w:spacing w:after="0" w:line="23"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Purchased by Heritage</w:t>
            </w:r>
          </w:p>
        </w:tc>
        <w:tc>
          <w:tcPr>
            <w:tcW w:w="1460" w:type="dxa"/>
            <w:vAlign w:val="bottom"/>
          </w:tcPr>
          <w:p>
            <w:pPr>
              <w:ind w:left="180"/>
              <w:spacing w:after="0"/>
              <w:rPr>
                <w:sz w:val="20"/>
                <w:szCs w:val="20"/>
                <w:color w:val="auto"/>
              </w:rPr>
            </w:pPr>
            <w:r>
              <w:rPr>
                <w:rFonts w:ascii="Arial" w:cs="Arial" w:eastAsia="Arial" w:hAnsi="Arial"/>
                <w:sz w:val="18"/>
                <w:szCs w:val="18"/>
                <w:color w:val="auto"/>
                <w:w w:val="89"/>
              </w:rPr>
              <w:t>Schedule C (3(c))</w:t>
            </w:r>
          </w:p>
        </w:tc>
      </w:tr>
      <w:tr>
        <w:trPr>
          <w:trHeight w:val="323"/>
        </w:trPr>
        <w:tc>
          <w:tcPr>
            <w:tcW w:w="420" w:type="dxa"/>
            <w:vAlign w:val="bottom"/>
          </w:tcPr>
          <w:p>
            <w:pPr>
              <w:spacing w:after="0"/>
              <w:rPr>
                <w:sz w:val="20"/>
                <w:szCs w:val="20"/>
                <w:color w:val="auto"/>
              </w:rPr>
            </w:pPr>
            <w:r>
              <w:rPr>
                <w:rFonts w:ascii="Arial" w:cs="Arial" w:eastAsia="Arial" w:hAnsi="Arial"/>
                <w:sz w:val="18"/>
                <w:szCs w:val="18"/>
                <w:color w:val="auto"/>
              </w:rPr>
              <w:t>(vii)</w:t>
            </w:r>
          </w:p>
        </w:tc>
        <w:tc>
          <w:tcPr>
            <w:tcW w:w="2840" w:type="dxa"/>
            <w:vAlign w:val="bottom"/>
          </w:tcPr>
          <w:p>
            <w:pPr>
              <w:ind w:left="40"/>
              <w:spacing w:after="0"/>
              <w:rPr>
                <w:sz w:val="20"/>
                <w:szCs w:val="20"/>
                <w:color w:val="auto"/>
              </w:rPr>
            </w:pPr>
            <w:r>
              <w:rPr>
                <w:rFonts w:ascii="Arial" w:cs="Arial" w:eastAsia="Arial" w:hAnsi="Arial"/>
                <w:sz w:val="18"/>
                <w:szCs w:val="18"/>
                <w:color w:val="auto"/>
              </w:rPr>
              <w:t>Material loss allowance</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C</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(viii)</w:t>
            </w:r>
          </w:p>
        </w:tc>
        <w:tc>
          <w:tcPr>
            <w:tcW w:w="2840" w:type="dxa"/>
            <w:vAlign w:val="bottom"/>
          </w:tcPr>
          <w:p>
            <w:pPr>
              <w:ind w:left="40"/>
              <w:spacing w:after="0"/>
              <w:rPr>
                <w:sz w:val="20"/>
                <w:szCs w:val="20"/>
                <w:color w:val="auto"/>
              </w:rPr>
            </w:pPr>
            <w:r>
              <w:rPr>
                <w:rFonts w:ascii="Arial" w:cs="Arial" w:eastAsia="Arial" w:hAnsi="Arial"/>
                <w:sz w:val="18"/>
                <w:szCs w:val="18"/>
                <w:color w:val="auto"/>
              </w:rPr>
              <w:t>Pricing and terms</w:t>
            </w:r>
          </w:p>
        </w:tc>
        <w:tc>
          <w:tcPr>
            <w:tcW w:w="1460" w:type="dxa"/>
            <w:vAlign w:val="bottom"/>
          </w:tcPr>
          <w:p>
            <w:pPr>
              <w:ind w:left="180"/>
              <w:spacing w:after="0"/>
              <w:rPr>
                <w:sz w:val="20"/>
                <w:szCs w:val="20"/>
                <w:color w:val="auto"/>
              </w:rPr>
            </w:pPr>
            <w:r>
              <w:rPr>
                <w:rFonts w:ascii="Arial" w:cs="Arial" w:eastAsia="Arial" w:hAnsi="Arial"/>
                <w:sz w:val="18"/>
                <w:szCs w:val="18"/>
                <w:color w:val="auto"/>
                <w:w w:val="93"/>
              </w:rPr>
              <w:t>Schedule C, 3(d)</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(ix)</w:t>
            </w:r>
          </w:p>
        </w:tc>
        <w:tc>
          <w:tcPr>
            <w:tcW w:w="2840" w:type="dxa"/>
            <w:vAlign w:val="bottom"/>
          </w:tcPr>
          <w:p>
            <w:pPr>
              <w:ind w:left="40"/>
              <w:spacing w:after="0"/>
              <w:rPr>
                <w:sz w:val="20"/>
                <w:szCs w:val="20"/>
                <w:color w:val="auto"/>
              </w:rPr>
            </w:pPr>
            <w:r>
              <w:rPr>
                <w:rFonts w:ascii="Arial" w:cs="Arial" w:eastAsia="Arial" w:hAnsi="Arial"/>
                <w:sz w:val="18"/>
                <w:szCs w:val="18"/>
                <w:color w:val="auto"/>
              </w:rPr>
              <w:t>Premier Contacts</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D</w:t>
            </w:r>
          </w:p>
        </w:tc>
      </w:tr>
      <w:tr>
        <w:trPr>
          <w:trHeight w:val="309"/>
        </w:trPr>
        <w:tc>
          <w:tcPr>
            <w:tcW w:w="420" w:type="dxa"/>
            <w:vAlign w:val="bottom"/>
          </w:tcPr>
          <w:p>
            <w:pPr>
              <w:spacing w:after="0"/>
              <w:rPr>
                <w:sz w:val="20"/>
                <w:szCs w:val="20"/>
                <w:color w:val="auto"/>
              </w:rPr>
            </w:pPr>
            <w:r>
              <w:rPr>
                <w:rFonts w:ascii="Arial" w:cs="Arial" w:eastAsia="Arial" w:hAnsi="Arial"/>
                <w:sz w:val="18"/>
                <w:szCs w:val="18"/>
                <w:color w:val="auto"/>
              </w:rPr>
              <w:t>(x)</w:t>
            </w:r>
          </w:p>
        </w:tc>
        <w:tc>
          <w:tcPr>
            <w:tcW w:w="2840" w:type="dxa"/>
            <w:vAlign w:val="bottom"/>
          </w:tcPr>
          <w:p>
            <w:pPr>
              <w:ind w:left="40"/>
              <w:spacing w:after="0"/>
              <w:rPr>
                <w:sz w:val="20"/>
                <w:szCs w:val="20"/>
                <w:color w:val="auto"/>
              </w:rPr>
            </w:pPr>
            <w:r>
              <w:rPr>
                <w:rFonts w:ascii="Arial" w:cs="Arial" w:eastAsia="Arial" w:hAnsi="Arial"/>
                <w:sz w:val="18"/>
                <w:szCs w:val="18"/>
                <w:color w:val="auto"/>
                <w:w w:val="97"/>
              </w:rPr>
              <w:t>Post Holdings’ Quality Expectations</w:t>
            </w:r>
          </w:p>
        </w:tc>
        <w:tc>
          <w:tcPr>
            <w:tcW w:w="14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rPr>
              <w:t>Manual</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E</w:t>
            </w:r>
          </w:p>
        </w:tc>
      </w:tr>
      <w:tr>
        <w:trPr>
          <w:trHeight w:val="364"/>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60" w:type="dxa"/>
            <w:vAlign w:val="bottom"/>
          </w:tcPr>
          <w:p>
            <w:pPr>
              <w:ind w:left="82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00"/>
          </w:cols>
          <w:pgMar w:left="460" w:top="121" w:right="439" w:bottom="1440" w:gutter="0" w:footer="0" w:header="0"/>
        </w:sectPr>
      </w:pPr>
    </w:p>
    <w:bookmarkStart w:id="512" w:name="page513"/>
    <w:bookmarkEnd w:id="512"/>
    <w:p>
      <w:pPr>
        <w:ind w:left="10" w:right="140" w:firstLine="981"/>
        <w:spacing w:after="0" w:line="277" w:lineRule="auto"/>
        <w:tabs>
          <w:tab w:leader="none" w:pos="1387" w:val="left"/>
        </w:tabs>
        <w:numPr>
          <w:ilvl w:val="2"/>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of this Agreement will commence on the Commencement Date and will continue through December 31, 2022 or until this Agreement is otherwise terminated in accordance with its provisions (“Term”).</w:t>
      </w:r>
    </w:p>
    <w:p>
      <w:pPr>
        <w:spacing w:after="0" w:line="314" w:lineRule="exact"/>
        <w:rPr>
          <w:rFonts w:ascii="Arial" w:cs="Arial" w:eastAsia="Arial" w:hAnsi="Arial"/>
          <w:sz w:val="18"/>
          <w:szCs w:val="18"/>
          <w:color w:val="auto"/>
        </w:rPr>
      </w:pPr>
    </w:p>
    <w:p>
      <w:pPr>
        <w:ind w:left="970" w:hanging="538"/>
        <w:spacing w:after="0"/>
        <w:tabs>
          <w:tab w:leader="none" w:pos="970" w:val="left"/>
        </w:tabs>
        <w:numPr>
          <w:ilvl w:val="1"/>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OF PRODUCT</w:t>
      </w:r>
    </w:p>
    <w:p>
      <w:pPr>
        <w:spacing w:after="0" w:line="120" w:lineRule="exact"/>
        <w:rPr>
          <w:rFonts w:ascii="Arial" w:cs="Arial" w:eastAsia="Arial" w:hAnsi="Arial"/>
          <w:sz w:val="18"/>
          <w:szCs w:val="18"/>
          <w:b w:val="1"/>
          <w:bCs w:val="1"/>
          <w:color w:val="auto"/>
        </w:rPr>
      </w:pPr>
    </w:p>
    <w:p>
      <w:pPr>
        <w:ind w:left="10" w:right="20" w:firstLine="981"/>
        <w:spacing w:after="0" w:line="272" w:lineRule="auto"/>
        <w:tabs>
          <w:tab w:leader="none" w:pos="1380" w:val="left"/>
        </w:tabs>
        <w:numPr>
          <w:ilvl w:val="2"/>
          <w:numId w:val="468"/>
        </w:numPr>
        <w:rPr>
          <w:rFonts w:ascii="Arial" w:cs="Arial" w:eastAsia="Arial" w:hAnsi="Arial"/>
          <w:sz w:val="17"/>
          <w:szCs w:val="17"/>
          <w:color w:val="auto"/>
        </w:rPr>
      </w:pPr>
      <w:r>
        <w:rPr>
          <w:rFonts w:ascii="Arial" w:cs="Arial" w:eastAsia="Arial" w:hAnsi="Arial"/>
          <w:sz w:val="17"/>
          <w:szCs w:val="17"/>
          <w:color w:val="auto"/>
        </w:rPr>
        <w:t>Heritage shall produce the products described on Schedule A attached hereto, as may be amended by the Parties hereafter from time to time (the “Products”), for Premier at [***] Heritage’s or Heritage’s wholly owned subsidiary, Jasper’s, [***] (the “Facilities”). [***] For the purposes of this paragraph, [***] facilities located at [***] are considered one Facility. Any facility that Heritage wishes to use, other than [***] to manufacture the Products must be approved by Premier in writing, in advance. For the avoidance of doubt, Heritage’s [***] facility must be approved by Premier before it may be used to manufacture the Products. Such facility approvals shall not be unreasonably withheld or delayed. Premier’s facility approval will be based, in part, on the successful completion of a trial production run that is sufficient in meeting finished product specifications, and an evaluation of the stability and specifications of trial production product within [***] of the trial production run.</w:t>
      </w:r>
    </w:p>
    <w:p>
      <w:pPr>
        <w:spacing w:after="0" w:line="175" w:lineRule="exact"/>
        <w:rPr>
          <w:rFonts w:ascii="Arial" w:cs="Arial" w:eastAsia="Arial" w:hAnsi="Arial"/>
          <w:sz w:val="17"/>
          <w:szCs w:val="17"/>
          <w:color w:val="auto"/>
        </w:rPr>
      </w:pPr>
    </w:p>
    <w:p>
      <w:pPr>
        <w:ind w:left="10" w:right="500" w:firstLine="981"/>
        <w:spacing w:after="0" w:line="307" w:lineRule="auto"/>
        <w:tabs>
          <w:tab w:leader="none" w:pos="1390" w:val="left"/>
        </w:tabs>
        <w:numPr>
          <w:ilvl w:val="2"/>
          <w:numId w:val="468"/>
        </w:numPr>
        <w:rPr>
          <w:rFonts w:ascii="Arial" w:cs="Arial" w:eastAsia="Arial" w:hAnsi="Arial"/>
          <w:sz w:val="17"/>
          <w:szCs w:val="17"/>
          <w:color w:val="auto"/>
        </w:rPr>
      </w:pPr>
      <w:r>
        <w:rPr>
          <w:rFonts w:ascii="Arial" w:cs="Arial" w:eastAsia="Arial" w:hAnsi="Arial"/>
          <w:sz w:val="17"/>
          <w:szCs w:val="17"/>
          <w:color w:val="auto"/>
        </w:rPr>
        <w:t>Heritage and Premier agree that all Products subject to this Agreement, and their current and subsequently modified respective formulas are confidential and proprietary, and the sole property of Premier unless otherwise agreed in writing by both Parties.</w:t>
      </w:r>
    </w:p>
    <w:p>
      <w:pPr>
        <w:spacing w:after="0" w:line="147" w:lineRule="exact"/>
        <w:rPr>
          <w:rFonts w:ascii="Arial" w:cs="Arial" w:eastAsia="Arial" w:hAnsi="Arial"/>
          <w:sz w:val="17"/>
          <w:szCs w:val="17"/>
          <w:color w:val="auto"/>
        </w:rPr>
      </w:pPr>
    </w:p>
    <w:p>
      <w:pPr>
        <w:ind w:left="10" w:right="20" w:firstLine="981"/>
        <w:spacing w:after="0" w:line="259" w:lineRule="auto"/>
        <w:tabs>
          <w:tab w:leader="none" w:pos="138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Minimum Annual Order Volume. During the Term of this Agreement, Premier shall be required to purchase a Minimum Annual Order Volume (“MAOV”) of [***] (“Units”) for each twelve-month period commencing July 1, 2017, and for the six-month period commencing July 1, 2022 and ending December 31, 2022, Premier will be required to purchase [***] Units (the twelve-month periods and the six month period are each a “Contract Period”).</w:t>
      </w:r>
    </w:p>
    <w:p>
      <w:pPr>
        <w:spacing w:after="0" w:line="185" w:lineRule="exact"/>
        <w:rPr>
          <w:rFonts w:ascii="Arial" w:cs="Arial" w:eastAsia="Arial" w:hAnsi="Arial"/>
          <w:sz w:val="18"/>
          <w:szCs w:val="18"/>
          <w:color w:val="auto"/>
        </w:rPr>
      </w:pPr>
    </w:p>
    <w:p>
      <w:pPr>
        <w:ind w:left="10" w:right="20" w:firstLine="981"/>
        <w:spacing w:after="0" w:line="263" w:lineRule="auto"/>
        <w:tabs>
          <w:tab w:leader="none" w:pos="139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During the Term, Premier shall have the right (but not the obligation) to order from Heritage quantities of Products in excess of [***] and provided Heritage has the capacity and the ability to produce such additional quantities of Products, Heritage agrees to produce such additional quantities per the pricing and terms on Schedule C.</w:t>
      </w:r>
    </w:p>
    <w:p>
      <w:pPr>
        <w:spacing w:after="0" w:line="182" w:lineRule="exact"/>
        <w:rPr>
          <w:rFonts w:ascii="Arial" w:cs="Arial" w:eastAsia="Arial" w:hAnsi="Arial"/>
          <w:sz w:val="18"/>
          <w:szCs w:val="18"/>
          <w:color w:val="auto"/>
        </w:rPr>
      </w:pPr>
    </w:p>
    <w:p>
      <w:pPr>
        <w:ind w:left="1370" w:hanging="379"/>
        <w:spacing w:after="0"/>
        <w:tabs>
          <w:tab w:leader="none" w:pos="137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350" w:hanging="359"/>
        <w:spacing w:after="0"/>
        <w:tabs>
          <w:tab w:leader="none" w:pos="135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0" w:right="260" w:firstLine="981"/>
        <w:spacing w:after="0" w:line="287" w:lineRule="auto"/>
        <w:tabs>
          <w:tab w:leader="none" w:pos="1387" w:val="left"/>
        </w:tabs>
        <w:numPr>
          <w:ilvl w:val="2"/>
          <w:numId w:val="468"/>
        </w:numPr>
        <w:rPr>
          <w:rFonts w:ascii="Arial" w:cs="Arial" w:eastAsia="Arial" w:hAnsi="Arial"/>
          <w:sz w:val="16"/>
          <w:szCs w:val="16"/>
          <w:color w:val="auto"/>
        </w:rPr>
      </w:pPr>
      <w:r>
        <w:rPr>
          <w:rFonts w:ascii="Arial" w:cs="Arial" w:eastAsia="Arial" w:hAnsi="Arial"/>
          <w:sz w:val="16"/>
          <w:szCs w:val="16"/>
          <w:color w:val="auto"/>
        </w:rPr>
        <w:t>Within [***] of each calendar month during the Term, Premier shall provide to Heritage a [***] rolling production forecast which shall set forth Premier’s non-binding good faith estimated purchases (each, a “Forecast”) for the [***] period commencing on the date thereof (the “Forecast Delivery Date”). Each Forecast shall also designate which Facility shall manufacture the Products set forth in such Forecast (i.e. Heritage’s</w:t>
      </w:r>
    </w:p>
    <w:p>
      <w:pPr>
        <w:spacing w:after="0" w:line="1" w:lineRule="exact"/>
        <w:rPr>
          <w:rFonts w:ascii="Arial" w:cs="Arial" w:eastAsia="Arial" w:hAnsi="Arial"/>
          <w:sz w:val="16"/>
          <w:szCs w:val="16"/>
          <w:color w:val="auto"/>
        </w:rPr>
      </w:pPr>
    </w:p>
    <w:p>
      <w:pPr>
        <w:ind w:left="10" w:hanging="10"/>
        <w:spacing w:after="0" w:line="255" w:lineRule="auto"/>
        <w:tabs>
          <w:tab w:leader="none" w:pos="44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Facility, Jasper’s [***] Facility, or some other facility agreed to by the Parties). Heritage shall notify Premier, in writing (or email), within [***] of each Forecast Delivery Date, if Heritage’s or Jasper’s Facilities will not be able to fulfill Premier’s estimated purchases as set out in the [***] of such Forecast. For the avoidance of doubt, the [***] are</w:t>
      </w:r>
    </w:p>
    <w:p>
      <w:pPr>
        <w:spacing w:after="0" w:line="12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4" w:right="459" w:bottom="1440" w:gutter="0" w:footer="0" w:header="0"/>
        </w:sectPr>
      </w:pPr>
    </w:p>
    <w:bookmarkStart w:id="513" w:name="page514"/>
    <w:bookmarkEnd w:id="513"/>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 immediately following the Forecast Delivery Date. If Heritage notifies Premier that it can fulfill Premier’s Forecast for this [***] period, or if it fails to notify Premier that it cannot fulfill that portion of the Forecast, Heritage shall be obligated to fulfill, or cause Jasper to fulfill as applicable, if ordered through POs, the full amount of Product set forth for purchase during [***] (“Firm Forecast”).</w:t>
      </w:r>
    </w:p>
    <w:p>
      <w:pPr>
        <w:spacing w:after="0" w:line="183" w:lineRule="exact"/>
        <w:rPr>
          <w:sz w:val="20"/>
          <w:szCs w:val="20"/>
          <w:color w:val="auto"/>
        </w:rPr>
      </w:pPr>
    </w:p>
    <w:p>
      <w:pPr>
        <w:ind w:right="20" w:firstLine="981"/>
        <w:spacing w:after="0" w:line="259" w:lineRule="auto"/>
        <w:tabs>
          <w:tab w:leader="none" w:pos="1377" w:val="left"/>
        </w:tabs>
        <w:numPr>
          <w:ilvl w:val="0"/>
          <w:numId w:val="469"/>
        </w:numPr>
        <w:rPr>
          <w:rFonts w:ascii="Arial" w:cs="Arial" w:eastAsia="Arial" w:hAnsi="Arial"/>
          <w:sz w:val="18"/>
          <w:szCs w:val="18"/>
          <w:color w:val="auto"/>
        </w:rPr>
      </w:pPr>
      <w:r>
        <w:rPr>
          <w:rFonts w:ascii="Arial" w:cs="Arial" w:eastAsia="Arial" w:hAnsi="Arial"/>
          <w:sz w:val="18"/>
          <w:szCs w:val="18"/>
          <w:color w:val="auto"/>
        </w:rPr>
        <w:t>Within the [***] of each calendar month during the Term, Heritage shall provide to Premier a [***] rolling production forecast which shall set forth Heritage’s good faith estimated maximum monthly unit volume (“Maximum Volume”) for each Facility during such [***] period. Modifications to the Maximum Volume shall be negotiated in good faith and agreed upon by both Parties in writing or email by the [***] of the calendar month.</w:t>
      </w:r>
    </w:p>
    <w:p>
      <w:pPr>
        <w:spacing w:after="0" w:line="185" w:lineRule="exact"/>
        <w:rPr>
          <w:rFonts w:ascii="Arial" w:cs="Arial" w:eastAsia="Arial" w:hAnsi="Arial"/>
          <w:sz w:val="18"/>
          <w:szCs w:val="18"/>
          <w:color w:val="auto"/>
        </w:rPr>
      </w:pPr>
    </w:p>
    <w:p>
      <w:pPr>
        <w:ind w:right="140" w:firstLine="981"/>
        <w:spacing w:after="0" w:line="263" w:lineRule="auto"/>
        <w:tabs>
          <w:tab w:leader="none" w:pos="13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Premier shall provide Heritage with Purchase Orders (or “POs”) [***] in advance of the date referred to as the “Due Date” in such POs. The POs, at a minimum, will give the Products and quantities ordered, the Due Date requested, and designate which Facility will manufacture the Products. “Due Date” shall mean the production start date requested by Premier.</w:t>
      </w:r>
    </w:p>
    <w:p>
      <w:pPr>
        <w:spacing w:after="0" w:line="182" w:lineRule="exact"/>
        <w:rPr>
          <w:rFonts w:ascii="Arial" w:cs="Arial" w:eastAsia="Arial" w:hAnsi="Arial"/>
          <w:sz w:val="18"/>
          <w:szCs w:val="18"/>
          <w:color w:val="auto"/>
        </w:rPr>
      </w:pPr>
    </w:p>
    <w:p>
      <w:pPr>
        <w:ind w:firstLine="981"/>
        <w:spacing w:after="0" w:line="291" w:lineRule="auto"/>
        <w:tabs>
          <w:tab w:leader="none" w:pos="1337" w:val="left"/>
        </w:tabs>
        <w:numPr>
          <w:ilvl w:val="0"/>
          <w:numId w:val="469"/>
        </w:numPr>
        <w:rPr>
          <w:rFonts w:ascii="Arial" w:cs="Arial" w:eastAsia="Arial" w:hAnsi="Arial"/>
          <w:sz w:val="16"/>
          <w:szCs w:val="16"/>
          <w:color w:val="auto"/>
        </w:rPr>
      </w:pPr>
      <w:r>
        <w:rPr>
          <w:rFonts w:ascii="Arial" w:cs="Arial" w:eastAsia="Arial" w:hAnsi="Arial"/>
          <w:sz w:val="16"/>
          <w:szCs w:val="16"/>
          <w:color w:val="auto"/>
        </w:rPr>
        <w:t>Within [***] of receipt of a PO, Heritage shall (i) provide to Premier email confirmation of acceptance of the PO, a schedule of production and an estimated production completion date (the “Estimated Completion Date”), or (ii) notify Premier if any term of the PO cannot be met. Heritage’s failure to notify Premier, within the time specified herein, of an inability to meet a term of the PO shall constitute acceptance of such PO in its entirety. If Heritage notifies Premier that it or Jasper cannot meet the Due Date, the Parties shall discuss an acceptable alternate date on which production will commence (the “Production Date”). Once a Due Date is accepted or a Production Date is mutually agreed upon, Heritage shall, or shall cause Jasper to, use all commercially reasonable efforts to start production on or before the Due Date (or Production Date, as applicable), but in no case more than [***] earlier or later than the Due Date (or Production Date, as applicable) unless mutually agreed otherwise by Premier.</w:t>
      </w:r>
    </w:p>
    <w:p>
      <w:pPr>
        <w:spacing w:after="0" w:line="165" w:lineRule="exact"/>
        <w:rPr>
          <w:rFonts w:ascii="Arial" w:cs="Arial" w:eastAsia="Arial" w:hAnsi="Arial"/>
          <w:sz w:val="16"/>
          <w:szCs w:val="16"/>
          <w:color w:val="auto"/>
        </w:rPr>
      </w:pPr>
    </w:p>
    <w:p>
      <w:pPr>
        <w:ind w:right="100" w:firstLine="981"/>
        <w:spacing w:after="0" w:line="256" w:lineRule="auto"/>
        <w:tabs>
          <w:tab w:leader="none" w:pos="13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If PREMIER requests that Products be produced at the Heritage Facility, Heritage may either produce such Products at the Heritage Facility or cause Jasper to produce such Products at the Jasper Facility, in which case Heritage shall be responsible for all shipping costs of transporting the Products to the Heritage Facility. If Premier requests that Products be produced at the Jasper Facility, Heritage may either cause Jasper to produce such Products at the Jasper Facility or produce such Products at the Heritage Facility, in which case Heritage shall be responsible for all shipping costs of transporting the Products to the Jasper Facility.</w:t>
      </w:r>
    </w:p>
    <w:p>
      <w:pPr>
        <w:spacing w:after="0" w:line="191" w:lineRule="exact"/>
        <w:rPr>
          <w:rFonts w:ascii="Arial" w:cs="Arial" w:eastAsia="Arial" w:hAnsi="Arial"/>
          <w:sz w:val="18"/>
          <w:szCs w:val="18"/>
          <w:color w:val="auto"/>
        </w:rPr>
      </w:pPr>
    </w:p>
    <w:p>
      <w:pPr>
        <w:ind w:right="40" w:firstLine="981"/>
        <w:spacing w:after="0" w:line="259" w:lineRule="auto"/>
        <w:tabs>
          <w:tab w:leader="none" w:pos="13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If a PO is accepted by Heritage as described in Section 2(j) above but such PO is not filled in accordance with its terms, or if Heritage or Jasper, as applicable, fails to complete production of the Products [***], Premier shall have the right to use an alternate co-packer for the Products specified in the PO and Heritage shall, or shall cause Jasper to, provide Premier with Premier owned packaging needed to support such production by an alternate co-packer.</w:t>
      </w:r>
    </w:p>
    <w:p>
      <w:pPr>
        <w:spacing w:after="0" w:line="185" w:lineRule="exact"/>
        <w:rPr>
          <w:rFonts w:ascii="Arial" w:cs="Arial" w:eastAsia="Arial" w:hAnsi="Arial"/>
          <w:sz w:val="18"/>
          <w:szCs w:val="18"/>
          <w:color w:val="auto"/>
        </w:rPr>
      </w:pPr>
    </w:p>
    <w:p>
      <w:pPr>
        <w:ind w:right="60" w:firstLine="981"/>
        <w:spacing w:after="0" w:line="271" w:lineRule="auto"/>
        <w:tabs>
          <w:tab w:leader="none" w:pos="143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Purchase Orders will be Premier’s best estimate of its current requirements, but may be amended up or down or canceled in their entirety by Premier to reflect changing demand for Products. The final Unit quantities on Premier’s Purchase Orders will count towards the MAOV. However, if (i) any increase or decrease in Unit volume under a particular PO is greater than [***] of the initial PO quantity and (ii) Premier requests such change or cancellation within the [***] period prior to the Due Date (or Production Date, as applicable) (the “[***] Period”), Heritage in its sole discretion, may charge Premier [***]. In no event shall Premier pay [***] if (i) it cancels or modifies any PO prior to the commencement of the [***] Period (i.e.; prior to the commencement of the [***] period preceding the Due Date (or Production Date, as applicable), (ii) Heritage or Jasper fails to timely start production in the [***] period before or after the Due Date (or Production Date, as applicable), or (iii) the basis for Premier’s cancellation is a breach by Heritage of its obligations, representations or warranties 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514" w:name="page515"/>
    <w:bookmarkEnd w:id="514"/>
    <w:p>
      <w:pPr>
        <w:ind w:left="10" w:firstLine="981"/>
        <w:spacing w:after="0" w:line="275" w:lineRule="auto"/>
        <w:tabs>
          <w:tab w:leader="none" w:pos="1390" w:val="left"/>
        </w:tabs>
        <w:numPr>
          <w:ilvl w:val="1"/>
          <w:numId w:val="4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shall within [***] after the end of the production run, notify Premier via email of the final estimated production quantity and the estimated quantity, including losses, of all Premier-supplied materials used. If the final production quantity for any accepted PO is less than [***] of the PO quantity ordered, or if the quantity of production released for shipment within [***] from the last day of production is less than [***] of the PO quantity, upon request by Premier, Heritage shall take all commercially reasonable steps to produce or replace the shortfall within [***]. The final production quantity by Heritage and Jasper will count towards the MAOV requirements.</w:t>
      </w:r>
    </w:p>
    <w:p>
      <w:pPr>
        <w:spacing w:after="0" w:line="175" w:lineRule="exact"/>
        <w:rPr>
          <w:rFonts w:ascii="Arial" w:cs="Arial" w:eastAsia="Arial" w:hAnsi="Arial"/>
          <w:sz w:val="17"/>
          <w:szCs w:val="17"/>
          <w:color w:val="auto"/>
        </w:rPr>
      </w:pPr>
    </w:p>
    <w:p>
      <w:pPr>
        <w:ind w:left="1390" w:hanging="399"/>
        <w:spacing w:after="0"/>
        <w:tabs>
          <w:tab w:leader="none" w:pos="139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Heritage represents and warrants that:</w:t>
      </w:r>
    </w:p>
    <w:p>
      <w:pPr>
        <w:spacing w:after="0" w:line="224" w:lineRule="exact"/>
        <w:rPr>
          <w:rFonts w:ascii="Arial" w:cs="Arial" w:eastAsia="Arial" w:hAnsi="Arial"/>
          <w:sz w:val="18"/>
          <w:szCs w:val="18"/>
          <w:color w:val="auto"/>
        </w:rPr>
      </w:pPr>
    </w:p>
    <w:p>
      <w:pPr>
        <w:ind w:left="10" w:right="60" w:firstLine="1421"/>
        <w:spacing w:after="0" w:line="273" w:lineRule="auto"/>
        <w:tabs>
          <w:tab w:leader="none" w:pos="1780" w:val="left"/>
        </w:tabs>
        <w:numPr>
          <w:ilvl w:val="2"/>
          <w:numId w:val="470"/>
        </w:numPr>
        <w:rPr>
          <w:rFonts w:ascii="Arial" w:cs="Arial" w:eastAsia="Arial" w:hAnsi="Arial"/>
          <w:sz w:val="17"/>
          <w:szCs w:val="17"/>
          <w:color w:val="auto"/>
        </w:rPr>
      </w:pPr>
      <w:r>
        <w:rPr>
          <w:rFonts w:ascii="Arial" w:cs="Arial" w:eastAsia="Arial" w:hAnsi="Arial"/>
          <w:sz w:val="17"/>
          <w:szCs w:val="17"/>
          <w:color w:val="auto"/>
        </w:rPr>
        <w:t>All Products manufactured, packaged and delivered by Heritage or Jasper under the terms of this Agreement shall conform to the specifications supplied to Heritage by Premier as listed on Schedule A, which Schedule may from time to time be modified by Premier in writing (the “Specifications”), shall conform to Post Holdings’ Quality Expectations Manual attached hereto as Schedule E, and shall conform in all material respects to samples previously supplied to Premier by Heritage. No change in Specifications shall be binding on Heritage until Premier has provided written Specifications for each SKU, and each Specification is signed and dated by the Parties. Any additional net cost increases or decreases associated with any modifications to Premier’s Specifications shall be borne by or credited to Premier.</w:t>
      </w:r>
    </w:p>
    <w:p>
      <w:pPr>
        <w:spacing w:after="0" w:line="176" w:lineRule="exact"/>
        <w:rPr>
          <w:rFonts w:ascii="Arial" w:cs="Arial" w:eastAsia="Arial" w:hAnsi="Arial"/>
          <w:sz w:val="17"/>
          <w:szCs w:val="17"/>
          <w:color w:val="auto"/>
        </w:rPr>
      </w:pPr>
    </w:p>
    <w:p>
      <w:pPr>
        <w:ind w:left="10" w:right="80" w:firstLine="1421"/>
        <w:spacing w:after="0" w:line="275" w:lineRule="auto"/>
        <w:tabs>
          <w:tab w:leader="none" w:pos="1840" w:val="left"/>
        </w:tabs>
        <w:numPr>
          <w:ilvl w:val="2"/>
          <w:numId w:val="470"/>
        </w:numPr>
        <w:rPr>
          <w:rFonts w:ascii="Arial" w:cs="Arial" w:eastAsia="Arial" w:hAnsi="Arial"/>
          <w:sz w:val="17"/>
          <w:szCs w:val="17"/>
          <w:color w:val="auto"/>
        </w:rPr>
      </w:pPr>
      <w:r>
        <w:rPr>
          <w:rFonts w:ascii="Arial" w:cs="Arial" w:eastAsia="Arial" w:hAnsi="Arial"/>
          <w:sz w:val="17"/>
          <w:szCs w:val="17"/>
          <w:color w:val="auto"/>
        </w:rPr>
        <w:t>Heritage and Jasper will comply with all laws and regulations applicable to production of the Products, including without limitation, the laws and regulations of the United States Food and Drug Administration (“FDA”), United States Public Health Service (“PHS”), and any and all other applicable federal, state and local laws and regulations. Heritage warrants that the Products shall be released free from defects in workmanship and shall be manufactured in accordance with this Agreement and 21 C.F.R. Part 110 which is entitled “Current Good Manufacturing Practice in Manufacturing, Packing or Holding Human Food” and as it may be amended from time-to-time.</w:t>
      </w:r>
    </w:p>
    <w:p>
      <w:pPr>
        <w:spacing w:after="0" w:line="175" w:lineRule="exact"/>
        <w:rPr>
          <w:rFonts w:ascii="Arial" w:cs="Arial" w:eastAsia="Arial" w:hAnsi="Arial"/>
          <w:sz w:val="17"/>
          <w:szCs w:val="17"/>
          <w:color w:val="auto"/>
        </w:rPr>
      </w:pPr>
    </w:p>
    <w:p>
      <w:pPr>
        <w:ind w:left="10" w:right="160" w:firstLine="1421"/>
        <w:spacing w:after="0" w:line="277" w:lineRule="auto"/>
        <w:tabs>
          <w:tab w:leader="none" w:pos="1887" w:val="left"/>
        </w:tabs>
        <w:numPr>
          <w:ilvl w:val="2"/>
          <w:numId w:val="470"/>
        </w:numPr>
        <w:rPr>
          <w:rFonts w:ascii="Arial" w:cs="Arial" w:eastAsia="Arial" w:hAnsi="Arial"/>
          <w:sz w:val="18"/>
          <w:szCs w:val="18"/>
          <w:color w:val="auto"/>
        </w:rPr>
      </w:pPr>
      <w:r>
        <w:rPr>
          <w:rFonts w:ascii="Arial" w:cs="Arial" w:eastAsia="Arial" w:hAnsi="Arial"/>
          <w:sz w:val="18"/>
          <w:szCs w:val="18"/>
          <w:color w:val="auto"/>
        </w:rPr>
        <w:t>The Products, when delivered to Premier in accordance with this Agreement, shall be free of contaminants, merchantable, fit for intended use and shall not be adulterated within the meaning of the Federal Food, Drug and Cosmetic Act.</w:t>
      </w:r>
    </w:p>
    <w:p>
      <w:pPr>
        <w:spacing w:after="0" w:line="169" w:lineRule="exact"/>
        <w:rPr>
          <w:rFonts w:ascii="Arial" w:cs="Arial" w:eastAsia="Arial" w:hAnsi="Arial"/>
          <w:sz w:val="18"/>
          <w:szCs w:val="18"/>
          <w:color w:val="auto"/>
        </w:rPr>
      </w:pPr>
    </w:p>
    <w:p>
      <w:pPr>
        <w:ind w:left="10" w:right="280" w:firstLine="1421"/>
        <w:spacing w:after="0" w:line="263" w:lineRule="auto"/>
        <w:tabs>
          <w:tab w:leader="none" w:pos="1880" w:val="left"/>
        </w:tabs>
        <w:numPr>
          <w:ilvl w:val="2"/>
          <w:numId w:val="470"/>
        </w:numPr>
        <w:rPr>
          <w:rFonts w:ascii="Arial" w:cs="Arial" w:eastAsia="Arial" w:hAnsi="Arial"/>
          <w:sz w:val="18"/>
          <w:szCs w:val="18"/>
          <w:color w:val="auto"/>
        </w:rPr>
      </w:pPr>
      <w:r>
        <w:rPr>
          <w:rFonts w:ascii="Arial" w:cs="Arial" w:eastAsia="Arial" w:hAnsi="Arial"/>
          <w:sz w:val="18"/>
          <w:szCs w:val="18"/>
          <w:color w:val="auto"/>
        </w:rPr>
        <w:t>Heritage and Jasper hold all permits and licenses required for Heritage and/or Jasper to manufacture the Products under the Agreement. Heritage will obtain, and shall ensure that Jasper obtains, all ingredients and packaging materials from suppliers that are approved by Premier in writing.</w:t>
      </w:r>
    </w:p>
    <w:p>
      <w:pPr>
        <w:spacing w:after="0" w:line="182" w:lineRule="exact"/>
        <w:rPr>
          <w:rFonts w:ascii="Arial" w:cs="Arial" w:eastAsia="Arial" w:hAnsi="Arial"/>
          <w:sz w:val="18"/>
          <w:szCs w:val="18"/>
          <w:color w:val="auto"/>
        </w:rPr>
      </w:pPr>
    </w:p>
    <w:p>
      <w:pPr>
        <w:ind w:left="10" w:firstLine="981"/>
        <w:spacing w:after="0" w:line="283" w:lineRule="auto"/>
        <w:tabs>
          <w:tab w:leader="none" w:pos="1390" w:val="left"/>
        </w:tabs>
        <w:numPr>
          <w:ilvl w:val="1"/>
          <w:numId w:val="470"/>
        </w:numPr>
        <w:rPr>
          <w:rFonts w:ascii="Arial" w:cs="Arial" w:eastAsia="Arial" w:hAnsi="Arial"/>
          <w:sz w:val="16"/>
          <w:szCs w:val="16"/>
          <w:color w:val="auto"/>
        </w:rPr>
      </w:pPr>
      <w:r>
        <w:rPr>
          <w:rFonts w:ascii="Arial" w:cs="Arial" w:eastAsia="Arial" w:hAnsi="Arial"/>
          <w:sz w:val="16"/>
          <w:szCs w:val="16"/>
          <w:color w:val="auto"/>
        </w:rPr>
        <w:t>Upon reasonable notice, and during normal operating hours, Heritage shall permit Premier or its representatives reasonable access to portions of the Heritage Facilities, the Jasper Facility or any other Facility used to produce the Products for the purpose of ascertaining Heritage’s and Jasper’s compliance with good manufacturing practices and Premier’s Specifications and Post Holdings’ Quality Expectations. Heritage agrees to disclose to Premier and provide a list, upon request, of any material violations or deficiencies noted during any inspection by the FDA, United States Department of Agriculture, PHS, or any other federal, state or local health or food regulatory agency of the Heritage Facilities, Jasper Facility or any other Facility used to produce the Products, which have a material adverse effect on the manufacture or packaging of the Products. Heritage agrees to provide to Premier each FDA Form 483 and any related Establishment Inspection Report (“EIR”) that is received from the FDA by Heritage or Jasper, along with any response provided to the regulatory authority by Heritage or Jasper, as long as this Agreement is in effect. Heritage agrees to do so within</w:t>
      </w:r>
    </w:p>
    <w:p>
      <w:pPr>
        <w:spacing w:after="0" w:line="5" w:lineRule="exact"/>
        <w:rPr>
          <w:rFonts w:ascii="Arial" w:cs="Arial" w:eastAsia="Arial" w:hAnsi="Arial"/>
          <w:sz w:val="16"/>
          <w:szCs w:val="16"/>
          <w:color w:val="auto"/>
        </w:rPr>
      </w:pPr>
    </w:p>
    <w:p>
      <w:pPr>
        <w:ind w:left="10" w:right="40" w:hanging="10"/>
        <w:spacing w:after="0" w:line="255" w:lineRule="auto"/>
        <w:tabs>
          <w:tab w:leader="none" w:pos="44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of Heritage or Jasper receiving the Report or of sending the response as appropriate. If Heritage wishes to redact any material from any EIR, it shall indicate that deletion by use of the following note where each redaction occurs: “REDACTED MATERIAL”. Heritage agrees that it will not redact any information on an EIR that directly relates to any aspect of its manufacturing of Products for Premier.</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4" w:right="439" w:bottom="1440" w:gutter="0" w:footer="0" w:header="0"/>
        </w:sectPr>
      </w:pPr>
    </w:p>
    <w:bookmarkStart w:id="515" w:name="page516"/>
    <w:bookmarkEnd w:id="515"/>
    <w:p>
      <w:pPr>
        <w:ind w:right="60" w:firstLine="981"/>
        <w:spacing w:after="0" w:line="259" w:lineRule="auto"/>
        <w:tabs>
          <w:tab w:leader="none" w:pos="13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will keep, and will ensure that Jasper keeps [***] complete and accurate records in connection with each unique production lot of Products with respect to manufacturing practices, quality assurance measures, analytical procedures and their resultant data. Such records shall include at least those listed on attached Schedule B. Upon reasonable notice, Heritage shall allow, and Heritage shall ensure that Japer allows, Premier access to such records during normal working hours.</w:t>
      </w:r>
    </w:p>
    <w:p>
      <w:pPr>
        <w:spacing w:after="0" w:line="330" w:lineRule="exact"/>
        <w:rPr>
          <w:rFonts w:ascii="Arial" w:cs="Arial" w:eastAsia="Arial" w:hAnsi="Arial"/>
          <w:sz w:val="18"/>
          <w:szCs w:val="18"/>
          <w:color w:val="auto"/>
        </w:rPr>
      </w:pPr>
    </w:p>
    <w:p>
      <w:pPr>
        <w:ind w:left="960" w:hanging="538"/>
        <w:spacing w:after="0"/>
        <w:tabs>
          <w:tab w:leader="none" w:pos="96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PRICING, BILLING AND PAYMENT</w:t>
      </w:r>
    </w:p>
    <w:p>
      <w:pPr>
        <w:spacing w:after="0" w:line="120" w:lineRule="exact"/>
        <w:rPr>
          <w:rFonts w:ascii="Arial" w:cs="Arial" w:eastAsia="Arial" w:hAnsi="Arial"/>
          <w:sz w:val="18"/>
          <w:szCs w:val="18"/>
          <w:b w:val="1"/>
          <w:bCs w:val="1"/>
          <w:color w:val="auto"/>
        </w:rPr>
      </w:pPr>
    </w:p>
    <w:p>
      <w:pPr>
        <w:ind w:right="40" w:firstLine="981"/>
        <w:spacing w:after="0" w:line="263" w:lineRule="auto"/>
        <w:tabs>
          <w:tab w:leader="none" w:pos="137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Heritage and Jasper shall coordinate shipments to meet scheduled delivery dates of the Products with Premier designated transportation providers. All shipments of the Products shall be by common carrier, F.O.B. the Heritage [***] Facility or the Jasper Facility, as indicated by Premier in the Purchase Order.</w:t>
      </w:r>
    </w:p>
    <w:p>
      <w:pPr>
        <w:spacing w:after="0" w:line="182" w:lineRule="exact"/>
        <w:rPr>
          <w:rFonts w:ascii="Arial" w:cs="Arial" w:eastAsia="Arial" w:hAnsi="Arial"/>
          <w:sz w:val="18"/>
          <w:szCs w:val="18"/>
          <w:color w:val="auto"/>
        </w:rPr>
      </w:pPr>
    </w:p>
    <w:p>
      <w:pPr>
        <w:ind w:right="860" w:firstLine="981"/>
        <w:spacing w:after="0" w:line="307" w:lineRule="auto"/>
        <w:tabs>
          <w:tab w:leader="none" w:pos="1380" w:val="left"/>
        </w:tabs>
        <w:numPr>
          <w:ilvl w:val="1"/>
          <w:numId w:val="472"/>
        </w:numPr>
        <w:rPr>
          <w:rFonts w:ascii="Arial" w:cs="Arial" w:eastAsia="Arial" w:hAnsi="Arial"/>
          <w:sz w:val="17"/>
          <w:szCs w:val="17"/>
          <w:color w:val="auto"/>
        </w:rPr>
      </w:pPr>
      <w:r>
        <w:rPr>
          <w:rFonts w:ascii="Arial" w:cs="Arial" w:eastAsia="Arial" w:hAnsi="Arial"/>
          <w:sz w:val="17"/>
          <w:szCs w:val="17"/>
          <w:color w:val="auto"/>
        </w:rPr>
        <w:t>Heritage shall purchase all ingredients and packaging materials identified in Schedule C to be used in connection with the manufacture of the Products. Heritage shall invoice Premier through the [***] billing as identified on Schedule C.</w:t>
      </w:r>
    </w:p>
    <w:p>
      <w:pPr>
        <w:spacing w:after="0" w:line="147" w:lineRule="exact"/>
        <w:rPr>
          <w:rFonts w:ascii="Arial" w:cs="Arial" w:eastAsia="Arial" w:hAnsi="Arial"/>
          <w:sz w:val="17"/>
          <w:szCs w:val="17"/>
          <w:color w:val="auto"/>
        </w:rPr>
      </w:pPr>
    </w:p>
    <w:p>
      <w:pPr>
        <w:ind w:left="1360" w:hanging="379"/>
        <w:spacing w:after="0"/>
        <w:tabs>
          <w:tab w:leader="none" w:pos="136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Heritage shall charge Premier [***] as set forth in Schedule C.</w:t>
      </w:r>
    </w:p>
    <w:p>
      <w:pPr>
        <w:spacing w:after="0" w:line="224" w:lineRule="exact"/>
        <w:rPr>
          <w:rFonts w:ascii="Arial" w:cs="Arial" w:eastAsia="Arial" w:hAnsi="Arial"/>
          <w:sz w:val="18"/>
          <w:szCs w:val="18"/>
          <w:color w:val="auto"/>
        </w:rPr>
      </w:pPr>
    </w:p>
    <w:p>
      <w:pPr>
        <w:ind w:right="60" w:firstLine="981"/>
        <w:spacing w:after="0" w:line="296" w:lineRule="auto"/>
        <w:tabs>
          <w:tab w:leader="none" w:pos="138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For Product produced at Jasper facilities, Jasper shall invoice Premier on the date Jasper issues a Certificate of Analysis (COA) for those Products. Payment terms for these Product invoices shall be [***]. For Product produced at Heritage facilities, Heritage shall invoice Premier on the date the Products are loaded onto Premier’s carrier. Payment terms for all these Product invoices shall be [***]. Failure by Premier to meet payment terms of any invoice shall result in interest being imposed on any unpaid balance at the rate of [***] per month, pro rata on a daily basis for partial months, accrued from its due date or in the event such rate exceeds that permitted to be charged by law, the maximum rate permitted by law.</w:t>
      </w:r>
    </w:p>
    <w:p>
      <w:pPr>
        <w:spacing w:after="0" w:line="160" w:lineRule="exact"/>
        <w:rPr>
          <w:rFonts w:ascii="Arial" w:cs="Arial" w:eastAsia="Arial" w:hAnsi="Arial"/>
          <w:sz w:val="16"/>
          <w:szCs w:val="16"/>
          <w:color w:val="auto"/>
        </w:rPr>
      </w:pPr>
    </w:p>
    <w:p>
      <w:pPr>
        <w:ind w:firstLine="981"/>
        <w:spacing w:after="0" w:line="273" w:lineRule="auto"/>
        <w:tabs>
          <w:tab w:leader="none" w:pos="1370" w:val="left"/>
        </w:tabs>
        <w:numPr>
          <w:ilvl w:val="1"/>
          <w:numId w:val="472"/>
        </w:numPr>
        <w:rPr>
          <w:rFonts w:ascii="Arial" w:cs="Arial" w:eastAsia="Arial" w:hAnsi="Arial"/>
          <w:sz w:val="17"/>
          <w:szCs w:val="17"/>
          <w:color w:val="auto"/>
        </w:rPr>
      </w:pPr>
      <w:r>
        <w:rPr>
          <w:rFonts w:ascii="Arial" w:cs="Arial" w:eastAsia="Arial" w:hAnsi="Arial"/>
          <w:sz w:val="17"/>
          <w:szCs w:val="17"/>
          <w:color w:val="auto"/>
        </w:rPr>
        <w:t>Heritage will maintain accurate and complete books of account and records covering all its operations and transactions relating to this Agreement, including detailed purchasing and accounting records, master manufacturing, batching, &amp; quality control records, pertaining to the manufacture of the Products, including records relating to the procurement and cost of all raw materials, packaging materials, equipment, and any other cost associated with the manufacture of the Products until [***]. Premier, shall have the right, directly or through its representative, to inspect, copy, and audit all such records upon reasonable request and during normal business hours, acknowledging that access to accounting and purchasing records will be limited to those supporting pass-through materials costs and purchases of Premier specified equipment if any.</w:t>
      </w:r>
    </w:p>
    <w:p>
      <w:pPr>
        <w:spacing w:after="0" w:line="321" w:lineRule="exact"/>
        <w:rPr>
          <w:rFonts w:ascii="Arial" w:cs="Arial" w:eastAsia="Arial" w:hAnsi="Arial"/>
          <w:sz w:val="17"/>
          <w:szCs w:val="17"/>
          <w:color w:val="auto"/>
        </w:rPr>
      </w:pPr>
    </w:p>
    <w:p>
      <w:pPr>
        <w:ind w:left="960" w:hanging="538"/>
        <w:spacing w:after="0"/>
        <w:tabs>
          <w:tab w:leader="none" w:pos="96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STORAGE, SHIPPING AND INVENTORY</w:t>
      </w:r>
    </w:p>
    <w:p>
      <w:pPr>
        <w:spacing w:after="0" w:line="120" w:lineRule="exact"/>
        <w:rPr>
          <w:rFonts w:ascii="Arial" w:cs="Arial" w:eastAsia="Arial" w:hAnsi="Arial"/>
          <w:sz w:val="18"/>
          <w:szCs w:val="18"/>
          <w:b w:val="1"/>
          <w:bCs w:val="1"/>
          <w:color w:val="auto"/>
        </w:rPr>
      </w:pPr>
    </w:p>
    <w:p>
      <w:pPr>
        <w:ind w:right="20" w:firstLine="981"/>
        <w:spacing w:after="0" w:line="275" w:lineRule="auto"/>
        <w:tabs>
          <w:tab w:leader="none" w:pos="1370" w:val="left"/>
        </w:tabs>
        <w:numPr>
          <w:ilvl w:val="1"/>
          <w:numId w:val="472"/>
        </w:numPr>
        <w:rPr>
          <w:rFonts w:ascii="Arial" w:cs="Arial" w:eastAsia="Arial" w:hAnsi="Arial"/>
          <w:sz w:val="17"/>
          <w:szCs w:val="17"/>
          <w:color w:val="auto"/>
        </w:rPr>
      </w:pPr>
      <w:r>
        <w:rPr>
          <w:rFonts w:ascii="Arial" w:cs="Arial" w:eastAsia="Arial" w:hAnsi="Arial"/>
          <w:sz w:val="17"/>
          <w:szCs w:val="17"/>
          <w:color w:val="auto"/>
        </w:rPr>
        <w:t>During the term of this Agreement, Heritage agrees to handle and store reasonable amounts of raw materials based upon the level of production expected [***]. With regard to finished Products, Heritage agrees during the Term to store finished Products at no cost to Premier for a period not to exceed [***] from the date of Heritage’s issuance of a Certificate of Analysis (“COA”). Commencing on [***] after the date the COA is delivered to Premier, a warehouse fee will be imposed that will equal $[***], until such Products are delivered to Premier’s carrier. [***] Capability of a corrugated shipping case to withstand double stacking shall be mutually determined and agreed by both Parties.</w:t>
      </w:r>
    </w:p>
    <w:p>
      <w:pPr>
        <w:spacing w:after="0" w:line="175" w:lineRule="exact"/>
        <w:rPr>
          <w:rFonts w:ascii="Arial" w:cs="Arial" w:eastAsia="Arial" w:hAnsi="Arial"/>
          <w:sz w:val="17"/>
          <w:szCs w:val="17"/>
          <w:color w:val="auto"/>
        </w:rPr>
      </w:pPr>
    </w:p>
    <w:p>
      <w:pPr>
        <w:ind w:right="40" w:firstLine="981"/>
        <w:spacing w:after="0" w:line="263" w:lineRule="auto"/>
        <w:tabs>
          <w:tab w:leader="none" w:pos="138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Premier agrees to issue shipping instructions in full pallet increments of [***] and Heritage agrees to make the Products available for shipping within [***]. Heritage shall ship oldest Products first, unless otherwise directed in writing by Premier. Release of Products shall only be from inventory that has completed any required incubation period and Heritage quality control release protocols.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3" w:right="459" w:bottom="1440" w:gutter="0" w:footer="0" w:header="0"/>
        </w:sectPr>
      </w:pPr>
    </w:p>
    <w:bookmarkStart w:id="516" w:name="page517"/>
    <w:bookmarkEnd w:id="516"/>
    <w:p>
      <w:pPr>
        <w:jc w:val="both"/>
        <w:ind w:right="200" w:firstLine="981"/>
        <w:spacing w:after="0" w:line="259" w:lineRule="auto"/>
        <w:tabs>
          <w:tab w:leader="none" w:pos="1370" w:val="left"/>
        </w:tabs>
        <w:numPr>
          <w:ilvl w:val="0"/>
          <w:numId w:val="4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shall perform, and shall ensure Jasper performs, a documented inspection of all trailers before loading to confirm they are free of any visible contamination or odors and fit for use with food products. When products are properly palletized and loaded by Heritage or Jasper, Premier shall be responsible for physical, in-transit damage loss of finished Products upon Heritage or Jasper completing loading of the designated container or trailer, and sealing the same.</w:t>
      </w:r>
    </w:p>
    <w:p>
      <w:pPr>
        <w:spacing w:after="0" w:line="185" w:lineRule="exact"/>
        <w:rPr>
          <w:rFonts w:ascii="Arial" w:cs="Arial" w:eastAsia="Arial" w:hAnsi="Arial"/>
          <w:sz w:val="18"/>
          <w:szCs w:val="18"/>
          <w:color w:val="auto"/>
        </w:rPr>
      </w:pPr>
    </w:p>
    <w:p>
      <w:pPr>
        <w:ind w:left="1380" w:hanging="399"/>
        <w:spacing w:after="0"/>
        <w:tabs>
          <w:tab w:leader="none" w:pos="13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Heritage shall notify Premier via email within [***] that Products are available for shipment.</w:t>
      </w:r>
    </w:p>
    <w:p>
      <w:pPr>
        <w:spacing w:after="0" w:line="224" w:lineRule="exact"/>
        <w:rPr>
          <w:rFonts w:ascii="Arial" w:cs="Arial" w:eastAsia="Arial" w:hAnsi="Arial"/>
          <w:sz w:val="18"/>
          <w:szCs w:val="18"/>
          <w:color w:val="auto"/>
        </w:rPr>
      </w:pPr>
    </w:p>
    <w:p>
      <w:pPr>
        <w:ind w:left="1360" w:hanging="379"/>
        <w:spacing w:after="0"/>
        <w:tabs>
          <w:tab w:leader="none" w:pos="136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following series of standard, regular, required reports and scorecard shall be provided by Heritage to Premier at the indicated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frequency:</w:t>
      </w:r>
    </w:p>
    <w:p>
      <w:pPr>
        <w:spacing w:after="0" w:line="102" w:lineRule="exact"/>
        <w:rPr>
          <w:rFonts w:ascii="Arial" w:cs="Arial" w:eastAsia="Arial" w:hAnsi="Arial"/>
          <w:sz w:val="16"/>
          <w:szCs w:val="16"/>
          <w:color w:val="auto"/>
        </w:rPr>
      </w:pPr>
    </w:p>
    <w:p>
      <w:pPr>
        <w:ind w:left="1740" w:hanging="319"/>
        <w:spacing w:after="0"/>
        <w:tabs>
          <w:tab w:leader="none" w:pos="174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Weekly Production Report.</w:t>
      </w:r>
    </w:p>
    <w:p>
      <w:pPr>
        <w:spacing w:after="0" w:line="116" w:lineRule="exact"/>
        <w:rPr>
          <w:rFonts w:ascii="Arial" w:cs="Arial" w:eastAsia="Arial" w:hAnsi="Arial"/>
          <w:sz w:val="18"/>
          <w:szCs w:val="18"/>
          <w:color w:val="auto"/>
        </w:rPr>
      </w:pPr>
    </w:p>
    <w:p>
      <w:pPr>
        <w:ind w:left="1740" w:hanging="319"/>
        <w:spacing w:after="0"/>
        <w:tabs>
          <w:tab w:leader="none" w:pos="174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Monthly Inventory Reports at Supplier’s end of fiscal month to include</w:t>
      </w:r>
    </w:p>
    <w:p>
      <w:pPr>
        <w:spacing w:after="0" w:line="116" w:lineRule="exact"/>
        <w:rPr>
          <w:rFonts w:ascii="Arial" w:cs="Arial" w:eastAsia="Arial" w:hAnsi="Arial"/>
          <w:sz w:val="18"/>
          <w:szCs w:val="18"/>
          <w:color w:val="auto"/>
        </w:rPr>
      </w:pPr>
    </w:p>
    <w:p>
      <w:pPr>
        <w:ind w:left="2280" w:hanging="308"/>
        <w:spacing w:after="0"/>
        <w:tabs>
          <w:tab w:leader="none" w:pos="2280" w:val="left"/>
        </w:tabs>
        <w:numPr>
          <w:ilvl w:val="2"/>
          <w:numId w:val="473"/>
        </w:numPr>
        <w:rPr>
          <w:rFonts w:ascii="Arial" w:cs="Arial" w:eastAsia="Arial" w:hAnsi="Arial"/>
          <w:sz w:val="18"/>
          <w:szCs w:val="18"/>
          <w:color w:val="auto"/>
        </w:rPr>
      </w:pPr>
      <w:r>
        <w:rPr>
          <w:rFonts w:ascii="Arial" w:cs="Arial" w:eastAsia="Arial" w:hAnsi="Arial"/>
          <w:sz w:val="18"/>
          <w:szCs w:val="18"/>
          <w:color w:val="auto"/>
        </w:rPr>
        <w:t>Inventory on hand,</w:t>
      </w:r>
    </w:p>
    <w:p>
      <w:pPr>
        <w:spacing w:after="0" w:line="116" w:lineRule="exact"/>
        <w:rPr>
          <w:rFonts w:ascii="Arial" w:cs="Arial" w:eastAsia="Arial" w:hAnsi="Arial"/>
          <w:sz w:val="18"/>
          <w:szCs w:val="18"/>
          <w:color w:val="auto"/>
        </w:rPr>
      </w:pPr>
    </w:p>
    <w:p>
      <w:pPr>
        <w:ind w:left="2280" w:hanging="308"/>
        <w:spacing w:after="0"/>
        <w:tabs>
          <w:tab w:leader="none" w:pos="2280" w:val="left"/>
        </w:tabs>
        <w:numPr>
          <w:ilvl w:val="2"/>
          <w:numId w:val="473"/>
        </w:numPr>
        <w:rPr>
          <w:rFonts w:ascii="Arial" w:cs="Arial" w:eastAsia="Arial" w:hAnsi="Arial"/>
          <w:sz w:val="18"/>
          <w:szCs w:val="18"/>
          <w:color w:val="auto"/>
        </w:rPr>
      </w:pPr>
      <w:r>
        <w:rPr>
          <w:rFonts w:ascii="Arial" w:cs="Arial" w:eastAsia="Arial" w:hAnsi="Arial"/>
          <w:sz w:val="18"/>
          <w:szCs w:val="18"/>
          <w:color w:val="auto"/>
        </w:rPr>
        <w:t>Inventory on hold, and</w:t>
      </w:r>
    </w:p>
    <w:p>
      <w:pPr>
        <w:spacing w:after="0" w:line="116" w:lineRule="exact"/>
        <w:rPr>
          <w:rFonts w:ascii="Arial" w:cs="Arial" w:eastAsia="Arial" w:hAnsi="Arial"/>
          <w:sz w:val="18"/>
          <w:szCs w:val="18"/>
          <w:color w:val="auto"/>
        </w:rPr>
      </w:pPr>
    </w:p>
    <w:p>
      <w:pPr>
        <w:ind w:left="2280" w:hanging="308"/>
        <w:spacing w:after="0"/>
        <w:tabs>
          <w:tab w:leader="none" w:pos="2280" w:val="left"/>
        </w:tabs>
        <w:numPr>
          <w:ilvl w:val="2"/>
          <w:numId w:val="473"/>
        </w:numPr>
        <w:rPr>
          <w:rFonts w:ascii="Arial" w:cs="Arial" w:eastAsia="Arial" w:hAnsi="Arial"/>
          <w:sz w:val="18"/>
          <w:szCs w:val="18"/>
          <w:color w:val="auto"/>
        </w:rPr>
      </w:pPr>
      <w:r>
        <w:rPr>
          <w:rFonts w:ascii="Arial" w:cs="Arial" w:eastAsia="Arial" w:hAnsi="Arial"/>
          <w:sz w:val="18"/>
          <w:szCs w:val="18"/>
          <w:color w:val="auto"/>
        </w:rPr>
        <w:t>Inventory adjusted.</w:t>
      </w:r>
    </w:p>
    <w:p>
      <w:pPr>
        <w:spacing w:after="0" w:line="116" w:lineRule="exact"/>
        <w:rPr>
          <w:rFonts w:ascii="Arial" w:cs="Arial" w:eastAsia="Arial" w:hAnsi="Arial"/>
          <w:sz w:val="18"/>
          <w:szCs w:val="18"/>
          <w:color w:val="auto"/>
        </w:rPr>
      </w:pPr>
    </w:p>
    <w:p>
      <w:pPr>
        <w:ind w:left="1740" w:hanging="319"/>
        <w:spacing w:after="0"/>
        <w:tabs>
          <w:tab w:leader="none" w:pos="174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Monthly Purchase Order receipt report - at the end of Supplier’s fiscal month</w:t>
      </w:r>
    </w:p>
    <w:p>
      <w:pPr>
        <w:spacing w:after="0" w:line="369" w:lineRule="exact"/>
        <w:rPr>
          <w:sz w:val="20"/>
          <w:szCs w:val="20"/>
          <w:color w:val="auto"/>
        </w:rPr>
      </w:pPr>
    </w:p>
    <w:p>
      <w:pPr>
        <w:ind w:left="960" w:hanging="538"/>
        <w:spacing w:after="0"/>
        <w:tabs>
          <w:tab w:leader="none" w:pos="960"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Premier represents and warrants that it owns or otherwise has the right to use all trademarks (the “Trademarks”) and copyrighted material (the “Copyrights”) provided by Premier to Heritage, which are provided solely for use in connection with the manufacture or packaging of the Products. Heritage will not, and will ensure that Jasper does not, use any of the Trademarks or any marks that are confusingly similar to, or likely to cause confusion with regard to, the Trademarks or Copyrights owned or licensed by Premier for any other purpose without the prior written consent of Premier in each instance. Provided, however, that the foregoing covenant shall not be construed to restrict or prohibit Heritage from using any trademark, trade name, trade dress, labeling or packaging that Heritage is using in commerce as of the date of this Agreement. Nothing contained in this Section 5 is intended to or does preclude Premier from enforcing any of its intellectual property rights, including without limitation, its trademark rights.</w:t>
      </w:r>
    </w:p>
    <w:p>
      <w:pPr>
        <w:spacing w:after="0" w:line="309" w:lineRule="exact"/>
        <w:rPr>
          <w:sz w:val="20"/>
          <w:szCs w:val="20"/>
          <w:color w:val="auto"/>
        </w:rPr>
      </w:pPr>
    </w:p>
    <w:p>
      <w:pPr>
        <w:ind w:left="960" w:hanging="538"/>
        <w:spacing w:after="0"/>
        <w:tabs>
          <w:tab w:leader="none" w:pos="96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QUALITY CONTROL</w:t>
      </w:r>
    </w:p>
    <w:p>
      <w:pPr>
        <w:spacing w:after="0" w:line="120" w:lineRule="exact"/>
        <w:rPr>
          <w:rFonts w:ascii="Arial" w:cs="Arial" w:eastAsia="Arial" w:hAnsi="Arial"/>
          <w:sz w:val="18"/>
          <w:szCs w:val="18"/>
          <w:b w:val="1"/>
          <w:bCs w:val="1"/>
          <w:color w:val="auto"/>
        </w:rPr>
      </w:pPr>
    </w:p>
    <w:p>
      <w:pPr>
        <w:jc w:val="both"/>
        <w:ind w:firstLine="981"/>
        <w:spacing w:after="0" w:line="259" w:lineRule="auto"/>
        <w:tabs>
          <w:tab w:leader="none" w:pos="137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Heritage agrees to perform, at its expense, sampling and testing procedures for the Products in accordance with Schedule B, attached hereto, and all applicable governmental regulations. If additional testing, not identified in Schedule B, is required by Premier, a reasonable additional fee will be agreed upon between Heritage and Premier to cover the associated incremental cost. Other quality control items to be performed under this Agreement are as follows:</w:t>
      </w:r>
    </w:p>
    <w:p>
      <w:pPr>
        <w:spacing w:after="0" w:line="185" w:lineRule="exact"/>
        <w:rPr>
          <w:rFonts w:ascii="Arial" w:cs="Arial" w:eastAsia="Arial" w:hAnsi="Arial"/>
          <w:sz w:val="18"/>
          <w:szCs w:val="18"/>
          <w:color w:val="auto"/>
        </w:rPr>
      </w:pPr>
    </w:p>
    <w:p>
      <w:pPr>
        <w:ind w:right="80" w:firstLine="1421"/>
        <w:spacing w:after="0" w:line="263" w:lineRule="auto"/>
        <w:tabs>
          <w:tab w:leader="none" w:pos="178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Normal production runs shall require Premier to provide at least two (2) non-work hour phone numbers for Premier employees who can be contacted in the event a problem occurs during a production run not being conducted during normal business hours. Said contacts and contact information shall be listed in Schedule D.</w:t>
      </w:r>
    </w:p>
    <w:p>
      <w:pPr>
        <w:spacing w:after="0" w:line="182" w:lineRule="exact"/>
        <w:rPr>
          <w:rFonts w:ascii="Arial" w:cs="Arial" w:eastAsia="Arial" w:hAnsi="Arial"/>
          <w:sz w:val="18"/>
          <w:szCs w:val="18"/>
          <w:color w:val="auto"/>
        </w:rPr>
      </w:pPr>
    </w:p>
    <w:p>
      <w:pPr>
        <w:ind w:left="1820" w:hanging="399"/>
        <w:spacing w:after="0"/>
        <w:tabs>
          <w:tab w:leader="none" w:pos="182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Heritage shall keep retention samples in accordance with Schedule B.</w:t>
      </w:r>
    </w:p>
    <w:p>
      <w:pPr>
        <w:spacing w:after="0" w:line="224" w:lineRule="exact"/>
        <w:rPr>
          <w:rFonts w:ascii="Arial" w:cs="Arial" w:eastAsia="Arial" w:hAnsi="Arial"/>
          <w:sz w:val="18"/>
          <w:szCs w:val="18"/>
          <w:color w:val="auto"/>
        </w:rPr>
      </w:pPr>
    </w:p>
    <w:p>
      <w:pPr>
        <w:ind w:left="1880" w:hanging="459"/>
        <w:spacing w:after="0"/>
        <w:tabs>
          <w:tab w:leader="none" w:pos="1880" w:val="left"/>
        </w:tabs>
        <w:numPr>
          <w:ilvl w:val="2"/>
          <w:numId w:val="475"/>
        </w:numPr>
        <w:rPr>
          <w:rFonts w:ascii="Arial" w:cs="Arial" w:eastAsia="Arial" w:hAnsi="Arial"/>
          <w:sz w:val="17"/>
          <w:szCs w:val="17"/>
          <w:color w:val="auto"/>
        </w:rPr>
      </w:pPr>
      <w:r>
        <w:rPr>
          <w:rFonts w:ascii="Arial" w:cs="Arial" w:eastAsia="Arial" w:hAnsi="Arial"/>
          <w:sz w:val="17"/>
          <w:szCs w:val="17"/>
          <w:color w:val="auto"/>
        </w:rPr>
        <w:t>Heritage shall not modify any processing instructions or Specifications without obtaining Premier’s prior written consent.</w:t>
      </w:r>
    </w:p>
    <w:p>
      <w:pPr>
        <w:spacing w:after="0" w:line="236" w:lineRule="exact"/>
        <w:rPr>
          <w:rFonts w:ascii="Arial" w:cs="Arial" w:eastAsia="Arial" w:hAnsi="Arial"/>
          <w:sz w:val="17"/>
          <w:szCs w:val="17"/>
          <w:color w:val="auto"/>
        </w:rPr>
      </w:pPr>
    </w:p>
    <w:p>
      <w:pPr>
        <w:ind w:right="220" w:firstLine="1421"/>
        <w:spacing w:after="0" w:line="263" w:lineRule="auto"/>
        <w:tabs>
          <w:tab w:leader="none" w:pos="187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Heritage shall evaluate Products on a regular schedule at a sufficient frequency to confirm that Products meet the Specifications, including the Post Holdings Quality Expectations Manual. Any Products not conforming to the Specifications shall not be released for shipment.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517" w:name="page518"/>
    <w:bookmarkEnd w:id="517"/>
    <w:p>
      <w:pPr>
        <w:ind w:left="960" w:hanging="538"/>
        <w:spacing w:after="0"/>
        <w:tabs>
          <w:tab w:leader="none" w:pos="9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w:t>
      </w:r>
    </w:p>
    <w:p>
      <w:pPr>
        <w:spacing w:after="0" w:line="120" w:lineRule="exact"/>
        <w:rPr>
          <w:rFonts w:ascii="Arial" w:cs="Arial" w:eastAsia="Arial" w:hAnsi="Arial"/>
          <w:sz w:val="18"/>
          <w:szCs w:val="18"/>
          <w:b w:val="1"/>
          <w:bCs w:val="1"/>
          <w:color w:val="auto"/>
        </w:rPr>
      </w:pPr>
    </w:p>
    <w:p>
      <w:pPr>
        <w:ind w:right="20" w:firstLine="981"/>
        <w:spacing w:after="0" w:line="254" w:lineRule="auto"/>
        <w:tabs>
          <w:tab w:leader="none" w:pos="137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Premier shall indemnify, defend and hold Heritage harmless from and against any and all loss, cost, expense, claim, suit, damage or liability (including reasonable attorneys’ fees and court costs) (collectively “Losses”) arising out of or relating to an infringement or alleged infringement of any Trademarks or Copyrights in connection with the Products to the extent Heritage follows Premier’s instructions with regard to the proper display and use of the Trademarks and Copyrights. In addition, Premier shall indemnify, defend and hold Heritage harmless from and against any and all Losses arising out of or relating to: (i) Heritage’s adherence to the Product Specifications, identified in Schedule A, or written orders or instructions given by Premier to Heritage relating to the manufacture or packaging of Products; (ii) Premier’s breach of any of its obligations contained herein; and (iii) the storage, sale, marketing, distribution and consumption of the Products, other than any Losses which would be covered under Section 7(b) hereof.</w:t>
      </w:r>
    </w:p>
    <w:p>
      <w:pPr>
        <w:spacing w:after="0" w:line="190" w:lineRule="exact"/>
        <w:rPr>
          <w:rFonts w:ascii="Arial" w:cs="Arial" w:eastAsia="Arial" w:hAnsi="Arial"/>
          <w:sz w:val="18"/>
          <w:szCs w:val="18"/>
          <w:color w:val="auto"/>
        </w:rPr>
      </w:pPr>
    </w:p>
    <w:p>
      <w:pPr>
        <w:ind w:right="20" w:firstLine="981"/>
        <w:spacing w:after="0" w:line="255" w:lineRule="auto"/>
        <w:tabs>
          <w:tab w:leader="none" w:pos="138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Heritage shall indemnify, defend and hold Premier harmless from and against any Losses arising out of or relating to (i) Heritage’s or Jasper’s negligence or willful misconduct, (ii) the manufacturing, packaging, storing and consumption of the Products (except to the extent resulting from Heritage’s compliance with Premier’s Specifications), (iii) any breach of the Agreement by Heritage or (iv) ingredients or packaging materials purchased by Heritage or Jasper. Heritage shall not be responsible for any Losses arising out of or attributable to Heritage’s manufacturing of the Products in adherence with the Product Specifications, this Agreement, or any written orders or instruction(s) from Premier regarding the manufacture or packaging of the Products, as set forth in Section 7(a) above.</w:t>
      </w:r>
    </w:p>
    <w:p>
      <w:pPr>
        <w:spacing w:after="0" w:line="191" w:lineRule="exact"/>
        <w:rPr>
          <w:rFonts w:ascii="Arial" w:cs="Arial" w:eastAsia="Arial" w:hAnsi="Arial"/>
          <w:sz w:val="18"/>
          <w:szCs w:val="18"/>
          <w:color w:val="auto"/>
        </w:rPr>
      </w:pPr>
    </w:p>
    <w:p>
      <w:pPr>
        <w:ind w:firstLine="981"/>
        <w:spacing w:after="0" w:line="301" w:lineRule="auto"/>
        <w:tabs>
          <w:tab w:leader="none" w:pos="1367" w:val="left"/>
        </w:tabs>
        <w:numPr>
          <w:ilvl w:val="1"/>
          <w:numId w:val="476"/>
        </w:numPr>
        <w:rPr>
          <w:rFonts w:ascii="Arial" w:cs="Arial" w:eastAsia="Arial" w:hAnsi="Arial"/>
          <w:sz w:val="16"/>
          <w:szCs w:val="16"/>
          <w:color w:val="auto"/>
        </w:rPr>
      </w:pPr>
      <w:r>
        <w:rPr>
          <w:rFonts w:ascii="Arial" w:cs="Arial" w:eastAsia="Arial" w:hAnsi="Arial"/>
          <w:sz w:val="16"/>
          <w:szCs w:val="16"/>
          <w:color w:val="auto"/>
        </w:rPr>
        <w:t>The Party seeking indemnification shall promptly notify the other Party hereto in writing of any suit, claim, or damage for which such Party has notice and to which these provisions may apply. In the event suit is commenced, the indemnifying Party shall have the right to control the defense of any such suit at its own cost. The appearance of the indemnifying Party in such proceeding shall not be construed as an admission of liability and shall not constitute a waiver of any of its rights, including, but not limited to, the indemnifying Party’s right to hire its own counsel.</w:t>
      </w:r>
    </w:p>
    <w:p>
      <w:pPr>
        <w:spacing w:after="0" w:line="300" w:lineRule="exact"/>
        <w:rPr>
          <w:rFonts w:ascii="Arial" w:cs="Arial" w:eastAsia="Arial" w:hAnsi="Arial"/>
          <w:sz w:val="16"/>
          <w:szCs w:val="16"/>
          <w:color w:val="auto"/>
        </w:rPr>
      </w:pPr>
    </w:p>
    <w:p>
      <w:pPr>
        <w:ind w:left="960" w:hanging="538"/>
        <w:spacing w:after="0"/>
        <w:tabs>
          <w:tab w:leader="none" w:pos="9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RISK OF LOSS AND INSURANCE</w:t>
      </w:r>
    </w:p>
    <w:p>
      <w:pPr>
        <w:spacing w:after="0" w:line="120" w:lineRule="exact"/>
        <w:rPr>
          <w:rFonts w:ascii="Arial" w:cs="Arial" w:eastAsia="Arial" w:hAnsi="Arial"/>
          <w:sz w:val="18"/>
          <w:szCs w:val="18"/>
          <w:b w:val="1"/>
          <w:bCs w:val="1"/>
          <w:color w:val="auto"/>
        </w:rPr>
      </w:pPr>
    </w:p>
    <w:p>
      <w:pPr>
        <w:ind w:right="360" w:firstLine="981"/>
        <w:spacing w:after="0" w:line="259" w:lineRule="auto"/>
        <w:tabs>
          <w:tab w:leader="none" w:pos="1367"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Title to the Products shall be in and remain with Premier from the date Products are delivered to a carrier pursuant to Premier’s instructions for delivery to Premier. Heritage shall bear the risk of loss to the Products until the Products are delivered to such carrier for delivery to Premier as set forth herein. Risk of loss to the Products shall also be with Heritage during shipment between the Heritage Facilities pursuant to Section 2.</w:t>
      </w:r>
    </w:p>
    <w:p>
      <w:pPr>
        <w:spacing w:after="0" w:line="185" w:lineRule="exact"/>
        <w:rPr>
          <w:rFonts w:ascii="Arial" w:cs="Arial" w:eastAsia="Arial" w:hAnsi="Arial"/>
          <w:sz w:val="18"/>
          <w:szCs w:val="18"/>
          <w:color w:val="auto"/>
        </w:rPr>
      </w:pPr>
    </w:p>
    <w:p>
      <w:pPr>
        <w:ind w:left="1380" w:hanging="399"/>
        <w:spacing w:after="0"/>
        <w:tabs>
          <w:tab w:leader="none" w:pos="1380" w:val="left"/>
        </w:tabs>
        <w:numPr>
          <w:ilvl w:val="1"/>
          <w:numId w:val="476"/>
        </w:numPr>
        <w:rPr>
          <w:rFonts w:ascii="Arial" w:cs="Arial" w:eastAsia="Arial" w:hAnsi="Arial"/>
          <w:sz w:val="16"/>
          <w:szCs w:val="16"/>
          <w:color w:val="auto"/>
        </w:rPr>
      </w:pPr>
      <w:r>
        <w:rPr>
          <w:rFonts w:ascii="Arial" w:cs="Arial" w:eastAsia="Arial" w:hAnsi="Arial"/>
          <w:sz w:val="16"/>
          <w:szCs w:val="16"/>
          <w:color w:val="auto"/>
        </w:rPr>
        <w:t>Heritage and Jasper shall maintain insurance of the following kinds and in the following amounts during the Term of this Agreement:</w:t>
      </w:r>
    </w:p>
    <w:p>
      <w:pPr>
        <w:spacing w:after="0" w:line="153" w:lineRule="exact"/>
        <w:rPr>
          <w:rFonts w:ascii="Arial" w:cs="Arial" w:eastAsia="Arial" w:hAnsi="Arial"/>
          <w:sz w:val="16"/>
          <w:szCs w:val="16"/>
          <w:color w:val="auto"/>
        </w:rPr>
      </w:pPr>
    </w:p>
    <w:p>
      <w:pPr>
        <w:ind w:left="1960" w:hanging="540"/>
        <w:spacing w:after="0" w:line="263" w:lineRule="auto"/>
        <w:tabs>
          <w:tab w:leader="none" w:pos="196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Commercial General Liability Insurance with a limit of $[***] each occurrence and $[***] in the aggregate, including Contractual, Completed-Operations and Product-Liability Coverage with a limit of $[***] for each occurrence, covering both bodily injury and property damage liability.</w:t>
      </w:r>
    </w:p>
    <w:p>
      <w:pPr>
        <w:spacing w:after="0" w:line="88" w:lineRule="exact"/>
        <w:rPr>
          <w:rFonts w:ascii="Arial" w:cs="Arial" w:eastAsia="Arial" w:hAnsi="Arial"/>
          <w:sz w:val="18"/>
          <w:szCs w:val="18"/>
          <w:color w:val="auto"/>
        </w:rPr>
      </w:pPr>
    </w:p>
    <w:p>
      <w:pPr>
        <w:ind w:left="1960" w:hanging="540"/>
        <w:spacing w:after="0"/>
        <w:tabs>
          <w:tab w:leader="none" w:pos="196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Umbrella/Excess Liability with a limit of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518" w:name="page519"/>
    <w:bookmarkEnd w:id="518"/>
    <w:p>
      <w:pPr>
        <w:ind w:left="1960" w:right="100" w:hanging="540"/>
        <w:spacing w:after="0" w:line="263" w:lineRule="auto"/>
        <w:tabs>
          <w:tab w:leader="none" w:pos="19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Workers’ Compensation Coverage plus Occupational Disease Insurance if Occupational Disease coverage is required by the laws of the state where the Facility is located or work is to be performed. Employers Liability $[***] each accident; $[***] disease, each employee; $[***] disease, policy limit</w:t>
      </w:r>
    </w:p>
    <w:p>
      <w:pPr>
        <w:spacing w:after="0" w:line="88" w:lineRule="exact"/>
        <w:rPr>
          <w:rFonts w:ascii="Arial" w:cs="Arial" w:eastAsia="Arial" w:hAnsi="Arial"/>
          <w:sz w:val="18"/>
          <w:szCs w:val="18"/>
          <w:color w:val="auto"/>
        </w:rPr>
      </w:pPr>
    </w:p>
    <w:p>
      <w:pPr>
        <w:ind w:left="1960" w:hanging="540"/>
        <w:spacing w:after="0"/>
        <w:tabs>
          <w:tab w:leader="none" w:pos="19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Auto Liability $[***] combined single limit</w:t>
      </w:r>
    </w:p>
    <w:p>
      <w:pPr>
        <w:spacing w:after="0" w:line="130" w:lineRule="exact"/>
        <w:rPr>
          <w:rFonts w:ascii="Arial" w:cs="Arial" w:eastAsia="Arial" w:hAnsi="Arial"/>
          <w:sz w:val="18"/>
          <w:szCs w:val="18"/>
          <w:color w:val="auto"/>
        </w:rPr>
      </w:pPr>
    </w:p>
    <w:p>
      <w:pPr>
        <w:ind w:left="1960" w:right="660" w:hanging="540"/>
        <w:spacing w:after="0" w:line="341" w:lineRule="auto"/>
        <w:tabs>
          <w:tab w:leader="none" w:pos="196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Product Recall Insurance coverage for Products determined to be in violation of laws administered by the authorized government entity who classifies the Products as unfit for intended use with limits of $[***] per policy year.</w:t>
      </w:r>
    </w:p>
    <w:p>
      <w:pPr>
        <w:spacing w:after="0" w:line="1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Heritage and Jasper shall have Premier named as an additional insured on its insurance policies in subparts i, ii and iv above. Heritage and Jasper shall furnish Premier with a certificate from its insurer verifying that it has the above insurance in effect during the duration of this Agreement and that insurer acknowledges (a) the contractual liability assumed by Heritage and Jasper in this Agreement and (b) that Premier is an additional insured on such policies and (c) Heritage’s and Jasper’s CGL policies are primary and Premier’s CGL policy is non-contributory and (d) a waiver of subrogation shall be provided in favor of Premier on the CGL, Workers’ Compensation and Auto policies. Said certificate of insurance shall require Heritage’s and Jasper’s insurance carrier to give Premier [***] written notice of any cancellation or change in coverage. Failure to provide such certificate within [***] shall constitute a breach of this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Certificate of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Certificate holder language must read: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Premier Nutrition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5905 Christie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Emeryville, CA 94608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Please send certificates to: [***]</w:t>
      </w:r>
    </w:p>
    <w:p>
      <w:pPr>
        <w:spacing w:after="0" w:line="369" w:lineRule="exact"/>
        <w:rPr>
          <w:sz w:val="20"/>
          <w:szCs w:val="20"/>
          <w:color w:val="auto"/>
        </w:rPr>
      </w:pPr>
    </w:p>
    <w:p>
      <w:pPr>
        <w:ind w:left="960" w:hanging="538"/>
        <w:spacing w:after="0"/>
        <w:tabs>
          <w:tab w:leader="none" w:pos="96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Each Party recognizes that in the performance of this Agreement, it may acquire, directly or indirectly from the other Party, proprietary, confidential, trade secret, or information that is not otherwise available to the general public (“Confidential Information”). Each Party shall maintain control of all Confidential Information it receives and not disclose it or use it for any other purpose other than to perform its obligations under this Agreement. Each Party shall return the Confidential Information, along with all materials derived therefrom, to the disclosing Party upon demand or, destroy them and provide verification of destruction upon the termination of this Agreement at the request of the disclosing Party. Each Party acknowledges that the value of the other Party’s Confidential Information is unique and substantial, and it may be impractical or difficult to assess its value in monetary terms. Accordingly, in the event of an actual or potential violation of this paragraph, the violating Party expressly consents to the enforcement of this Agreement by injunctive relief or specific performance in addition to any and all other remedies available to them. The Parties also agree to treat the terms and conditions of this Agreement as Confidential Information.</w:t>
      </w:r>
    </w:p>
    <w:p>
      <w:pPr>
        <w:spacing w:after="0" w:line="179"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The term Confidential Information shall not apply to portions of the Confidential Information that Party receiving it can show: (i) are or become generally available to the public other than as a result of a disclosure by the receiving Party; (ii) are in the receiving Party’s possession from a source (other than the furnishing Party) that is not prohibited from disclosing such information, (iii) was known to the receiving Party prior to disclosure thereof by the furnishing Party; or (iv) are independently developed by the receiving Party without the use of any non-public, confidential or proprietary information received from the furnishing Party. A Party shall be entitled to disclose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519" w:name="page520"/>
    <w:bookmarkEnd w:id="5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Party’s Confidential Information as required pursuant to judicial action, governmental regulations or investigation, or other requirements. Such Party shall, to the extent allowed or permitted by the applicable judicial action, governmental regulation or investigation or other requirements, promptly notify the Party that furnished the Confidential Information prior to any such disclosure, and reasonably cooperate (at the request and expense of the furnishing Party) with the furnishing Party to contest or limit such disclosure.</w:t>
      </w:r>
    </w:p>
    <w:p>
      <w:pPr>
        <w:spacing w:after="0" w:line="330" w:lineRule="exact"/>
        <w:rPr>
          <w:sz w:val="20"/>
          <w:szCs w:val="20"/>
          <w:color w:val="auto"/>
        </w:rPr>
      </w:pPr>
    </w:p>
    <w:p>
      <w:pPr>
        <w:ind w:left="960" w:hanging="538"/>
        <w:spacing w:after="0"/>
        <w:tabs>
          <w:tab w:leader="none" w:pos="96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In the event that either Party shall be totally or partially unable to fulfill one or more of its obligations hereunder as a result of acts or occurrences beyond the control of the Party affected, such as, but not limited to, actions, omissions or impositions by local, state or federal governmental authorities, fire, flood, earthquake or other natural disasters, acts of God, revolution, strikes or fuel shortages, the Party so affected shall be totally or partially relieved from fulfilling its obligations under this Agreement during the period of such force majeure; provided, however, that the affected Party shall notify the other Party of the circumstances as soon as reasonably possible; and further provided that if such period of force majeure shall continue for a period of [***] or more, the Party not affected shall be entitled to terminate this Agreement by giving notice to take effect immediately. The foregoing shall not relieve either Party of any obligation to make payments required pursuant to this Agreement in accordance with the terms hereof. Notwithstanding the foregoing, in the event there is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at either Heritage production facility, then the </w:t>
      </w:r>
      <w:r>
        <w:rPr>
          <w:rFonts w:ascii="Arial" w:cs="Arial" w:eastAsia="Arial" w:hAnsi="Arial"/>
          <w:sz w:val="17"/>
          <w:szCs w:val="17"/>
          <w:i w:val="1"/>
          <w:iCs w:val="1"/>
          <w:color w:val="auto"/>
        </w:rPr>
        <w:t>non-force majeure</w:t>
      </w:r>
      <w:r>
        <w:rPr>
          <w:rFonts w:ascii="Arial" w:cs="Arial" w:eastAsia="Arial" w:hAnsi="Arial"/>
          <w:sz w:val="17"/>
          <w:szCs w:val="17"/>
          <w:color w:val="auto"/>
        </w:rPr>
        <w:t xml:space="preserve"> facility shall not be required to produce the total production quantities agreed upon for both facilities. However, the </w:t>
      </w:r>
      <w:r>
        <w:rPr>
          <w:rFonts w:ascii="Arial" w:cs="Arial" w:eastAsia="Arial" w:hAnsi="Arial"/>
          <w:sz w:val="17"/>
          <w:szCs w:val="17"/>
          <w:i w:val="1"/>
          <w:iCs w:val="1"/>
          <w:color w:val="auto"/>
        </w:rPr>
        <w:t>non-force majeure</w:t>
      </w:r>
      <w:r>
        <w:rPr>
          <w:rFonts w:ascii="Arial" w:cs="Arial" w:eastAsia="Arial" w:hAnsi="Arial"/>
          <w:sz w:val="17"/>
          <w:szCs w:val="17"/>
          <w:color w:val="auto"/>
        </w:rPr>
        <w:t xml:space="preserve"> facility shall use commercially reasonable efforts to produce </w:t>
      </w:r>
      <w:r>
        <w:rPr>
          <w:rFonts w:ascii="Arial" w:cs="Arial" w:eastAsia="Arial" w:hAnsi="Arial"/>
          <w:sz w:val="17"/>
          <w:szCs w:val="17"/>
          <w:i w:val="1"/>
          <w:iCs w:val="1"/>
          <w:color w:val="auto"/>
        </w:rPr>
        <w:t>as</w:t>
      </w:r>
      <w:r>
        <w:rPr>
          <w:rFonts w:ascii="Arial" w:cs="Arial" w:eastAsia="Arial" w:hAnsi="Arial"/>
          <w:sz w:val="17"/>
          <w:szCs w:val="17"/>
          <w:color w:val="auto"/>
        </w:rPr>
        <w:t xml:space="preserve"> much Product as possible for Premier during the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period. Heritage shall not be responsible for any excess freight expense on Product incurred by Premier due to the </w:t>
      </w:r>
      <w:r>
        <w:rPr>
          <w:rFonts w:ascii="Arial" w:cs="Arial" w:eastAsia="Arial" w:hAnsi="Arial"/>
          <w:sz w:val="17"/>
          <w:szCs w:val="17"/>
          <w:i w:val="1"/>
          <w:iCs w:val="1"/>
          <w:color w:val="auto"/>
        </w:rPr>
        <w:t>force majeure</w:t>
      </w:r>
      <w:r>
        <w:rPr>
          <w:rFonts w:ascii="Arial" w:cs="Arial" w:eastAsia="Arial" w:hAnsi="Arial"/>
          <w:sz w:val="17"/>
          <w:szCs w:val="17"/>
          <w:color w:val="auto"/>
        </w:rPr>
        <w:t>.</w:t>
      </w:r>
    </w:p>
    <w:p>
      <w:pPr>
        <w:spacing w:after="0" w:line="324" w:lineRule="exact"/>
        <w:rPr>
          <w:sz w:val="20"/>
          <w:szCs w:val="20"/>
          <w:color w:val="auto"/>
        </w:rPr>
      </w:pPr>
    </w:p>
    <w:p>
      <w:pPr>
        <w:ind w:left="960" w:hanging="538"/>
        <w:spacing w:after="0"/>
        <w:tabs>
          <w:tab w:leader="none" w:pos="96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0" w:lineRule="exact"/>
        <w:rPr>
          <w:rFonts w:ascii="Arial" w:cs="Arial" w:eastAsia="Arial" w:hAnsi="Arial"/>
          <w:sz w:val="18"/>
          <w:szCs w:val="18"/>
          <w:b w:val="1"/>
          <w:bCs w:val="1"/>
          <w:color w:val="auto"/>
        </w:rPr>
      </w:pPr>
    </w:p>
    <w:p>
      <w:pPr>
        <w:ind w:right="100" w:firstLine="981"/>
        <w:spacing w:after="0" w:line="254" w:lineRule="auto"/>
        <w:tabs>
          <w:tab w:leader="none" w:pos="1367"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shall terminate automatically without notice on December 31, 2022, unless the Parties agree in writing to extend the term of the Agreement (the initial term and any renewal terms are referred to collectively herein as the “Term”). Either Party may terminate this Agreement immediately without notice should the other Party fail to cure, within [***] after receipt of written notice thereof, any material breach of its obligations or duties hereunder, provided, however that in the event of a material breach that cannot be cured within [***], a Party shall not be deemed in default if it commences curing such default within the [***] period, notifies the other Party of that commencement by e-mail, and thereafter cures such default within [***] of the original written notice thereof. The following provisions shall survive termination or expiration of this Agreement:</w:t>
      </w:r>
    </w:p>
    <w:p>
      <w:pPr>
        <w:spacing w:after="0" w:line="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2(o) (warranties);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2(p)(q), 3(e) audit rights/access;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B (records);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 (Indemnification); 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8 (Risk of Loss and Insurance)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9 (Confidentiality).</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and Premier shall remain as an additional insured on the Heritage’s policies, for [***]. If either Party shall file a voluntary petition in bankruptcy, be declared bankrupt, make an assignment for the benefit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520" w:name="page521"/>
    <w:bookmarkEnd w:id="520"/>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creditors, or suffer the appointment of a receiver or a trustee of its assets, that Party shall be in breach of this Agreement and the other Party shall have the right to terminate this Agreement by giving written notice to take effect immediately.</w:t>
      </w:r>
    </w:p>
    <w:p>
      <w:pPr>
        <w:spacing w:after="0" w:line="170" w:lineRule="exact"/>
        <w:rPr>
          <w:sz w:val="20"/>
          <w:szCs w:val="20"/>
          <w:color w:val="auto"/>
        </w:rPr>
      </w:pPr>
    </w:p>
    <w:p>
      <w:pPr>
        <w:ind w:right="100" w:firstLine="981"/>
        <w:spacing w:after="0" w:line="288" w:lineRule="auto"/>
        <w:tabs>
          <w:tab w:leader="none" w:pos="1380" w:val="left"/>
        </w:tabs>
        <w:numPr>
          <w:ilvl w:val="1"/>
          <w:numId w:val="481"/>
        </w:numPr>
        <w:rPr>
          <w:rFonts w:ascii="Arial" w:cs="Arial" w:eastAsia="Arial" w:hAnsi="Arial"/>
          <w:sz w:val="16"/>
          <w:szCs w:val="16"/>
          <w:color w:val="auto"/>
        </w:rPr>
      </w:pPr>
      <w:r>
        <w:rPr>
          <w:rFonts w:ascii="Arial" w:cs="Arial" w:eastAsia="Arial" w:hAnsi="Arial"/>
          <w:sz w:val="16"/>
          <w:szCs w:val="16"/>
          <w:color w:val="auto"/>
        </w:rPr>
        <w:t>So long as Premier has satisfied its payment obligations to Heritage pursuant to Section 3, upon termination or expiration of this Agreement, any releasable Product in Heritage’s possession shall be promptly delivered to Premier within [***]. In addition, Premier shall purchase all Products and ingredients, packaging and material Heritage has on hand and not previously billed to Premier at the time of the termination that are used solely for the production of the Products, if any exist. The ingredients, packaging, and materials used solely for Premier shall be so identified in Schedule C and shall not exceed a [***] supply as calculated based on the previous [***] usage for the material in question. If the vendor’s minimum order quantity for a particular material exceeds a [***] supply, then Heritage shall obtain permission from Premier to order such quantity. If Premier grants permission to order the quantity greater than a [***] supply, then Heritage shall not be liable for the excess inventory of this particular material. The cost of all ingredients and packaging material to be purchased by Premier shall be [***]. In the event that Premier has defaulted in its payment obligations hereunder, and failed to cure such default following notice as set forth in Section 11(a), Heritage shall have no obligation to deliver such releasable Product to Premier. In no event, however, shall Heritage have the right to resell or otherwise use the releasable Product held in its custody.</w:t>
      </w:r>
    </w:p>
    <w:p>
      <w:pPr>
        <w:spacing w:after="0" w:line="310" w:lineRule="exact"/>
        <w:rPr>
          <w:rFonts w:ascii="Arial" w:cs="Arial" w:eastAsia="Arial" w:hAnsi="Arial"/>
          <w:sz w:val="16"/>
          <w:szCs w:val="16"/>
          <w:color w:val="auto"/>
        </w:rPr>
      </w:pPr>
    </w:p>
    <w:p>
      <w:pPr>
        <w:ind w:left="960" w:hanging="538"/>
        <w:spacing w:after="0"/>
        <w:tabs>
          <w:tab w:leader="none" w:pos="96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Venue for any litigation arising out of this Agreement shall be in any court of competent jurisdiction located in San Francisco, California. The Parties hereby submit to the jurisdiction of that state for such purposes. All matters relating to this Agreement, the rights of the Parties hereunder and the construction of the terms hereof shall be governed by the laws of the State of California, without regard to conflicts of laws principles.</w:t>
      </w:r>
    </w:p>
    <w:p>
      <w:pPr>
        <w:spacing w:after="0" w:line="309" w:lineRule="exact"/>
        <w:rPr>
          <w:sz w:val="20"/>
          <w:szCs w:val="20"/>
          <w:color w:val="auto"/>
        </w:rPr>
      </w:pPr>
    </w:p>
    <w:p>
      <w:pPr>
        <w:ind w:left="960" w:hanging="538"/>
        <w:spacing w:after="0"/>
        <w:tabs>
          <w:tab w:leader="none" w:pos="96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Except as otherwise expressly set forth in this Agreement, all consents, authorizations, agreements, approvals, notices, demands and other communications to be given or delivered under or by reason of the provisions of this Agreement shall be in writing and shall be deemed to have been given when delivered personally or by documented overnight delivery services, or sent by facsimile or other electronic transmission service provided they are sent in a manner that provides confirmation of their receipt. Notices, demands, and communications to the respective Parties shall, unless another address is specified in writing, be sent to the address indicated below:</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Notice to PREMIER: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VP Operations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Premier Nutrition Corporation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188 Spear Street, Suite 600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94608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21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3" w:right="479" w:bottom="1440" w:gutter="0" w:footer="0" w:header="0"/>
        </w:sectPr>
      </w:pPr>
    </w:p>
    <w:bookmarkStart w:id="521" w:name="page522"/>
    <w:bookmarkEnd w:id="521"/>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JASPER/HERITAGE: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Stremicks Heritage Foods,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4002 Westminster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Santa Ana, CA 92703-1310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10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President of Jasper Products,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355" w:lineRule="exact"/>
        <w:rPr>
          <w:sz w:val="20"/>
          <w:szCs w:val="20"/>
          <w:color w:val="auto"/>
        </w:rPr>
      </w:pPr>
    </w:p>
    <w:p>
      <w:pPr>
        <w:ind w:left="960" w:hanging="538"/>
        <w:spacing w:after="0"/>
        <w:tabs>
          <w:tab w:leader="none" w:pos="96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TERMS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terms of this Agreement shall supersede and take precedent over any conflicting terms found in any purchase order issued by Premier or any invoice issued by Heritage.</w:t>
      </w:r>
    </w:p>
    <w:p>
      <w:pPr>
        <w:spacing w:after="0" w:line="314" w:lineRule="exact"/>
        <w:rPr>
          <w:sz w:val="20"/>
          <w:szCs w:val="20"/>
          <w:color w:val="auto"/>
        </w:rPr>
      </w:pPr>
    </w:p>
    <w:p>
      <w:pPr>
        <w:ind w:left="960" w:hanging="538"/>
        <w:spacing w:after="0"/>
        <w:tabs>
          <w:tab w:leader="none" w:pos="96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121" w:lineRule="exact"/>
        <w:rPr>
          <w:sz w:val="20"/>
          <w:szCs w:val="20"/>
          <w:color w:val="auto"/>
        </w:rPr>
      </w:pPr>
    </w:p>
    <w:p>
      <w:pPr>
        <w:ind w:right="640" w:firstLine="440"/>
        <w:spacing w:after="0" w:line="341" w:lineRule="auto"/>
        <w:rPr>
          <w:sz w:val="20"/>
          <w:szCs w:val="20"/>
          <w:color w:val="auto"/>
        </w:rPr>
      </w:pPr>
      <w:r>
        <w:rPr>
          <w:rFonts w:ascii="Arial" w:cs="Arial" w:eastAsia="Arial" w:hAnsi="Arial"/>
          <w:sz w:val="16"/>
          <w:szCs w:val="16"/>
          <w:color w:val="auto"/>
        </w:rPr>
        <w:t>The failure of either Party to assert a right hereunder or to insist upon compliance with any terms or condition of this Agreement shall not constitute a waiver of that right or excuse the subsequent performance or non-performance of any such term or condition by the other Party.</w:t>
      </w:r>
    </w:p>
    <w:p>
      <w:pPr>
        <w:spacing w:after="0" w:line="269" w:lineRule="exact"/>
        <w:rPr>
          <w:sz w:val="20"/>
          <w:szCs w:val="20"/>
          <w:color w:val="auto"/>
        </w:rPr>
      </w:pPr>
    </w:p>
    <w:p>
      <w:pPr>
        <w:ind w:left="960" w:hanging="538"/>
        <w:spacing w:after="0"/>
        <w:tabs>
          <w:tab w:leader="none" w:pos="96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AND HEADINGS</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This Agreement, schedules or addenda attached hereto and incorporated herein, as amended from time to time, constitute the entire agreement of the Parties relating to the manufacture, packaging, storage, and shipping of the Products, and any prior or contemporaneous agreements or understandings relating thereto are superseded hereby. This Agreement may not be amended except by an instrument in writing duly executed on behalf of the Party against whom such amendment is sought to be enforced. All headings utilized herein are inserted for reference only and shall have no effect on the meaning or construction of any terms of this Agreement. Notwithstanding the above, Premier shall have the right to supplement, modify or amend, from time to time, the Specifications set forth on Schedule A attached hereto; provided, however, that no such modification or amendment shall become part of this Agreement until the same is delivered in writing to Heritage. All such modified products and their formulations are and shall remain the proprietary and sole property of Premier unless otherwise specified.</w:t>
      </w:r>
    </w:p>
    <w:p>
      <w:pPr>
        <w:spacing w:after="0" w:line="321" w:lineRule="exact"/>
        <w:rPr>
          <w:sz w:val="20"/>
          <w:szCs w:val="20"/>
          <w:color w:val="auto"/>
        </w:rPr>
      </w:pPr>
    </w:p>
    <w:p>
      <w:pPr>
        <w:ind w:left="960" w:hanging="538"/>
        <w:spacing w:after="0"/>
        <w:tabs>
          <w:tab w:leader="none" w:pos="9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Agreement, schedules or addenda attached hereto and incorporated herein, shall be binding upon and shall inure to the benefit of the Parties hereto and their respective assignees and successors in interest. This Agreement is not assignable or transferable by either Party, in whole or in part, without the prior written consent of the other Party; provided, however that Premier may assign this Agreement in the event that Premier is sold, merged into or with another entity, or undergoes a “change in control”. “Change in control” shall include without limitation (i) the cumulative sale, assignment or other transfer of voting or beneficial equity securities of Premier representing more than fifty percent (50%) of its voting or beneficial equity securities; (ii) Premier being a constituent party to a merger, reorganization or similar transaction; or (iii) a sale, assignment or other transfer of substantially all of Premier s assets or business.</w:t>
      </w:r>
    </w:p>
    <w:p>
      <w:pPr>
        <w:spacing w:after="0" w:line="338" w:lineRule="exact"/>
        <w:rPr>
          <w:sz w:val="20"/>
          <w:szCs w:val="20"/>
          <w:color w:val="auto"/>
        </w:rPr>
      </w:pPr>
    </w:p>
    <w:p>
      <w:pPr>
        <w:ind w:left="960" w:hanging="538"/>
        <w:spacing w:after="0"/>
        <w:tabs>
          <w:tab w:leader="none" w:pos="96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AND NON-COMPETITION</w:t>
      </w:r>
    </w:p>
    <w:p>
      <w:pPr>
        <w:spacing w:after="0" w:line="120" w:lineRule="exact"/>
        <w:rPr>
          <w:rFonts w:ascii="Arial" w:cs="Arial" w:eastAsia="Arial" w:hAnsi="Arial"/>
          <w:sz w:val="18"/>
          <w:szCs w:val="18"/>
          <w:b w:val="1"/>
          <w:bCs w:val="1"/>
          <w:color w:val="auto"/>
        </w:rPr>
      </w:pPr>
    </w:p>
    <w:p>
      <w:pPr>
        <w:ind w:right="300" w:firstLine="981"/>
        <w:spacing w:after="0" w:line="263" w:lineRule="auto"/>
        <w:tabs>
          <w:tab w:leader="none" w:pos="137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Nothing herein shall be construed to create a requirements contract or to require Premier to purchase any Products, other than the Minimum Annual Order Volume as specified in 2 (c). Premier reserves the right to buy Products or similar product from other co-packers, manufacturers, or third-parties.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522" w:name="page523"/>
    <w:bookmarkEnd w:id="522"/>
    <w:p>
      <w:pPr>
        <w:ind w:left="1380" w:hanging="399"/>
        <w:spacing w:after="0"/>
        <w:tabs>
          <w:tab w:leader="none" w:pos="1380" w:val="left"/>
        </w:tabs>
        <w:numPr>
          <w:ilvl w:val="1"/>
          <w:numId w:val="4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369" w:lineRule="exact"/>
        <w:rPr>
          <w:rFonts w:ascii="Arial" w:cs="Arial" w:eastAsia="Arial" w:hAnsi="Arial"/>
          <w:sz w:val="18"/>
          <w:szCs w:val="18"/>
          <w:color w:val="auto"/>
        </w:rPr>
      </w:pPr>
    </w:p>
    <w:p>
      <w:pPr>
        <w:ind w:left="960" w:hanging="538"/>
        <w:spacing w:after="0"/>
        <w:tabs>
          <w:tab w:leader="none" w:pos="96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ATTORNEY FEES</w:t>
      </w:r>
    </w:p>
    <w:p>
      <w:pPr>
        <w:spacing w:after="0" w:line="121"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Should either Heritage or Premier be required to institute legal action to enforce any of its rights set forth in this Agreement, then the prevailing Party shall be entitled to reimbursement for all reasonable attorneys’ fees and costs incurred as determined by the court in any such action. If Heritage or Premier become engaged in litigation (i) that is in any way connected with this Agreement and (ii) in which either or both of the Parties assert and file one or more claims against the other, the prevailing Party shall be entitled to an award of reasonable attorneys’ fees, court costs and out-of-pocket expenses, as determined by the trial court.</w:t>
      </w:r>
    </w:p>
    <w:p>
      <w:pPr>
        <w:spacing w:after="0" w:line="335" w:lineRule="exact"/>
        <w:rPr>
          <w:sz w:val="20"/>
          <w:szCs w:val="20"/>
          <w:color w:val="auto"/>
        </w:rPr>
      </w:pPr>
    </w:p>
    <w:p>
      <w:pPr>
        <w:ind w:left="960" w:hanging="538"/>
        <w:spacing w:after="0"/>
        <w:tabs>
          <w:tab w:leader="none" w:pos="96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21"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The relationship of Heritage to Premier under this Agreement shall be that of an independent contractor and no agency or employment relationship shall be implied by this Agreement. Accordingly, Heritage shall be responsible for payment of all taxes including federal, state and local taxes arising out of Heritage’s activities under this Agreement, including, but not limited to, federal and state income tax, social security tax, unemployment insurance tax, and any other taxes or business license fees as required.</w:t>
      </w:r>
    </w:p>
    <w:p>
      <w:pPr>
        <w:spacing w:after="0" w:line="330" w:lineRule="exact"/>
        <w:rPr>
          <w:sz w:val="20"/>
          <w:szCs w:val="20"/>
          <w:color w:val="auto"/>
        </w:rPr>
      </w:pPr>
    </w:p>
    <w:p>
      <w:pPr>
        <w:ind w:left="960" w:hanging="538"/>
        <w:spacing w:after="0"/>
        <w:tabs>
          <w:tab w:leader="none" w:pos="9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PRODUCT RECALLS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Premier shall have the sole right, exercisable in its discretion, to initiate and direct the content and scope of a recall, market withdrawal, stock recovery, product correction and/or advisory safety communication (any one or more referred to as a “Recall Action”) regarding the Products. At Premier’s option, Premier can direct Heritage to, and upon such direction Heritage shall, conduct such Recall Action (and Heritage shall ensure Jasper’s cooperation). Premier shall determine, in its sole discretion, the manner, text and timing of any publicity to be given such matters upon prior consultation with Heritage. In the event a Recall Action is initiated or directed by Premier, Heritage agrees to fully cooperate and take all such steps as are reasonably requested to implement the Recall Action in a timely and complete manner. Any and all action to be taken in connection with a Recall Action shall be in accordance with FDA policies and other applicable laws and regulations. Heritage shall bear all costs, fees and out-of-pocket expenses associated with any Recall Action which results from (i) Heritage’s or Jasper’s negligence or willful misconduct, (ii) Heritage’s or Jasper’s failure to comply with Product Specifications or the Post Holdings Quality Expectations Manual set forth on Schedule A, (iii) any breach of this Agreement by Heritage or (iv) ingredients or packaging materials purchased by Heritage or Jasper. In all other cases, Premier shall bear all costs associated with any Recall Action.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[Signature </w:t>
      </w:r>
      <w:r>
        <w:rPr>
          <w:rFonts w:ascii="Arial" w:cs="Arial" w:eastAsia="Arial" w:hAnsi="Arial"/>
          <w:sz w:val="18"/>
          <w:szCs w:val="18"/>
          <w:i w:val="1"/>
          <w:iCs w:val="1"/>
          <w:color w:val="auto"/>
        </w:rPr>
        <w:t>Page Next Following]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523" w:name="page524"/>
    <w:bookmarkEnd w:id="523"/>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executed by a duly authorized officer on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PREMIER NUTRITION CORPORATION</w:t>
            </w:r>
          </w:p>
        </w:tc>
        <w:tc>
          <w:tcPr>
            <w:tcW w:w="5860" w:type="dxa"/>
            <w:vAlign w:val="bottom"/>
            <w:gridSpan w:val="3"/>
          </w:tcPr>
          <w:p>
            <w:pPr>
              <w:ind w:left="700"/>
              <w:spacing w:after="0"/>
              <w:rPr>
                <w:sz w:val="20"/>
                <w:szCs w:val="20"/>
                <w:color w:val="auto"/>
              </w:rPr>
            </w:pPr>
            <w:r>
              <w:rPr>
                <w:rFonts w:ascii="Arial" w:cs="Arial" w:eastAsia="Arial" w:hAnsi="Arial"/>
                <w:sz w:val="18"/>
                <w:szCs w:val="18"/>
                <w:color w:val="auto"/>
              </w:rPr>
              <w:t>STREMICKS HERITAGE FOODS, LLC</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/s/ Darcy Davenport</w:t>
            </w:r>
          </w:p>
        </w:tc>
        <w:tc>
          <w:tcPr>
            <w:tcW w:w="1900" w:type="dxa"/>
            <w:vAlign w:val="bottom"/>
          </w:tcPr>
          <w:p>
            <w:pPr>
              <w:ind w:left="700"/>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/s/ Sam Stremick</w:t>
            </w: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NAME (print):</w:t>
            </w: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900" w:type="dxa"/>
            <w:vAlign w:val="bottom"/>
          </w:tcPr>
          <w:p>
            <w:pPr>
              <w:ind w:left="700"/>
              <w:spacing w:after="0"/>
              <w:rPr>
                <w:sz w:val="20"/>
                <w:szCs w:val="20"/>
                <w:color w:val="auto"/>
              </w:rPr>
            </w:pPr>
            <w:r>
              <w:rPr>
                <w:rFonts w:ascii="Arial" w:cs="Arial" w:eastAsia="Arial" w:hAnsi="Arial"/>
                <w:sz w:val="18"/>
                <w:szCs w:val="18"/>
                <w:color w:val="auto"/>
              </w:rPr>
              <w:t>NAME (print):</w:t>
            </w:r>
          </w:p>
        </w:tc>
        <w:tc>
          <w:tcPr>
            <w:tcW w:w="1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c>
          <w:tcPr>
            <w:tcW w:w="1900" w:type="dxa"/>
            <w:vAlign w:val="bottom"/>
          </w:tcPr>
          <w:p>
            <w:pPr>
              <w:ind w:left="70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spacing w:after="0"/>
              <w:rPr>
                <w:sz w:val="20"/>
                <w:szCs w:val="20"/>
                <w:color w:val="auto"/>
              </w:rPr>
            </w:pPr>
            <w:r>
              <w:rPr>
                <w:rFonts w:ascii="Arial" w:cs="Arial" w:eastAsia="Arial" w:hAnsi="Arial"/>
                <w:sz w:val="18"/>
                <w:szCs w:val="18"/>
                <w:color w:val="auto"/>
              </w:rPr>
              <w:t>1/8/18</w:t>
            </w:r>
          </w:p>
        </w:tc>
        <w:tc>
          <w:tcPr>
            <w:tcW w:w="1900" w:type="dxa"/>
            <w:vAlign w:val="bottom"/>
          </w:tcPr>
          <w:p>
            <w:pPr>
              <w:ind w:left="700"/>
              <w:spacing w:after="0"/>
              <w:rPr>
                <w:sz w:val="20"/>
                <w:szCs w:val="20"/>
                <w:color w:val="auto"/>
              </w:rPr>
            </w:pPr>
            <w:r>
              <w:rPr>
                <w:rFonts w:ascii="Arial" w:cs="Arial" w:eastAsia="Arial" w:hAnsi="Arial"/>
                <w:sz w:val="18"/>
                <w:szCs w:val="18"/>
                <w:color w:val="auto"/>
              </w:rPr>
              <w:t>DATE:</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1/8/18</w:t>
            </w:r>
          </w:p>
        </w:tc>
      </w:tr>
      <w:tr>
        <w:trPr>
          <w:trHeight w:val="364"/>
        </w:trPr>
        <w:tc>
          <w:tcPr>
            <w:tcW w:w="1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000"/>
          </w:cols>
          <w:pgMar w:left="460" w:top="274" w:right="439" w:bottom="1440" w:gutter="0" w:footer="0" w:header="0"/>
        </w:sectPr>
      </w:pPr>
    </w:p>
    <w:bookmarkStart w:id="524" w:name="page525"/>
    <w:bookmarkEnd w:id="524"/>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schedules described below have been omitted pursuant to Item 601(a)(5) of Registration S-K.]</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Schedules:</w:t>
      </w:r>
    </w:p>
    <w:p>
      <w:pPr>
        <w:spacing w:after="0" w:line="134" w:lineRule="exact"/>
        <w:rPr>
          <w:sz w:val="20"/>
          <w:szCs w:val="20"/>
          <w:color w:val="auto"/>
        </w:rPr>
      </w:pPr>
    </w:p>
    <w:p>
      <w:pPr>
        <w:ind w:left="430" w:hanging="430"/>
        <w:spacing w:after="0"/>
        <w:tabs>
          <w:tab w:leader="none" w:pos="43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Products Processing and Analytical Requirements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HERITAGE Records</w:t>
      </w:r>
    </w:p>
    <w:p>
      <w:pPr>
        <w:spacing w:after="0" w:line="130" w:lineRule="exact"/>
        <w:rPr>
          <w:rFonts w:ascii="Arial" w:cs="Arial" w:eastAsia="Arial" w:hAnsi="Arial"/>
          <w:sz w:val="18"/>
          <w:szCs w:val="18"/>
          <w:color w:val="auto"/>
        </w:rPr>
      </w:pPr>
    </w:p>
    <w:p>
      <w:pPr>
        <w:ind w:left="430" w:hanging="430"/>
        <w:spacing w:after="0" w:line="277" w:lineRule="auto"/>
        <w:tabs>
          <w:tab w:leader="none" w:pos="43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Ingredients &amp; Materials to be supplied by HERITAGE and PREMIER, waste allowance, pricing schedule and all other terms and conditions of sale.</w:t>
      </w:r>
    </w:p>
    <w:p>
      <w:pPr>
        <w:spacing w:after="0" w:line="75" w:lineRule="exact"/>
        <w:rPr>
          <w:rFonts w:ascii="Arial" w:cs="Arial" w:eastAsia="Arial" w:hAnsi="Arial"/>
          <w:sz w:val="18"/>
          <w:szCs w:val="18"/>
          <w:color w:val="auto"/>
        </w:rPr>
      </w:pPr>
    </w:p>
    <w:p>
      <w:pPr>
        <w:ind w:left="430" w:hanging="430"/>
        <w:spacing w:after="0"/>
        <w:tabs>
          <w:tab w:leader="none" w:pos="43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Premier Nutrition Contacts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Post Holdings Quality Expectations Manual</w:t>
      </w:r>
    </w:p>
    <w:p>
      <w:pPr>
        <w:sectPr>
          <w:pgSz w:w="11900" w:h="16838" w:orient="portrait"/>
          <w:cols w:equalWidth="0" w:num="1">
            <w:col w:w="10710"/>
          </w:cols>
          <w:pgMar w:left="450" w:top="269" w:right="739" w:bottom="1440" w:gutter="0" w:footer="0" w:header="0"/>
        </w:sectPr>
      </w:pPr>
    </w:p>
    <w:bookmarkStart w:id="525" w:name="page526"/>
    <w:bookmarkEnd w:id="525"/>
    <w:p>
      <w:pPr>
        <w:jc w:val="center"/>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 TO STREMICK’S HERITAGE FOODS, LLC and PREMIER NUTRITION CORPORATION MANUFACTURING AGREEMENT</w:t>
      </w:r>
    </w:p>
    <w:p>
      <w:pPr>
        <w:spacing w:after="0" w:line="16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 xml:space="preserve">This Amendment No. 1 (the “Amendment”), entered into by and between Stremick’s Heritage Foods, LLC (“Heritage”) Premier Nutrition Corporation (“Premier”) is effective as of </w:t>
      </w:r>
      <w:r>
        <w:rPr>
          <w:rFonts w:ascii="Arial" w:cs="Arial" w:eastAsia="Arial" w:hAnsi="Arial"/>
          <w:sz w:val="16"/>
          <w:szCs w:val="16"/>
          <w:u w:val="single" w:color="auto"/>
          <w:color w:val="auto"/>
        </w:rPr>
        <w:t>June 11, 2018</w:t>
      </w:r>
      <w:r>
        <w:rPr>
          <w:rFonts w:ascii="Arial" w:cs="Arial" w:eastAsia="Arial" w:hAnsi="Arial"/>
          <w:sz w:val="16"/>
          <w:szCs w:val="16"/>
          <w:color w:val="auto"/>
        </w:rPr>
        <w:t xml:space="preserve"> (“Amendment Effective Date”) and amends that certain Manufacturing Agreement between Heritage and Premier dated </w:t>
      </w:r>
      <w:r>
        <w:rPr>
          <w:rFonts w:ascii="Arial" w:cs="Arial" w:eastAsia="Arial" w:hAnsi="Arial"/>
          <w:sz w:val="16"/>
          <w:szCs w:val="16"/>
          <w:u w:val="single" w:color="auto"/>
          <w:color w:val="auto"/>
        </w:rPr>
        <w:t>July 1, 2017</w:t>
      </w:r>
      <w:r>
        <w:rPr>
          <w:rFonts w:ascii="Arial" w:cs="Arial" w:eastAsia="Arial" w:hAnsi="Arial"/>
          <w:sz w:val="16"/>
          <w:szCs w:val="16"/>
          <w:color w:val="auto"/>
        </w:rPr>
        <w:t xml:space="preserve"> (“Agreement”). Heritage and Premier are each referred to herein as a “Party” and collectively as the “Parties.”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Heritage and Premier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in accordance with the terms and conditions set forth herein.</w:t>
      </w:r>
    </w:p>
    <w:p>
      <w:pPr>
        <w:spacing w:after="0" w:line="22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covenants, representations and warranties contained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herein, the Parties hereby agree that the following changes shall be made to the Agreement:</w:t>
      </w:r>
    </w:p>
    <w:p>
      <w:pPr>
        <w:spacing w:after="0" w:line="167" w:lineRule="exact"/>
        <w:rPr>
          <w:sz w:val="20"/>
          <w:szCs w:val="20"/>
          <w:color w:val="auto"/>
        </w:rPr>
      </w:pPr>
    </w:p>
    <w:p>
      <w:pPr>
        <w:ind w:left="740" w:hanging="310"/>
        <w:spacing w:after="0"/>
        <w:tabs>
          <w:tab w:leader="none" w:pos="7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Parties hereby agree to remove Section 2(c) in its entirety and replace it with the following:</w:t>
      </w:r>
    </w:p>
    <w:p>
      <w:pPr>
        <w:spacing w:after="0" w:line="116" w:lineRule="exact"/>
        <w:rPr>
          <w:rFonts w:ascii="Arial" w:cs="Arial" w:eastAsia="Arial" w:hAnsi="Arial"/>
          <w:sz w:val="18"/>
          <w:szCs w:val="18"/>
          <w:color w:val="auto"/>
        </w:rPr>
      </w:pPr>
    </w:p>
    <w:p>
      <w:pPr>
        <w:ind w:left="760" w:right="180"/>
        <w:spacing w:after="0" w:line="255" w:lineRule="auto"/>
        <w:rPr>
          <w:rFonts w:ascii="Arial" w:cs="Arial" w:eastAsia="Arial" w:hAnsi="Arial"/>
          <w:sz w:val="18"/>
          <w:szCs w:val="18"/>
          <w:color w:val="auto"/>
        </w:rPr>
      </w:pPr>
      <w:r>
        <w:rPr>
          <w:rFonts w:ascii="Arial" w:cs="Arial" w:eastAsia="Arial" w:hAnsi="Arial"/>
          <w:sz w:val="18"/>
          <w:szCs w:val="18"/>
          <w:color w:val="auto"/>
        </w:rPr>
        <w:t>During the Term of this Agreement, Premier shall be required to purchase a Minimum Annual Order Volume (“MAOV”) of [***] (“Units”) for the twelve-month period commencing July 1, 2018 and ending June 30, 2019. The MAOV [***] Units for each twelve-month period commencing July 1, 2019 through the end of the Term, contingent upon commercial aseptic production at Heritage’s [***] facility and approval of that facility by Premier by January 1, 2019. For the avoidance of doubt, the six-month period commencing July 1, 2022 and ending December 31, 2022, Premier will be required to purchase [***] (the twelve-month periods and the six-month period are each a “Contract Period”).</w:t>
      </w:r>
    </w:p>
    <w:p>
      <w:pPr>
        <w:spacing w:after="0" w:line="191" w:lineRule="exact"/>
        <w:rPr>
          <w:rFonts w:ascii="Arial" w:cs="Arial" w:eastAsia="Arial" w:hAnsi="Arial"/>
          <w:sz w:val="18"/>
          <w:szCs w:val="18"/>
          <w:color w:val="auto"/>
        </w:rPr>
      </w:pPr>
    </w:p>
    <w:p>
      <w:pPr>
        <w:ind w:right="60" w:firstLine="430"/>
        <w:spacing w:after="0" w:line="277" w:lineRule="auto"/>
        <w:tabs>
          <w:tab w:leader="none" w:pos="75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66" w:lineRule="exact"/>
        <w:rPr>
          <w:sz w:val="20"/>
          <w:szCs w:val="20"/>
          <w:color w:val="auto"/>
        </w:rPr>
      </w:pPr>
    </w:p>
    <w:p>
      <w:pPr>
        <w:ind w:right="740"/>
        <w:spacing w:after="0" w:line="28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to be signed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Premier Nutrition Corporation</w:t>
            </w:r>
          </w:p>
        </w:tc>
        <w:tc>
          <w:tcPr>
            <w:tcW w:w="5860" w:type="dxa"/>
            <w:vAlign w:val="bottom"/>
            <w:gridSpan w:val="3"/>
          </w:tcPr>
          <w:p>
            <w:pPr>
              <w:ind w:left="700"/>
              <w:spacing w:after="0"/>
              <w:rPr>
                <w:sz w:val="20"/>
                <w:szCs w:val="20"/>
                <w:color w:val="auto"/>
              </w:rPr>
            </w:pPr>
            <w:r>
              <w:rPr>
                <w:rFonts w:ascii="Arial" w:cs="Arial" w:eastAsia="Arial" w:hAnsi="Arial"/>
                <w:sz w:val="18"/>
                <w:szCs w:val="18"/>
                <w:b w:val="1"/>
                <w:bCs w:val="1"/>
                <w:color w:val="auto"/>
              </w:rPr>
              <w:t>Stremick’s Heritage Foods, LLC.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/s/ Sam Stremick</w:t>
            </w:r>
          </w:p>
        </w:tc>
      </w:tr>
      <w:tr>
        <w:trPr>
          <w:trHeight w:val="208"/>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000"/>
          </w:cols>
          <w:pgMar w:left="460" w:top="270" w:right="439" w:bottom="1440" w:gutter="0" w:footer="0" w:header="0"/>
        </w:sectPr>
      </w:pPr>
    </w:p>
    <w:bookmarkStart w:id="526" w:name="page527"/>
    <w:bookmarkEnd w:id="5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2 TO STREMICK’S HERITAGE FOODS, LLC and PREMIER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NUTRITION CORPORATION MANUFACTURING AGREEMENT</w:t>
      </w:r>
    </w:p>
    <w:p>
      <w:pPr>
        <w:spacing w:after="0" w:line="21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Second Amendment (“Second Amendment”), entered into by and between Stremick’s Heritage Foods, LLC, (“Heritage”), Premier Nutrition Corporation (“Premier”) is effective as of October 1, 2018 (“Second Amendment Effective Date”) and amends that certain Manufacturing Agreement between Heritage and Premier dated July 1, 2017 (“Agreement”). Heritage and Premier are each referred to herein as a “Party” and collectively as the “Parties”.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PREMIER and HERITAGE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wish to extend and amend the Agreement in accordance with the terms and conditions set forth herein; and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WHEREAS, HERITAGE [***] desires to produce Products packaged in aseptic plastic bottles (“Bottled Products”) for PREMIER in accordance with the terms and conditions set forth in the Agreement, as well as those set forth herein, [***]; and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promises and of the mutual covenants, representations and warranties, contained in the Agreement and set forth herein, the Parties hereby agree that the following changes be made to the Agreement:</w:t>
      </w:r>
    </w:p>
    <w:p>
      <w:pPr>
        <w:spacing w:after="0" w:line="75" w:lineRule="exact"/>
        <w:rPr>
          <w:sz w:val="20"/>
          <w:szCs w:val="20"/>
          <w:color w:val="auto"/>
        </w:rPr>
      </w:pPr>
    </w:p>
    <w:p>
      <w:pPr>
        <w:ind w:left="960" w:right="160" w:hanging="538"/>
        <w:spacing w:after="0" w:line="279" w:lineRule="auto"/>
        <w:tabs>
          <w:tab w:leader="none" w:pos="96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Term. This Second Amendment shall be effective from The Second Amendment Effective Date and shall expire on December 31, 2021. Upon expiration, this Second Amendment shall be of no further force or effect, and the terms and conditions of the Agreement shall as they were before the Second Amendment Effective Date. Notwithstanding anything herein to the contrary, a Party’s right to enforce the terms and conditions of this Second Amendment shall survive the Second Amendment’s expiration.</w:t>
      </w:r>
    </w:p>
    <w:p>
      <w:pPr>
        <w:spacing w:after="0" w:line="75" w:lineRule="exact"/>
        <w:rPr>
          <w:rFonts w:ascii="Arial" w:cs="Arial" w:eastAsia="Arial" w:hAnsi="Arial"/>
          <w:sz w:val="17"/>
          <w:szCs w:val="17"/>
          <w:color w:val="auto"/>
        </w:rPr>
      </w:pPr>
    </w:p>
    <w:p>
      <w:pPr>
        <w:ind w:left="980" w:right="4820" w:hanging="558"/>
        <w:spacing w:after="0" w:line="482" w:lineRule="auto"/>
        <w:tabs>
          <w:tab w:leader="none" w:pos="961" w:val="left"/>
        </w:tabs>
        <w:numPr>
          <w:ilvl w:val="0"/>
          <w:numId w:val="495"/>
        </w:numPr>
        <w:rPr>
          <w:rFonts w:ascii="Arial" w:cs="Arial" w:eastAsia="Arial" w:hAnsi="Arial"/>
          <w:sz w:val="16"/>
          <w:szCs w:val="16"/>
          <w:color w:val="auto"/>
        </w:rPr>
      </w:pPr>
      <w:r>
        <w:rPr>
          <w:rFonts w:ascii="Arial" w:cs="Arial" w:eastAsia="Arial" w:hAnsi="Arial"/>
          <w:sz w:val="16"/>
          <w:szCs w:val="16"/>
          <w:color w:val="auto"/>
        </w:rPr>
        <w:t>1 BASIC TERMS. Section 1, of the Agreement is amended as follows: a. Section 1(a)(viii) is removed in its entirety and replaced with: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“(viii) Pricing and Terms for Tetra 325 ml Dreamcaps ........................ Schedule C”</w:t>
      </w:r>
    </w:p>
    <w:p>
      <w:pPr>
        <w:spacing w:after="0" w:line="22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 new section, Section 1(a)(xi), is inserted to read</w:t>
      </w:r>
    </w:p>
    <w:p>
      <w:pPr>
        <w:sectPr>
          <w:pgSz w:w="11900" w:h="16838" w:orient="portrait"/>
          <w:cols w:equalWidth="0" w:num="1">
            <w:col w:w="10900"/>
          </w:cols>
          <w:pgMar w:left="460" w:top="270" w:right="539" w:bottom="1440" w:gutter="0" w:footer="0" w:header="0"/>
        </w:sectPr>
      </w:pP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Pricing and Terms for Aseptic Plastic Bottles ........................... Schedule C-1”</w:t>
      </w:r>
    </w:p>
    <w:p>
      <w:pPr>
        <w:spacing w:after="0" w:line="222" w:lineRule="exact"/>
        <w:rPr>
          <w:sz w:val="20"/>
          <w:szCs w:val="20"/>
          <w:color w:val="auto"/>
        </w:rPr>
      </w:pPr>
    </w:p>
    <w:p>
      <w:pPr>
        <w:sectPr>
          <w:pgSz w:w="11900" w:h="16838" w:orient="portrait"/>
          <w:cols w:equalWidth="0" w:num="2">
            <w:col w:w="1320" w:space="180"/>
            <w:col w:w="9400"/>
          </w:cols>
          <w:pgMar w:left="460" w:top="270" w:right="539" w:bottom="1440" w:gutter="0" w:footer="0" w:header="0"/>
          <w:type w:val="continuous"/>
        </w:sectPr>
      </w:pPr>
    </w:p>
    <w:p>
      <w:pPr>
        <w:spacing w:after="0" w:line="173" w:lineRule="exact"/>
        <w:rPr>
          <w:sz w:val="20"/>
          <w:szCs w:val="20"/>
          <w:color w:val="auto"/>
        </w:rPr>
      </w:pPr>
    </w:p>
    <w:p>
      <w:pPr>
        <w:ind w:left="960" w:hanging="538"/>
        <w:spacing w:after="0"/>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PRODUCTION OF PRODUCT.</w:t>
      </w:r>
    </w:p>
    <w:p>
      <w:pPr>
        <w:spacing w:after="0" w:line="11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Section 2(a) of the Agreement is amended so that the first sentence that previously read:</w:t>
      </w:r>
    </w:p>
    <w:p>
      <w:pPr>
        <w:spacing w:after="0" w:line="117" w:lineRule="exact"/>
        <w:rPr>
          <w:sz w:val="20"/>
          <w:szCs w:val="20"/>
          <w:color w:val="auto"/>
        </w:rPr>
      </w:pPr>
    </w:p>
    <w:p>
      <w:pPr>
        <w:ind w:right="260" w:firstLine="1431"/>
        <w:spacing w:after="0" w:line="341" w:lineRule="auto"/>
        <w:rPr>
          <w:sz w:val="20"/>
          <w:szCs w:val="20"/>
          <w:color w:val="auto"/>
        </w:rPr>
      </w:pPr>
      <w:r>
        <w:rPr>
          <w:rFonts w:ascii="Arial" w:cs="Arial" w:eastAsia="Arial" w:hAnsi="Arial"/>
          <w:sz w:val="16"/>
          <w:szCs w:val="16"/>
          <w:color w:val="auto"/>
        </w:rPr>
        <w:t>“Heritage shall produce the products described on Schedule A attached hereto, as may be amended by the Parties hereafter from time to time (the “Products”), for Premier at [***] Heritage’s or Heritage’s wholly owned subsidiary, Jasper’s facilities (the “Facilities”). [***]”</w:t>
      </w:r>
    </w:p>
    <w:p>
      <w:pPr>
        <w:sectPr>
          <w:pgSz w:w="11900" w:h="16838" w:orient="portrait"/>
          <w:cols w:equalWidth="0" w:num="1">
            <w:col w:w="10900"/>
          </w:cols>
          <w:pgMar w:left="460" w:top="270" w:right="539" w:bottom="1440" w:gutter="0" w:footer="0" w:header="0"/>
          <w:type w:val="continuous"/>
        </w:sectPr>
      </w:pPr>
    </w:p>
    <w:bookmarkStart w:id="527" w:name="page528"/>
    <w:bookmarkEnd w:id="5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reads:</w:t>
      </w:r>
    </w:p>
    <w:p>
      <w:pPr>
        <w:spacing w:after="0" w:line="117" w:lineRule="exact"/>
        <w:rPr>
          <w:sz w:val="20"/>
          <w:szCs w:val="20"/>
          <w:color w:val="auto"/>
        </w:rPr>
      </w:pPr>
    </w:p>
    <w:p>
      <w:pPr>
        <w:jc w:val="both"/>
        <w:ind w:left="980" w:right="20" w:firstLine="401"/>
        <w:spacing w:after="0" w:line="311" w:lineRule="auto"/>
        <w:rPr>
          <w:sz w:val="20"/>
          <w:szCs w:val="20"/>
          <w:color w:val="auto"/>
        </w:rPr>
      </w:pPr>
      <w:r>
        <w:rPr>
          <w:rFonts w:ascii="Arial" w:cs="Arial" w:eastAsia="Arial" w:hAnsi="Arial"/>
          <w:sz w:val="16"/>
          <w:szCs w:val="16"/>
          <w:color w:val="auto"/>
        </w:rPr>
        <w:t>“Heritage shall produce the products described on Schedule A and Schedule A-1 attached hereto, as may be amended by the Parties hereafter from time to time (the “Products,” each individual unit of Product “Unit”), for Premier at [***] Heritage’s or Heritage’s wholly owned subsidiary, Jasper’s facilities (the “Facilities”). [***], except that, notwithstanding anything herein to the contrary, [***].”</w:t>
      </w:r>
    </w:p>
    <w:p>
      <w:pPr>
        <w:spacing w:after="0" w:line="148" w:lineRule="exact"/>
        <w:rPr>
          <w:sz w:val="20"/>
          <w:szCs w:val="20"/>
          <w:color w:val="auto"/>
        </w:rPr>
      </w:pPr>
    </w:p>
    <w:p>
      <w:pPr>
        <w:ind w:left="1300" w:hanging="319"/>
        <w:spacing w:after="0"/>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Section 2(c) of the Agreement is amended so that the term “Units” as defined therein is now referred to as “Tetra Units”.</w:t>
      </w:r>
    </w:p>
    <w:p>
      <w:pPr>
        <w:spacing w:after="0" w:line="224" w:lineRule="exact"/>
        <w:rPr>
          <w:rFonts w:ascii="Arial" w:cs="Arial" w:eastAsia="Arial" w:hAnsi="Arial"/>
          <w:sz w:val="18"/>
          <w:szCs w:val="18"/>
          <w:color w:val="auto"/>
        </w:rPr>
      </w:pPr>
    </w:p>
    <w:p>
      <w:pPr>
        <w:ind w:left="1280" w:hanging="299"/>
        <w:spacing w:after="0"/>
        <w:tabs>
          <w:tab w:leader="none" w:pos="12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Section 2(d) of the Agreement is amended so that whereas it previously read:</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“During the Term, Premier shall have the right (but not the obligation) to order from Heritage quantities of Products in excess of</w:t>
      </w:r>
    </w:p>
    <w:p>
      <w:pPr>
        <w:spacing w:after="0" w:line="46" w:lineRule="exact"/>
        <w:rPr>
          <w:sz w:val="20"/>
          <w:szCs w:val="20"/>
          <w:color w:val="auto"/>
        </w:rPr>
      </w:pPr>
    </w:p>
    <w:p>
      <w:pPr>
        <w:ind w:left="980" w:firstLine="1"/>
        <w:spacing w:after="0" w:line="260" w:lineRule="auto"/>
        <w:tabs>
          <w:tab w:leader="none" w:pos="141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and provided Heritage has the capacity and the ability to produce such additional quantities of Products, Heritage agrees to produce such additional quantities per the pricing and terms on Schedule 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“During the Term, Premier shall have the right (but not the obligation) to order from Heritage quantities of Products in in excess of</w:t>
      </w:r>
    </w:p>
    <w:p>
      <w:pPr>
        <w:spacing w:after="0" w:line="46" w:lineRule="exact"/>
        <w:rPr>
          <w:sz w:val="20"/>
          <w:szCs w:val="20"/>
          <w:color w:val="auto"/>
        </w:rPr>
      </w:pPr>
    </w:p>
    <w:p>
      <w:pPr>
        <w:ind w:left="980" w:firstLine="1"/>
        <w:spacing w:after="0" w:line="260" w:lineRule="auto"/>
        <w:tabs>
          <w:tab w:leader="none" w:pos="141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and provided Heritage has the capacity and the ability to produce such additional quantities of Products, Heritage agrees to produce such additional quantities per the pricing and terms on Schedule C.”</w:t>
      </w:r>
    </w:p>
    <w:p>
      <w:pPr>
        <w:spacing w:after="0" w:line="185" w:lineRule="exact"/>
        <w:rPr>
          <w:sz w:val="20"/>
          <w:szCs w:val="20"/>
          <w:color w:val="auto"/>
        </w:rPr>
      </w:pPr>
    </w:p>
    <w:p>
      <w:pPr>
        <w:ind w:left="1420" w:right="4060" w:hanging="439"/>
        <w:spacing w:after="0" w:line="402" w:lineRule="auto"/>
        <w:tabs>
          <w:tab w:leader="none" w:pos="129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Section 2(e) of the Agreement is amended so that whereas it previously read: [***]</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420" w:right="4080" w:hanging="439"/>
        <w:spacing w:after="0" w:line="402" w:lineRule="auto"/>
        <w:tabs>
          <w:tab w:leader="none" w:pos="1284"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Section 2(f) of the Agreement is amended so that whereas it previously read: [***]</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0" w:firstLine="981"/>
        <w:spacing w:after="0" w:line="277" w:lineRule="auto"/>
        <w:tabs>
          <w:tab w:leader="none" w:pos="127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Section 2(m) of the Agreement is amended so that the term “Units” appearing in the second complete sentence is replaced with the term “Tetra Units”.</w:t>
      </w:r>
    </w:p>
    <w:p>
      <w:pPr>
        <w:spacing w:after="0" w:line="169" w:lineRule="exact"/>
        <w:rPr>
          <w:rFonts w:ascii="Arial" w:cs="Arial" w:eastAsia="Arial" w:hAnsi="Arial"/>
          <w:sz w:val="18"/>
          <w:szCs w:val="18"/>
          <w:color w:val="auto"/>
        </w:rPr>
      </w:pPr>
    </w:p>
    <w:p>
      <w:pPr>
        <w:ind w:left="1300" w:hanging="319"/>
        <w:spacing w:after="0"/>
        <w:tabs>
          <w:tab w:leader="none" w:pos="13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Section 2(n) of the Agreement is amended so that the last sentence that previously read: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final production quantity by Heritage and Jasper will count towards the MAOV requirements”</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60" w:top="274" w:right="559" w:bottom="1440" w:gutter="0" w:footer="0" w:header="0"/>
        </w:sectPr>
      </w:pPr>
    </w:p>
    <w:bookmarkStart w:id="528" w:name="page529"/>
    <w:bookmarkEnd w:id="528"/>
    <w:p>
      <w:pPr>
        <w:ind w:left="45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reads:</w:t>
      </w:r>
    </w:p>
    <w:p>
      <w:pPr>
        <w:spacing w:after="0" w:line="117" w:lineRule="exact"/>
        <w:rPr>
          <w:sz w:val="20"/>
          <w:szCs w:val="20"/>
          <w:color w:val="auto"/>
        </w:rPr>
      </w:pPr>
    </w:p>
    <w:p>
      <w:pPr>
        <w:ind w:left="450"/>
        <w:spacing w:after="0"/>
        <w:rPr>
          <w:sz w:val="20"/>
          <w:szCs w:val="20"/>
          <w:color w:val="auto"/>
        </w:rPr>
      </w:pPr>
      <w:r>
        <w:rPr>
          <w:rFonts w:ascii="Arial" w:cs="Arial" w:eastAsia="Arial" w:hAnsi="Arial"/>
          <w:sz w:val="18"/>
          <w:szCs w:val="18"/>
          <w:color w:val="auto"/>
        </w:rPr>
        <w:t>“The final production quantity of Tetra Units by Heritage and Jasper will count toward the MAOV requirements for Tetra Units.”</w:t>
      </w:r>
    </w:p>
    <w:p>
      <w:pPr>
        <w:spacing w:after="0" w:line="225" w:lineRule="exact"/>
        <w:rPr>
          <w:sz w:val="20"/>
          <w:szCs w:val="20"/>
          <w:color w:val="auto"/>
        </w:rPr>
      </w:pPr>
    </w:p>
    <w:p>
      <w:pPr>
        <w:ind w:left="990"/>
        <w:spacing w:after="0"/>
        <w:tabs>
          <w:tab w:leader="none" w:pos="1289"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Section 2(o)(i) of the Agreement is amended so that the first sentence that previously read:</w:t>
      </w:r>
    </w:p>
    <w:p>
      <w:pPr>
        <w:spacing w:after="0" w:line="117" w:lineRule="exact"/>
        <w:rPr>
          <w:sz w:val="20"/>
          <w:szCs w:val="20"/>
          <w:color w:val="auto"/>
        </w:rPr>
      </w:pPr>
    </w:p>
    <w:p>
      <w:pPr>
        <w:ind w:left="990" w:firstLine="401"/>
        <w:spacing w:after="0" w:line="279" w:lineRule="auto"/>
        <w:rPr>
          <w:sz w:val="20"/>
          <w:szCs w:val="20"/>
          <w:color w:val="auto"/>
        </w:rPr>
      </w:pPr>
      <w:r>
        <w:rPr>
          <w:rFonts w:ascii="Arial" w:cs="Arial" w:eastAsia="Arial" w:hAnsi="Arial"/>
          <w:sz w:val="17"/>
          <w:szCs w:val="17"/>
          <w:color w:val="auto"/>
        </w:rPr>
        <w:t>“All Products manufactured, packaged and delivered to Heritage or Jasper under the terms of this Agreement shall conform to the specifications supplied to Heritage by Premier as listed on Schedule A, which Schedule may from time to time be modified by Premier in writing (the “Specifications”), shall conform to Post Holding’s Quality Expectations Manual attached hereto as Schedule E, and shall conform in all material respects to samples previously supplied to Premier by Heritage.”</w:t>
      </w:r>
    </w:p>
    <w:p>
      <w:pPr>
        <w:spacing w:after="0" w:line="278" w:lineRule="exact"/>
        <w:rPr>
          <w:sz w:val="20"/>
          <w:szCs w:val="20"/>
          <w:color w:val="auto"/>
        </w:rPr>
      </w:pPr>
    </w:p>
    <w:p>
      <w:pPr>
        <w:ind w:left="450"/>
        <w:spacing w:after="0"/>
        <w:rPr>
          <w:sz w:val="20"/>
          <w:szCs w:val="20"/>
          <w:color w:val="auto"/>
        </w:rPr>
      </w:pPr>
      <w:r>
        <w:rPr>
          <w:rFonts w:ascii="Arial" w:cs="Arial" w:eastAsia="Arial" w:hAnsi="Arial"/>
          <w:sz w:val="18"/>
          <w:szCs w:val="18"/>
          <w:color w:val="auto"/>
        </w:rPr>
        <w:t>now reads:</w:t>
      </w:r>
    </w:p>
    <w:p>
      <w:pPr>
        <w:spacing w:after="0" w:line="117" w:lineRule="exact"/>
        <w:rPr>
          <w:sz w:val="20"/>
          <w:szCs w:val="20"/>
          <w:color w:val="auto"/>
        </w:rPr>
      </w:pPr>
    </w:p>
    <w:p>
      <w:pPr>
        <w:jc w:val="both"/>
        <w:ind w:left="990" w:right="120" w:firstLine="401"/>
        <w:spacing w:after="0" w:line="279" w:lineRule="auto"/>
        <w:rPr>
          <w:sz w:val="20"/>
          <w:szCs w:val="20"/>
          <w:color w:val="auto"/>
        </w:rPr>
      </w:pPr>
      <w:r>
        <w:rPr>
          <w:rFonts w:ascii="Arial" w:cs="Arial" w:eastAsia="Arial" w:hAnsi="Arial"/>
          <w:sz w:val="17"/>
          <w:szCs w:val="17"/>
          <w:color w:val="auto"/>
        </w:rPr>
        <w:t>“All Products manufactured, packaged and delivered by Heritage or Jasper under the terms of this Agreement shall conform to the specifications supplied to Heritage by Premier as listed on Schedule A and/or Schedule A-1, which Schedules may from time to time be modified by Premier in writing (the “Specifications”), shall conform to Post Holding’s Quality Expectations Manual attached hereto as Schedule E, and shall conform in all material respects to samples previously supplied to Premier by Heritage.”</w:t>
      </w:r>
    </w:p>
    <w:p>
      <w:pPr>
        <w:spacing w:after="0" w:line="319" w:lineRule="exact"/>
        <w:rPr>
          <w:sz w:val="20"/>
          <w:szCs w:val="20"/>
          <w:color w:val="auto"/>
        </w:rPr>
      </w:pPr>
    </w:p>
    <w:p>
      <w:pPr>
        <w:ind w:left="430" w:hanging="430"/>
        <w:spacing w:after="0"/>
        <w:tabs>
          <w:tab w:leader="none" w:pos="43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Section 3 DELIVER, PRICING, BILLING AND PAYMENT</w:t>
      </w:r>
    </w:p>
    <w:p>
      <w:pPr>
        <w:spacing w:after="0" w:line="117" w:lineRule="exact"/>
        <w:rPr>
          <w:sz w:val="20"/>
          <w:szCs w:val="20"/>
          <w:color w:val="auto"/>
        </w:rPr>
      </w:pPr>
    </w:p>
    <w:p>
      <w:pPr>
        <w:ind w:left="450"/>
        <w:spacing w:after="0"/>
        <w:tabs>
          <w:tab w:leader="none" w:pos="729"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Section 3(b) of the Agreement is amended so that whereas it previously read:</w:t>
      </w:r>
    </w:p>
    <w:p>
      <w:pPr>
        <w:spacing w:after="0" w:line="117" w:lineRule="exact"/>
        <w:rPr>
          <w:sz w:val="20"/>
          <w:szCs w:val="20"/>
          <w:color w:val="auto"/>
        </w:rPr>
      </w:pPr>
    </w:p>
    <w:p>
      <w:pPr>
        <w:ind w:left="990" w:right="660" w:firstLine="401"/>
        <w:spacing w:after="0" w:line="307" w:lineRule="auto"/>
        <w:rPr>
          <w:sz w:val="20"/>
          <w:szCs w:val="20"/>
          <w:color w:val="auto"/>
        </w:rPr>
      </w:pPr>
      <w:r>
        <w:rPr>
          <w:rFonts w:ascii="Arial" w:cs="Arial" w:eastAsia="Arial" w:hAnsi="Arial"/>
          <w:sz w:val="17"/>
          <w:szCs w:val="17"/>
          <w:color w:val="auto"/>
        </w:rPr>
        <w:t>“Heritage shall purchase all ingredients and packaging materials identified in Schedule C to be used in connection with the manufacturer of the Products. Heritage shall invoice Premier through the [***] billing as identified on Schedule C.”</w:t>
      </w:r>
    </w:p>
    <w:p>
      <w:pPr>
        <w:spacing w:after="0" w:line="255"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now reads:</w:t>
      </w:r>
    </w:p>
    <w:p>
      <w:pPr>
        <w:spacing w:after="0" w:line="117" w:lineRule="exact"/>
        <w:rPr>
          <w:sz w:val="20"/>
          <w:szCs w:val="20"/>
          <w:color w:val="auto"/>
        </w:rPr>
      </w:pPr>
    </w:p>
    <w:p>
      <w:pPr>
        <w:ind w:left="990" w:right="60" w:firstLine="401"/>
        <w:spacing w:after="0" w:line="311" w:lineRule="auto"/>
        <w:rPr>
          <w:sz w:val="20"/>
          <w:szCs w:val="20"/>
          <w:color w:val="auto"/>
        </w:rPr>
      </w:pPr>
      <w:r>
        <w:rPr>
          <w:rFonts w:ascii="Arial" w:cs="Arial" w:eastAsia="Arial" w:hAnsi="Arial"/>
          <w:sz w:val="16"/>
          <w:szCs w:val="16"/>
          <w:color w:val="auto"/>
        </w:rPr>
        <w:t>“Heritage shall purchase all ingredients and packaging materials identified in the relevant Schedule C or Schedule C-l to be used in connection with the manufacturer of the Products. Heritage shall invoice Premier through the [***] billing as identified on the relevant Schedule C or Schedule C-l. Heritage shall not, however, purchase ingredients or packaging materials in excess of those required [***].”</w:t>
      </w:r>
    </w:p>
    <w:p>
      <w:pPr>
        <w:spacing w:after="0" w:line="256" w:lineRule="exact"/>
        <w:rPr>
          <w:sz w:val="20"/>
          <w:szCs w:val="20"/>
          <w:color w:val="auto"/>
        </w:rPr>
      </w:pPr>
    </w:p>
    <w:p>
      <w:pPr>
        <w:ind w:left="1430" w:right="4040" w:hanging="439"/>
        <w:spacing w:after="0" w:line="397" w:lineRule="auto"/>
        <w:tabs>
          <w:tab w:leader="none" w:pos="1304" w:val="left"/>
        </w:tabs>
        <w:numPr>
          <w:ilvl w:val="1"/>
          <w:numId w:val="504"/>
        </w:numPr>
        <w:rPr>
          <w:rFonts w:ascii="Arial" w:cs="Arial" w:eastAsia="Arial" w:hAnsi="Arial"/>
          <w:sz w:val="17"/>
          <w:szCs w:val="17"/>
          <w:color w:val="auto"/>
        </w:rPr>
      </w:pPr>
      <w:r>
        <w:rPr>
          <w:rFonts w:ascii="Arial" w:cs="Arial" w:eastAsia="Arial" w:hAnsi="Arial"/>
          <w:sz w:val="17"/>
          <w:szCs w:val="17"/>
          <w:color w:val="auto"/>
        </w:rPr>
        <w:t>Section 3(c) of the Agreement is amended so that whereas it previously read: “Heritage shall charge Premier [***] as set forth in Schedule C.”</w:t>
      </w:r>
    </w:p>
    <w:p>
      <w:pPr>
        <w:ind w:left="1430"/>
        <w:spacing w:after="0"/>
        <w:rPr>
          <w:rFonts w:ascii="Arial" w:cs="Arial" w:eastAsia="Arial" w:hAnsi="Arial"/>
          <w:sz w:val="17"/>
          <w:szCs w:val="17"/>
          <w:color w:val="auto"/>
        </w:rPr>
      </w:pPr>
      <w:r>
        <w:rPr>
          <w:rFonts w:ascii="Arial" w:cs="Arial" w:eastAsia="Arial" w:hAnsi="Arial"/>
          <w:sz w:val="18"/>
          <w:szCs w:val="18"/>
          <w:color w:val="auto"/>
        </w:rPr>
        <w:t>it now reads:</w:t>
      </w:r>
    </w:p>
    <w:p>
      <w:pPr>
        <w:spacing w:after="0" w:line="116" w:lineRule="exact"/>
        <w:rPr>
          <w:rFonts w:ascii="Arial" w:cs="Arial" w:eastAsia="Arial" w:hAnsi="Arial"/>
          <w:sz w:val="17"/>
          <w:szCs w:val="17"/>
          <w:color w:val="auto"/>
        </w:rPr>
      </w:pPr>
    </w:p>
    <w:p>
      <w:pPr>
        <w:ind w:left="1430"/>
        <w:spacing w:after="0"/>
        <w:rPr>
          <w:rFonts w:ascii="Arial" w:cs="Arial" w:eastAsia="Arial" w:hAnsi="Arial"/>
          <w:sz w:val="17"/>
          <w:szCs w:val="17"/>
          <w:color w:val="auto"/>
        </w:rPr>
      </w:pPr>
      <w:r>
        <w:rPr>
          <w:rFonts w:ascii="Arial" w:cs="Arial" w:eastAsia="Arial" w:hAnsi="Arial"/>
          <w:sz w:val="18"/>
          <w:szCs w:val="18"/>
          <w:color w:val="auto"/>
        </w:rPr>
        <w:t>“Heritage shall charge Premier [***] as set forth in the relevant Schedule C or Schedule C-1.”</w:t>
      </w:r>
    </w:p>
    <w:p>
      <w:pPr>
        <w:spacing w:after="0" w:line="251" w:lineRule="exact"/>
        <w:rPr>
          <w:rFonts w:ascii="Arial" w:cs="Arial" w:eastAsia="Arial" w:hAnsi="Arial"/>
          <w:sz w:val="17"/>
          <w:szCs w:val="17"/>
          <w:color w:val="auto"/>
        </w:rPr>
      </w:pPr>
    </w:p>
    <w:p>
      <w:pPr>
        <w:ind w:left="4730" w:right="2960" w:hanging="4298"/>
        <w:spacing w:after="0" w:line="500" w:lineRule="auto"/>
        <w:tabs>
          <w:tab w:leader="none" w:pos="96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Schedule A-l. The following is attached to and incorporated into the Agreement as Schedule A-l: Schedule A-1 ([***])</w:t>
      </w:r>
    </w:p>
    <w:p>
      <w:pPr>
        <w:ind w:left="531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jc w:val="center"/>
        <w:ind w:right="-12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90"/>
          </w:cols>
          <w:pgMar w:left="450" w:top="274" w:right="559" w:bottom="1440" w:gutter="0" w:footer="0" w:header="0"/>
        </w:sectPr>
      </w:pPr>
    </w:p>
    <w:bookmarkStart w:id="529" w:name="page530"/>
    <w:bookmarkEnd w:id="529"/>
    <w:p>
      <w:pPr>
        <w:ind w:left="960" w:hanging="538"/>
        <w:spacing w:after="0"/>
        <w:tabs>
          <w:tab w:leader="none" w:pos="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 NOTICES is amended such that whereas Notice to PREMIER was required to:</w:t>
      </w:r>
    </w:p>
    <w:p>
      <w:pPr>
        <w:spacing w:after="0" w:line="11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“VP Operations</w:t>
      </w:r>
    </w:p>
    <w:p>
      <w:pPr>
        <w:spacing w:after="0" w:line="23" w:lineRule="exact"/>
        <w:rPr>
          <w:rFonts w:ascii="Arial" w:cs="Arial" w:eastAsia="Arial" w:hAnsi="Arial"/>
          <w:sz w:val="18"/>
          <w:szCs w:val="18"/>
          <w:color w:val="auto"/>
        </w:rPr>
      </w:pPr>
    </w:p>
    <w:p>
      <w:pPr>
        <w:ind w:left="980" w:right="7840"/>
        <w:spacing w:after="0" w:line="295" w:lineRule="auto"/>
        <w:rPr>
          <w:rFonts w:ascii="Arial" w:cs="Arial" w:eastAsia="Arial" w:hAnsi="Arial"/>
          <w:sz w:val="18"/>
          <w:szCs w:val="18"/>
          <w:color w:val="auto"/>
        </w:rPr>
      </w:pPr>
      <w:r>
        <w:rPr>
          <w:rFonts w:ascii="Arial" w:cs="Arial" w:eastAsia="Arial" w:hAnsi="Arial"/>
          <w:sz w:val="16"/>
          <w:szCs w:val="16"/>
          <w:color w:val="auto"/>
        </w:rPr>
        <w:t>Premier Nutrition Corporation 188 Spear Street, Suite 600 San Francisco, CA 94608 Email:[***]</w:t>
      </w:r>
    </w:p>
    <w:p>
      <w:pPr>
        <w:spacing w:after="0" w:line="52" w:lineRule="exact"/>
        <w:rPr>
          <w:rFonts w:ascii="Arial" w:cs="Arial" w:eastAsia="Arial" w:hAnsi="Arial"/>
          <w:sz w:val="18"/>
          <w:szCs w:val="18"/>
          <w:color w:val="auto"/>
        </w:rPr>
      </w:pPr>
    </w:p>
    <w:p>
      <w:pPr>
        <w:ind w:left="980" w:right="8760"/>
        <w:spacing w:after="0" w:line="311" w:lineRule="auto"/>
        <w:rPr>
          <w:rFonts w:ascii="Arial" w:cs="Arial" w:eastAsia="Arial" w:hAnsi="Arial"/>
          <w:sz w:val="18"/>
          <w:szCs w:val="18"/>
          <w:color w:val="auto"/>
        </w:rPr>
      </w:pPr>
      <w:r>
        <w:rPr>
          <w:rFonts w:ascii="Arial" w:cs="Arial" w:eastAsia="Arial" w:hAnsi="Arial"/>
          <w:sz w:val="16"/>
          <w:szCs w:val="16"/>
          <w:color w:val="auto"/>
        </w:rPr>
        <w:t>With a Copy to General Counsel: Email [***]”</w:t>
      </w:r>
    </w:p>
    <w:p>
      <w:pPr>
        <w:spacing w:after="0" w:line="4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it is now required to:</w:t>
      </w:r>
    </w:p>
    <w:p>
      <w:pPr>
        <w:spacing w:after="0" w:line="116" w:lineRule="exact"/>
        <w:rPr>
          <w:rFonts w:ascii="Arial" w:cs="Arial" w:eastAsia="Arial" w:hAnsi="Arial"/>
          <w:sz w:val="18"/>
          <w:szCs w:val="18"/>
          <w:color w:val="auto"/>
        </w:rPr>
      </w:pPr>
    </w:p>
    <w:p>
      <w:pPr>
        <w:ind w:left="980" w:right="7760"/>
        <w:spacing w:after="0" w:line="258" w:lineRule="auto"/>
        <w:rPr>
          <w:rFonts w:ascii="Arial" w:cs="Arial" w:eastAsia="Arial" w:hAnsi="Arial"/>
          <w:sz w:val="18"/>
          <w:szCs w:val="18"/>
          <w:color w:val="auto"/>
        </w:rPr>
      </w:pPr>
      <w:r>
        <w:rPr>
          <w:rFonts w:ascii="Arial" w:cs="Arial" w:eastAsia="Arial" w:hAnsi="Arial"/>
          <w:sz w:val="18"/>
          <w:szCs w:val="18"/>
          <w:color w:val="auto"/>
        </w:rPr>
        <w:t>“Premier Nutrition Corporation VP Operations</w:t>
      </w:r>
    </w:p>
    <w:p>
      <w:pPr>
        <w:spacing w:after="0" w:line="1" w:lineRule="exact"/>
        <w:rPr>
          <w:rFonts w:ascii="Arial" w:cs="Arial" w:eastAsia="Arial" w:hAnsi="Arial"/>
          <w:sz w:val="18"/>
          <w:szCs w:val="18"/>
          <w:color w:val="auto"/>
        </w:rPr>
      </w:pPr>
    </w:p>
    <w:p>
      <w:pPr>
        <w:ind w:left="980" w:right="8060"/>
        <w:spacing w:after="0" w:line="255" w:lineRule="auto"/>
        <w:rPr>
          <w:rFonts w:ascii="Arial" w:cs="Arial" w:eastAsia="Arial" w:hAnsi="Arial"/>
          <w:sz w:val="18"/>
          <w:szCs w:val="18"/>
          <w:color w:val="auto"/>
        </w:rPr>
      </w:pPr>
      <w:r>
        <w:rPr>
          <w:rFonts w:ascii="Arial" w:cs="Arial" w:eastAsia="Arial" w:hAnsi="Arial"/>
          <w:sz w:val="18"/>
          <w:szCs w:val="18"/>
          <w:color w:val="auto"/>
        </w:rPr>
        <w:t>1222 67th Street, Suite 210 Emeryville, CA 94608 Email: [***]</w:t>
      </w:r>
    </w:p>
    <w:p>
      <w:pPr>
        <w:spacing w:after="0" w:line="81" w:lineRule="exact"/>
        <w:rPr>
          <w:rFonts w:ascii="Arial" w:cs="Arial" w:eastAsia="Arial" w:hAnsi="Arial"/>
          <w:sz w:val="18"/>
          <w:szCs w:val="18"/>
          <w:color w:val="auto"/>
        </w:rPr>
      </w:pPr>
    </w:p>
    <w:p>
      <w:pPr>
        <w:ind w:left="980" w:right="8760"/>
        <w:spacing w:after="0" w:line="311" w:lineRule="auto"/>
        <w:rPr>
          <w:rFonts w:ascii="Arial" w:cs="Arial" w:eastAsia="Arial" w:hAnsi="Arial"/>
          <w:sz w:val="18"/>
          <w:szCs w:val="18"/>
          <w:color w:val="auto"/>
        </w:rPr>
      </w:pPr>
      <w:r>
        <w:rPr>
          <w:rFonts w:ascii="Arial" w:cs="Arial" w:eastAsia="Arial" w:hAnsi="Arial"/>
          <w:sz w:val="16"/>
          <w:szCs w:val="16"/>
          <w:color w:val="auto"/>
        </w:rPr>
        <w:t>With a Copy to General Counsel: Email [***]”</w:t>
      </w:r>
    </w:p>
    <w:p>
      <w:pPr>
        <w:spacing w:after="0" w:line="175" w:lineRule="exact"/>
        <w:rPr>
          <w:rFonts w:ascii="Arial" w:cs="Arial" w:eastAsia="Arial" w:hAnsi="Arial"/>
          <w:sz w:val="18"/>
          <w:szCs w:val="18"/>
          <w:color w:val="auto"/>
        </w:rPr>
      </w:pPr>
    </w:p>
    <w:p>
      <w:pPr>
        <w:ind w:left="960" w:hanging="538"/>
        <w:spacing w:after="0"/>
        <w:tabs>
          <w:tab w:leader="none" w:pos="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Schedule C-l. The following is attached to and incorporated into the Agreement as Schedule C-l: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430"/>
        <w:spacing w:after="0" w:line="277" w:lineRule="auto"/>
        <w:tabs>
          <w:tab w:leader="none" w:pos="75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a duly authorized officer on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PREMIER NUTRITION CORPORATION</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STREMICKS HERITAGE FOODS, LLC</w:t>
            </w:r>
          </w:p>
        </w:tc>
      </w:tr>
      <w:tr>
        <w:trPr>
          <w:trHeight w:val="230"/>
        </w:trPr>
        <w:tc>
          <w:tcPr>
            <w:tcW w:w="4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And as and for Jasper Products, LLC</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  /s/ Darcy Davenport</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Sam Stremick</w:t>
            </w: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ind w:left="700"/>
              <w:spacing w:after="0"/>
              <w:rPr>
                <w:sz w:val="20"/>
                <w:szCs w:val="20"/>
                <w:color w:val="auto"/>
              </w:rPr>
            </w:pPr>
            <w:r>
              <w:rPr>
                <w:rFonts w:ascii="Arial" w:cs="Arial" w:eastAsia="Arial" w:hAnsi="Arial"/>
                <w:sz w:val="18"/>
                <w:szCs w:val="18"/>
                <w:color w:val="auto"/>
              </w:rPr>
              <w:t>ITS:</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371"/>
        </w:trPr>
        <w:tc>
          <w:tcPr>
            <w:tcW w:w="4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4</w:t>
            </w:r>
          </w:p>
        </w:tc>
        <w:tc>
          <w:tcPr>
            <w:tcW w:w="4720" w:type="dxa"/>
            <w:vAlign w:val="bottom"/>
          </w:tcPr>
          <w:p>
            <w:pPr>
              <w:spacing w:after="0"/>
              <w:rPr>
                <w:sz w:val="24"/>
                <w:szCs w:val="24"/>
                <w:color w:val="auto"/>
              </w:rPr>
            </w:pPr>
          </w:p>
        </w:tc>
      </w:tr>
    </w:tbl>
    <w:p>
      <w:pPr>
        <w:sectPr>
          <w:pgSz w:w="11900" w:h="16838" w:orient="portrait"/>
          <w:cols w:equalWidth="0" w:num="1">
            <w:col w:w="11000"/>
          </w:cols>
          <w:pgMar w:left="460" w:top="273" w:right="439" w:bottom="1440" w:gutter="0" w:footer="0" w:header="0"/>
        </w:sectPr>
      </w:pPr>
    </w:p>
    <w:bookmarkStart w:id="530" w:name="page531"/>
    <w:bookmarkEnd w:id="530"/>
    <w:p>
      <w:pPr>
        <w:jc w:val="center"/>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3 TO STREMICK’S HERITAGE FOODS, LLC and PREMIER NUTRITION CORPORATION MANUFACTURING AGREEMENT</w:t>
      </w:r>
    </w:p>
    <w:p>
      <w:pPr>
        <w:spacing w:after="0" w:line="16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Amendment No. 3 (the “Third Amendment”), entered into by and between Stremicks Heritage Foods, LLC (“Heritage”) Premier Nutrition Corporation (“Premier”) is effective as of July 3, 2019 (“Third Amendment Effective Date”) and amends that certain Manufacturing Agreement between Heritage and Premier dated July 1, 2017 as amended (“Agreement”). Heritage and Premier are each referred to herein as a “Party” and collectively as the “Parties.”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Heritage and Premier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in accordance with the terms and conditions set forth herein.</w:t>
      </w:r>
    </w:p>
    <w:p>
      <w:pPr>
        <w:spacing w:after="0" w:line="22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covenants, representations and warranties contained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herein, the Parties hereby agree that the following changes shall be made to the Agreement:</w:t>
      </w:r>
    </w:p>
    <w:p>
      <w:pPr>
        <w:spacing w:after="0" w:line="167"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Parties hereby agree to remove Schedule C-1 in its entirety and replace it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177165</wp:posOffset>
            </wp:positionV>
            <wp:extent cx="698944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C-1. The following is attached to an incorporated into the Agreement as Schedule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177165</wp:posOffset>
            </wp:positionV>
            <wp:extent cx="698944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60" w:firstLine="430"/>
        <w:spacing w:after="0" w:line="277" w:lineRule="auto"/>
        <w:tabs>
          <w:tab w:leader="none" w:pos="75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66" w:lineRule="exact"/>
        <w:rPr>
          <w:sz w:val="20"/>
          <w:szCs w:val="20"/>
          <w:color w:val="auto"/>
        </w:rPr>
      </w:pPr>
    </w:p>
    <w:p>
      <w:pPr>
        <w:ind w:right="740"/>
        <w:spacing w:after="0" w:line="28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to be signed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Premier Nutrition Corporation</w:t>
            </w:r>
          </w:p>
        </w:tc>
        <w:tc>
          <w:tcPr>
            <w:tcW w:w="5860" w:type="dxa"/>
            <w:vAlign w:val="bottom"/>
            <w:gridSpan w:val="3"/>
          </w:tcPr>
          <w:p>
            <w:pPr>
              <w:ind w:left="700"/>
              <w:spacing w:after="0"/>
              <w:rPr>
                <w:sz w:val="20"/>
                <w:szCs w:val="20"/>
                <w:color w:val="auto"/>
              </w:rPr>
            </w:pPr>
            <w:r>
              <w:rPr>
                <w:rFonts w:ascii="Arial" w:cs="Arial" w:eastAsia="Arial" w:hAnsi="Arial"/>
                <w:sz w:val="18"/>
                <w:szCs w:val="18"/>
                <w:b w:val="1"/>
                <w:bCs w:val="1"/>
                <w:color w:val="auto"/>
              </w:rPr>
              <w:t>Stremick’s Heritage Foods, LLC.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/s/ Sam Stremick</w:t>
            </w:r>
          </w:p>
        </w:tc>
      </w:tr>
      <w:tr>
        <w:trPr>
          <w:trHeight w:val="208"/>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000"/>
          </w:cols>
          <w:pgMar w:left="460" w:top="270" w:right="43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Below is a list of subsidiaries of BellRing Brands, Inc. after giving effect to the Formation Transactions described under “Prospectus Summary— Formation Transactions” in the accompanying prospectus.</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740" w:type="dxa"/>
            <w:vAlign w:val="bottom"/>
          </w:tcPr>
          <w:p>
            <w:pPr>
              <w:ind w:left="1000"/>
              <w:spacing w:after="0"/>
              <w:rPr>
                <w:sz w:val="20"/>
                <w:szCs w:val="20"/>
                <w:color w:val="auto"/>
              </w:rPr>
            </w:pPr>
            <w:r>
              <w:rPr>
                <w:rFonts w:ascii="Arial" w:cs="Arial" w:eastAsia="Arial" w:hAnsi="Arial"/>
                <w:sz w:val="14"/>
                <w:szCs w:val="14"/>
                <w:b w:val="1"/>
                <w:bCs w:val="1"/>
                <w:color w:val="auto"/>
              </w:rPr>
              <w:t>Jurisdiction of Organization</w:t>
            </w:r>
          </w:p>
        </w:tc>
      </w:tr>
      <w:tr>
        <w:trPr>
          <w:trHeight w:val="188"/>
        </w:trPr>
        <w:tc>
          <w:tcPr>
            <w:tcW w:w="1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9"/>
              </w:rPr>
              <w:t>BellRing Brands,</w:t>
            </w:r>
          </w:p>
        </w:tc>
        <w:tc>
          <w:tcPr>
            <w:tcW w:w="2520" w:type="dxa"/>
            <w:vAlign w:val="bottom"/>
          </w:tcPr>
          <w:p>
            <w:pPr>
              <w:ind w:left="80"/>
              <w:spacing w:after="0" w:line="189" w:lineRule="exact"/>
              <w:rPr>
                <w:sz w:val="20"/>
                <w:szCs w:val="20"/>
                <w:color w:val="auto"/>
              </w:rPr>
            </w:pPr>
            <w:r>
              <w:rPr>
                <w:rFonts w:ascii="Arial" w:cs="Arial" w:eastAsia="Arial" w:hAnsi="Arial"/>
                <w:sz w:val="18"/>
                <w:szCs w:val="18"/>
                <w:color w:val="auto"/>
              </w:rPr>
              <w:t>LLC</w:t>
            </w:r>
          </w:p>
        </w:tc>
        <w:tc>
          <w:tcPr>
            <w:tcW w:w="3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TA/DEI-A Acquisition Corp.</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Dymatize Enterprises, LLC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Premier Nutrition Company, LLC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Supreme Protein, LLC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Active Nutrition International GmbH</w:t>
            </w:r>
          </w:p>
        </w:tc>
        <w:tc>
          <w:tcPr>
            <w:tcW w:w="3740" w:type="dxa"/>
            <w:vAlign w:val="bottom"/>
          </w:tcPr>
          <w:p>
            <w:pPr>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000"/>
          </w:cols>
          <w:pgMar w:left="460" w:top="121" w:right="4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BellRing Brands, Inc. of our report dated August 8, 2019 relating to the financial statement of BellRing Brands, Inc., which appears in this Registration Statement.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2019</w:t>
      </w:r>
    </w:p>
    <w:p>
      <w:pPr>
        <w:sectPr>
          <w:pgSz w:w="11900" w:h="16838" w:orient="portrait"/>
          <w:cols w:equalWidth="0" w:num="1">
            <w:col w:w="11000"/>
          </w:cols>
          <w:pgMar w:left="460" w:top="122" w:right="439" w:bottom="1440" w:gutter="0" w:footer="0" w:header="0"/>
        </w:sectPr>
      </w:pPr>
    </w:p>
    <w:bookmarkStart w:id="533" w:name="page534"/>
    <w:bookmarkEnd w:id="533"/>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hereby consent to the use in this Registration Statement on Form S-1 of BellRing Brands, Inc. of our report dated April 5, 2019 relating to the financial statements of Active Nutrition (the combination of Premier Nutrition Corporation, Dymatize Enterprises, LLC and Active Nutrition International GmbH of Post Holdings, Inc.), which appears in this Registration Statement.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2019</w:t>
      </w:r>
    </w:p>
    <w:p>
      <w:pPr>
        <w:sectPr>
          <w:pgSz w:w="11900" w:h="16838" w:orient="portrait"/>
          <w:cols w:equalWidth="0" w:num="1">
            <w:col w:w="11000"/>
          </w:cols>
          <w:pgMar w:left="460" w:top="121" w:right="4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CONSENT</w:t>
      </w:r>
    </w:p>
    <w:p>
      <w:pPr>
        <w:spacing w:after="0" w:line="229"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The undersigned hereby consents pursuant to Rule 438 under the Securities Act of 1933, as amended (the “Securities Act”), to being named as a director nominee in the Registration Statement on Form S-1 filed by BellRing Brands, Inc., a Delaware corporation, with the U.S. Securities and Exchange Commission (including all amendments and supplements thereto, and any additional registration statement for the same offering that is to be effective upon filing pursuant to Rule 462(b) under the Securities Act, the “Registration Statement”). The undersigned also consents to the filing of this consent as an exhibit to the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3, 2019</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Darcy Horn Davenport</w:t>
      </w:r>
    </w:p>
    <w:p>
      <w:pPr>
        <w:sectPr>
          <w:pgSz w:w="11900" w:h="16838" w:orient="portrait"/>
          <w:cols w:equalWidth="0" w:num="1">
            <w:col w:w="11000"/>
          </w:cols>
          <w:pgMar w:left="460" w:top="121" w:right="4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CONSENT</w:t>
      </w:r>
    </w:p>
    <w:p>
      <w:pPr>
        <w:spacing w:after="0" w:line="229"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The undersigned hereby consents pursuant to Rule 438 under the Securities Act of 1933, as amended (the “Securities Act”), to being named as a director nominee in the Registration Statement on Form S-1 filed by BellRing Brands, Inc., a Delaware corporation, with the U.S. Securities and Exchange Commission (including all amendments and supplements thereto, and any additional registration statement for the same offering that is to be effective upon filing pursuant to Rule 462(b) under the Securities Act, the “Registration Statement”). The undersigned also consents to the filing of this consent as an exhibit to the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2019</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Thomas P. Erickson</w:t>
      </w:r>
    </w:p>
    <w:p>
      <w:pPr>
        <w:sectPr>
          <w:pgSz w:w="11900" w:h="16838" w:orient="portrait"/>
          <w:cols w:equalWidth="0" w:num="1">
            <w:col w:w="11000"/>
          </w:cols>
          <w:pgMar w:left="460" w:top="121" w:right="4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CONSENT</w:t>
      </w:r>
    </w:p>
    <w:p>
      <w:pPr>
        <w:spacing w:after="0" w:line="229"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The undersigned hereby consents pursuant to Rule 438 under the Securities Act of 1933, as amended (the “Securities Act”), to being named as a director nominee in the Registration Statement on Form S-1 filed by BellRing Brands, Inc., a Delaware corporation, with the U.S. Securities and Exchange Commission (including all amendments and supplements thereto, and any additional registration statement for the same offering that is to be effective upon filing pursuant to Rule 462(b) under the Securities Act, the “Registration Statement”). The undersigned also consents to the filing of this consent as an exhibit to the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2019</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Elliot H. Stein, Jr.</w:t>
      </w:r>
    </w:p>
    <w:p>
      <w:pPr>
        <w:sectPr>
          <w:pgSz w:w="11900" w:h="16838" w:orient="portrait"/>
          <w:cols w:equalWidth="0" w:num="1">
            <w:col w:w="11000"/>
          </w:cols>
          <w:pgMar w:left="460" w:top="121" w:right="43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CONSENT</w:t>
      </w:r>
    </w:p>
    <w:p>
      <w:pPr>
        <w:spacing w:after="0" w:line="229"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The undersigned hereby consents pursuant to Rule 438 under the Securities Act of 1933, as amended (the “Securities Act”), to being named as a director nominee in the Registration Statement on Form S-1 filed by BellRing Brands, Inc., a Delaware corporation, with the U.S. Securities and Exchange Commission (including all amendments and supplements thereto, and any additional registration statement for the same offering that is to be effective upon filing pursuant to Rule 462(b) under the Securities Act, the “Registration Statement”). The undersigned also consents to the filing of this consent as an exhibit to the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2019</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14605</wp:posOffset>
            </wp:positionV>
            <wp:extent cx="314388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Jennifer Kuperman Johnson</w:t>
      </w:r>
    </w:p>
    <w:sectPr>
      <w:pgSz w:w="11900" w:h="16838" w:orient="portrait"/>
      <w:cols w:equalWidth="0" w:num="1">
        <w:col w:w="11000"/>
      </w:cols>
      <w:pgMar w:left="46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963896"/>
    <w:multiLevelType w:val="hybridMultilevel"/>
    <w:lvl w:ilvl="0">
      <w:lvlJc w:val="left"/>
      <w:lvlText w:val="(%1)"/>
      <w:numFmt w:val="decimal"/>
      <w:start w:val="1"/>
    </w:lvl>
  </w:abstractNum>
  <w:abstractNum w:abstractNumId="1">
    <w:nsid w:val="775BA7C1"/>
    <w:multiLevelType w:val="hybridMultilevel"/>
    <w:lvl w:ilvl="0">
      <w:lvlJc w:val="left"/>
      <w:lvlText w:val="(%1)"/>
      <w:numFmt w:val="decimal"/>
      <w:start w:val="1"/>
    </w:lvl>
  </w:abstractNum>
  <w:abstractNum w:abstractNumId="2">
    <w:nsid w:val="1DD6D6F4"/>
    <w:multiLevelType w:val="hybridMultilevel"/>
    <w:lvl w:ilvl="0">
      <w:lvlJc w:val="left"/>
      <w:lvlText w:val="•"/>
      <w:numFmt w:val="bullet"/>
      <w:start w:val="1"/>
    </w:lvl>
  </w:abstractNum>
  <w:abstractNum w:abstractNumId="3">
    <w:nsid w:val="769A091F"/>
    <w:multiLevelType w:val="hybridMultilevel"/>
    <w:lvl w:ilvl="0">
      <w:lvlJc w:val="left"/>
      <w:lvlText w:val="•"/>
      <w:numFmt w:val="bullet"/>
      <w:start w:val="1"/>
    </w:lvl>
  </w:abstractNum>
  <w:abstractNum w:abstractNumId="4">
    <w:nsid w:val="4695AE95"/>
    <w:multiLevelType w:val="hybridMultilevel"/>
    <w:lvl w:ilvl="0">
      <w:lvlJc w:val="left"/>
      <w:lvlText w:val="•"/>
      <w:numFmt w:val="bullet"/>
      <w:start w:val="1"/>
    </w:lvl>
  </w:abstractNum>
  <w:abstractNum w:abstractNumId="5">
    <w:nsid w:val="777A4EAA"/>
    <w:multiLevelType w:val="hybridMultilevel"/>
    <w:lvl w:ilvl="0">
      <w:lvlJc w:val="left"/>
      <w:lvlText w:val="•"/>
      <w:numFmt w:val="bullet"/>
      <w:start w:val="1"/>
    </w:lvl>
  </w:abstractNum>
  <w:abstractNum w:abstractNumId="6">
    <w:nsid w:val="3F48B982"/>
    <w:multiLevelType w:val="hybridMultilevel"/>
    <w:lvl w:ilvl="0">
      <w:lvlJc w:val="left"/>
      <w:lvlText w:val="•"/>
      <w:numFmt w:val="bullet"/>
      <w:start w:val="1"/>
    </w:lvl>
  </w:abstractNum>
  <w:abstractNum w:abstractNumId="7">
    <w:nsid w:val="46BA8FCA"/>
    <w:multiLevelType w:val="hybridMultilevel"/>
    <w:lvl w:ilvl="0">
      <w:lvlJc w:val="left"/>
      <w:lvlText w:val="•"/>
      <w:numFmt w:val="bullet"/>
      <w:start w:val="1"/>
    </w:lvl>
  </w:abstractNum>
  <w:abstractNum w:abstractNumId="8">
    <w:nsid w:val="7835626C"/>
    <w:multiLevelType w:val="hybridMultilevel"/>
    <w:lvl w:ilvl="0">
      <w:lvlJc w:val="left"/>
      <w:lvlText w:val="•"/>
      <w:numFmt w:val="bullet"/>
      <w:start w:val="1"/>
    </w:lvl>
  </w:abstractNum>
  <w:abstractNum w:abstractNumId="9">
    <w:nsid w:val="665ACA49"/>
    <w:multiLevelType w:val="hybridMultilevel"/>
    <w:lvl w:ilvl="0">
      <w:lvlJc w:val="left"/>
      <w:lvlText w:val="•"/>
      <w:numFmt w:val="bullet"/>
      <w:start w:val="1"/>
    </w:lvl>
  </w:abstractNum>
  <w:abstractNum w:abstractNumId="10">
    <w:nsid w:val="6835B2A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4C187C9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541F28CD"/>
    <w:multiLevelType w:val="hybridMultilevel"/>
    <w:lvl w:ilvl="0">
      <w:lvlJc w:val="left"/>
      <w:lvlText w:val="•"/>
      <w:numFmt w:val="bullet"/>
      <w:start w:val="1"/>
    </w:lvl>
  </w:abstractNum>
  <w:abstractNum w:abstractNumId="13">
    <w:nsid w:val="7F65FD16"/>
    <w:multiLevelType w:val="hybridMultilevel"/>
    <w:lvl w:ilvl="0">
      <w:lvlJc w:val="left"/>
      <w:lvlText w:val="•"/>
      <w:numFmt w:val="bullet"/>
      <w:start w:val="1"/>
    </w:lvl>
  </w:abstractNum>
  <w:abstractNum w:abstractNumId="14">
    <w:nsid w:val="77C9FD68"/>
    <w:multiLevelType w:val="hybridMultilevel"/>
    <w:lvl w:ilvl="0">
      <w:lvlJc w:val="left"/>
      <w:lvlText w:val="•"/>
      <w:numFmt w:val="bullet"/>
      <w:start w:val="1"/>
    </w:lvl>
  </w:abstractNum>
  <w:abstractNum w:abstractNumId="15">
    <w:nsid w:val="298A92BA"/>
    <w:multiLevelType w:val="hybridMultilevel"/>
    <w:lvl w:ilvl="0">
      <w:lvlJc w:val="left"/>
      <w:lvlText w:val="•"/>
      <w:numFmt w:val="bullet"/>
      <w:start w:val="1"/>
    </w:lvl>
  </w:abstractNum>
  <w:abstractNum w:abstractNumId="16">
    <w:nsid w:val="6FE95EAC"/>
    <w:multiLevelType w:val="hybridMultilevel"/>
    <w:lvl w:ilvl="0">
      <w:lvlJc w:val="left"/>
      <w:lvlText w:val="(%1)"/>
      <w:numFmt w:val="lowerRoman"/>
      <w:start w:val="5"/>
    </w:lvl>
  </w:abstractNum>
  <w:abstractNum w:abstractNumId="17">
    <w:nsid w:val="4B697C7A"/>
    <w:multiLevelType w:val="hybridMultilevel"/>
    <w:lvl w:ilvl="0">
      <w:lvlJc w:val="left"/>
      <w:lvlText w:val="•"/>
      <w:numFmt w:val="bullet"/>
      <w:start w:val="1"/>
    </w:lvl>
  </w:abstractNum>
  <w:abstractNum w:abstractNumId="18">
    <w:nsid w:val="51A27AA6"/>
    <w:multiLevelType w:val="hybridMultilevel"/>
    <w:lvl w:ilvl="0">
      <w:lvlJc w:val="left"/>
      <w:lvlText w:val="•"/>
      <w:numFmt w:val="bullet"/>
      <w:start w:val="1"/>
    </w:lvl>
  </w:abstractNum>
  <w:abstractNum w:abstractNumId="19">
    <w:nsid w:val="613183F2"/>
    <w:multiLevelType w:val="hybridMultilevel"/>
    <w:lvl w:ilvl="0">
      <w:lvlJc w:val="left"/>
      <w:lvlText w:val="•"/>
      <w:numFmt w:val="bullet"/>
      <w:start w:val="1"/>
    </w:lvl>
  </w:abstractNum>
  <w:abstractNum w:abstractNumId="20">
    <w:nsid w:val="634102B4"/>
    <w:multiLevelType w:val="hybridMultilevel"/>
    <w:lvl w:ilvl="0">
      <w:lvlJc w:val="left"/>
      <w:lvlText w:val="•"/>
      <w:numFmt w:val="bullet"/>
      <w:start w:val="1"/>
    </w:lvl>
  </w:abstractNum>
  <w:abstractNum w:abstractNumId="21">
    <w:nsid w:val="65BF9DA8"/>
    <w:multiLevelType w:val="hybridMultilevel"/>
    <w:lvl w:ilvl="0">
      <w:lvlJc w:val="left"/>
      <w:lvlText w:val="(%1)"/>
      <w:numFmt w:val="decimal"/>
      <w:start w:val="1"/>
    </w:lvl>
  </w:abstractNum>
  <w:abstractNum w:abstractNumId="22">
    <w:nsid w:val="21A2ECCA"/>
    <w:multiLevelType w:val="hybridMultilevel"/>
    <w:lvl w:ilvl="0">
      <w:lvlJc w:val="left"/>
      <w:lvlText w:val="•"/>
      <w:numFmt w:val="bullet"/>
      <w:start w:val="1"/>
    </w:lvl>
  </w:abstractNum>
  <w:abstractNum w:abstractNumId="23">
    <w:nsid w:val="4D5C4899"/>
    <w:multiLevelType w:val="hybridMultilevel"/>
    <w:lvl w:ilvl="0">
      <w:lvlJc w:val="left"/>
      <w:lvlText w:val="•"/>
      <w:numFmt w:val="bullet"/>
      <w:start w:val="1"/>
    </w:lvl>
  </w:abstractNum>
  <w:abstractNum w:abstractNumId="24">
    <w:nsid w:val="3C3B72B2"/>
    <w:multiLevelType w:val="hybridMultilevel"/>
    <w:lvl w:ilvl="0">
      <w:lvlJc w:val="left"/>
      <w:lvlText w:val="•"/>
      <w:numFmt w:val="bullet"/>
      <w:start w:val="1"/>
    </w:lvl>
  </w:abstractNum>
  <w:abstractNum w:abstractNumId="25">
    <w:nsid w:val="155EC4C2"/>
    <w:multiLevelType w:val="hybridMultilevel"/>
    <w:lvl w:ilvl="0">
      <w:lvlJc w:val="left"/>
      <w:lvlText w:val="•"/>
      <w:numFmt w:val="bullet"/>
      <w:start w:val="1"/>
    </w:lvl>
  </w:abstractNum>
  <w:abstractNum w:abstractNumId="26">
    <w:nsid w:val="65D2A137"/>
    <w:multiLevelType w:val="hybridMultilevel"/>
    <w:lvl w:ilvl="0">
      <w:lvlJc w:val="left"/>
      <w:lvlText w:val="•"/>
      <w:numFmt w:val="bullet"/>
      <w:start w:val="1"/>
    </w:lvl>
  </w:abstractNum>
  <w:abstractNum w:abstractNumId="27">
    <w:nsid w:val="6EBB1F2A"/>
    <w:multiLevelType w:val="hybridMultilevel"/>
    <w:lvl w:ilvl="0">
      <w:lvlJc w:val="left"/>
      <w:lvlText w:val="•"/>
      <w:numFmt w:val="bullet"/>
      <w:start w:val="1"/>
    </w:lvl>
  </w:abstractNum>
  <w:abstractNum w:abstractNumId="28">
    <w:nsid w:val="6FBF29CB"/>
    <w:multiLevelType w:val="hybridMultilevel"/>
    <w:lvl w:ilvl="0">
      <w:lvlJc w:val="left"/>
      <w:lvlText w:val="•"/>
      <w:numFmt w:val="bullet"/>
      <w:start w:val="1"/>
    </w:lvl>
  </w:abstractNum>
  <w:abstractNum w:abstractNumId="29">
    <w:nsid w:val="550B8808"/>
    <w:multiLevelType w:val="hybridMultilevel"/>
    <w:lvl w:ilvl="0">
      <w:lvlJc w:val="left"/>
      <w:lvlText w:val="•"/>
      <w:numFmt w:val="bullet"/>
      <w:start w:val="1"/>
    </w:lvl>
  </w:abstractNum>
  <w:abstractNum w:abstractNumId="30">
    <w:nsid w:val="34CC3ACF"/>
    <w:multiLevelType w:val="hybridMultilevel"/>
    <w:lvl w:ilvl="0">
      <w:lvlJc w:val="left"/>
      <w:lvlText w:val="•"/>
      <w:numFmt w:val="bullet"/>
      <w:start w:val="1"/>
    </w:lvl>
  </w:abstractNum>
  <w:abstractNum w:abstractNumId="31">
    <w:nsid w:val="4E556261"/>
    <w:multiLevelType w:val="hybridMultilevel"/>
    <w:lvl w:ilvl="0">
      <w:lvlJc w:val="left"/>
      <w:lvlText w:val="•"/>
      <w:numFmt w:val="bullet"/>
      <w:start w:val="1"/>
    </w:lvl>
  </w:abstractNum>
  <w:abstractNum w:abstractNumId="32">
    <w:nsid w:val="4C672FC9"/>
    <w:multiLevelType w:val="hybridMultilevel"/>
    <w:lvl w:ilvl="0">
      <w:lvlJc w:val="left"/>
      <w:lvlText w:val="•"/>
      <w:numFmt w:val="bullet"/>
      <w:start w:val="1"/>
    </w:lvl>
  </w:abstractNum>
  <w:abstractNum w:abstractNumId="33">
    <w:nsid w:val="52A311C3"/>
    <w:multiLevelType w:val="hybridMultilevel"/>
    <w:lvl w:ilvl="0">
      <w:lvlJc w:val="left"/>
      <w:lvlText w:val="•"/>
      <w:numFmt w:val="bullet"/>
      <w:start w:val="1"/>
    </w:lvl>
  </w:abstractNum>
  <w:abstractNum w:abstractNumId="34">
    <w:nsid w:val="44EF6B80"/>
    <w:multiLevelType w:val="hybridMultilevel"/>
    <w:lvl w:ilvl="0">
      <w:lvlJc w:val="left"/>
      <w:lvlText w:val="•"/>
      <w:numFmt w:val="bullet"/>
      <w:start w:val="1"/>
    </w:lvl>
  </w:abstractNum>
  <w:abstractNum w:abstractNumId="35">
    <w:nsid w:val="12FCDE5E"/>
    <w:multiLevelType w:val="hybridMultilevel"/>
    <w:lvl w:ilvl="0">
      <w:lvlJc w:val="left"/>
      <w:lvlText w:val="(%1)"/>
      <w:numFmt w:val="lowerLetter"/>
      <w:start w:val="1"/>
    </w:lvl>
    <w:lvl w:ilvl="1">
      <w:lvlJc w:val="left"/>
      <w:lvlText w:val="•"/>
      <w:numFmt w:val="bullet"/>
      <w:start w:val="1"/>
    </w:lvl>
  </w:abstractNum>
  <w:abstractNum w:abstractNumId="36">
    <w:nsid w:val="4A1D606E"/>
    <w:multiLevelType w:val="hybridMultilevel"/>
    <w:lvl w:ilvl="0">
      <w:lvlJc w:val="left"/>
      <w:lvlText w:val="(%1)"/>
      <w:numFmt w:val="decimal"/>
      <w:start w:val="1"/>
    </w:lvl>
  </w:abstractNum>
  <w:abstractNum w:abstractNumId="37">
    <w:nsid w:val="4382503"/>
    <w:multiLevelType w:val="hybridMultilevel"/>
    <w:lvl w:ilvl="0">
      <w:lvlJc w:val="left"/>
      <w:lvlText w:val="(%1)"/>
      <w:numFmt w:val="decimal"/>
      <w:start w:val="1"/>
    </w:lvl>
  </w:abstractNum>
  <w:abstractNum w:abstractNumId="38">
    <w:nsid w:val="59B76E28"/>
    <w:multiLevelType w:val="hybridMultilevel"/>
    <w:lvl w:ilvl="0">
      <w:lvlJc w:val="left"/>
      <w:lvlText w:val="%1."/>
      <w:numFmt w:val="lowerLetter"/>
      <w:start w:val="1"/>
    </w:lvl>
  </w:abstractNum>
  <w:abstractNum w:abstractNumId="39">
    <w:nsid w:val="4252C2DA"/>
    <w:multiLevelType w:val="hybridMultilevel"/>
    <w:lvl w:ilvl="0">
      <w:lvlJc w:val="left"/>
      <w:lvlText w:val="(%1)"/>
      <w:numFmt w:val="lowerRoman"/>
      <w:start w:val="2"/>
    </w:lvl>
  </w:abstractNum>
  <w:abstractNum w:abstractNumId="40">
    <w:nsid w:val="6A92EF4C"/>
    <w:multiLevelType w:val="hybridMultilevel"/>
    <w:lvl w:ilvl="0">
      <w:lvlJc w:val="left"/>
      <w:lvlText w:val="%1."/>
      <w:numFmt w:val="lowerLetter"/>
      <w:start w:val="8"/>
    </w:lvl>
  </w:abstractNum>
  <w:abstractNum w:abstractNumId="41">
    <w:nsid w:val="41ED20D7"/>
    <w:multiLevelType w:val="hybridMultilevel"/>
    <w:lvl w:ilvl="0">
      <w:lvlJc w:val="left"/>
      <w:lvlText w:val="(%1)"/>
      <w:numFmt w:val="decimal"/>
      <w:start w:val="1"/>
    </w:lvl>
  </w:abstractNum>
  <w:abstractNum w:abstractNumId="42">
    <w:nsid w:val="E6B3F6A"/>
    <w:multiLevelType w:val="hybridMultilevel"/>
    <w:lvl w:ilvl="0">
      <w:lvlJc w:val="left"/>
      <w:lvlText w:val="(%1)"/>
      <w:numFmt w:val="lowerLetter"/>
      <w:start w:val="1"/>
    </w:lvl>
  </w:abstractNum>
  <w:abstractNum w:abstractNumId="43">
    <w:nsid w:val="3EB21819"/>
    <w:multiLevelType w:val="hybridMultilevel"/>
    <w:lvl w:ilvl="0">
      <w:lvlJc w:val="left"/>
      <w:lvlText w:val="•"/>
      <w:numFmt w:val="bullet"/>
      <w:start w:val="1"/>
    </w:lvl>
  </w:abstractNum>
  <w:abstractNum w:abstractNumId="44">
    <w:nsid w:val="41531DED"/>
    <w:multiLevelType w:val="hybridMultilevel"/>
    <w:lvl w:ilvl="0">
      <w:lvlJc w:val="left"/>
      <w:lvlText w:val="•"/>
      <w:numFmt w:val="bullet"/>
      <w:start w:val="1"/>
    </w:lvl>
  </w:abstractNum>
  <w:abstractNum w:abstractNumId="45">
    <w:nsid w:val="6353CD2"/>
    <w:multiLevelType w:val="hybridMultilevel"/>
    <w:lvl w:ilvl="0">
      <w:lvlJc w:val="left"/>
      <w:lvlText w:val="•"/>
      <w:numFmt w:val="bullet"/>
      <w:start w:val="1"/>
    </w:lvl>
    <w:lvl w:ilvl="1">
      <w:lvlJc w:val="left"/>
      <w:lvlText w:val="(%2)"/>
      <w:numFmt w:val="lowerLetter"/>
      <w:start w:val="2"/>
    </w:lvl>
  </w:abstractNum>
  <w:abstractNum w:abstractNumId="46">
    <w:nsid w:val="683CAAD3"/>
    <w:multiLevelType w:val="hybridMultilevel"/>
    <w:lvl w:ilvl="0">
      <w:lvlJc w:val="left"/>
      <w:lvlText w:val="•"/>
      <w:numFmt w:val="bullet"/>
      <w:start w:val="1"/>
    </w:lvl>
  </w:abstractNum>
  <w:abstractNum w:abstractNumId="47">
    <w:nsid w:val="313C7C99"/>
    <w:multiLevelType w:val="hybridMultilevel"/>
    <w:lvl w:ilvl="0">
      <w:lvlJc w:val="left"/>
      <w:lvlText w:val="•"/>
      <w:numFmt w:val="bullet"/>
      <w:start w:val="1"/>
    </w:lvl>
  </w:abstractNum>
  <w:abstractNum w:abstractNumId="48">
    <w:nsid w:val="519EB94C"/>
    <w:multiLevelType w:val="hybridMultilevel"/>
    <w:lvl w:ilvl="0">
      <w:lvlJc w:val="left"/>
      <w:lvlText w:val="•"/>
      <w:numFmt w:val="bullet"/>
      <w:start w:val="1"/>
    </w:lvl>
  </w:abstractNum>
  <w:abstractNum w:abstractNumId="49">
    <w:nsid w:val="39DF2579"/>
    <w:multiLevelType w:val="hybridMultilevel"/>
    <w:lvl w:ilvl="0">
      <w:lvlJc w:val="left"/>
      <w:lvlText w:val="•"/>
      <w:numFmt w:val="bullet"/>
      <w:start w:val="1"/>
    </w:lvl>
  </w:abstractNum>
  <w:abstractNum w:abstractNumId="50">
    <w:nsid w:val="126E008B"/>
    <w:multiLevelType w:val="hybridMultilevel"/>
    <w:lvl w:ilvl="0">
      <w:lvlJc w:val="left"/>
      <w:lvlText w:val="•"/>
      <w:numFmt w:val="bullet"/>
      <w:start w:val="1"/>
    </w:lvl>
  </w:abstractNum>
  <w:abstractNum w:abstractNumId="51">
    <w:nsid w:val="34DFBC00"/>
    <w:multiLevelType w:val="hybridMultilevel"/>
    <w:lvl w:ilvl="0">
      <w:lvlJc w:val="left"/>
      <w:lvlText w:val="•"/>
      <w:numFmt w:val="bullet"/>
      <w:start w:val="1"/>
    </w:lvl>
  </w:abstractNum>
  <w:abstractNum w:abstractNumId="52">
    <w:nsid w:val="1F9EC322"/>
    <w:multiLevelType w:val="hybridMultilevel"/>
    <w:lvl w:ilvl="0">
      <w:lvlJc w:val="left"/>
      <w:lvlText w:val="•"/>
      <w:numFmt w:val="bullet"/>
      <w:start w:val="1"/>
    </w:lvl>
  </w:abstractNum>
  <w:abstractNum w:abstractNumId="53">
    <w:nsid w:val="3410ED56"/>
    <w:multiLevelType w:val="hybridMultilevel"/>
    <w:lvl w:ilvl="0">
      <w:lvlJc w:val="left"/>
      <w:lvlText w:val="•"/>
      <w:numFmt w:val="bullet"/>
      <w:start w:val="1"/>
    </w:lvl>
  </w:abstractNum>
  <w:abstractNum w:abstractNumId="54">
    <w:nsid w:val="23C049A"/>
    <w:multiLevelType w:val="hybridMultilevel"/>
    <w:lvl w:ilvl="0">
      <w:lvlJc w:val="left"/>
      <w:lvlText w:val="(%1)"/>
      <w:numFmt w:val="lowerLetter"/>
      <w:start w:val="1"/>
    </w:lvl>
  </w:abstractNum>
  <w:abstractNum w:abstractNumId="55">
    <w:nsid w:val="5BDA35D4"/>
    <w:multiLevelType w:val="hybridMultilevel"/>
    <w:lvl w:ilvl="0">
      <w:lvlJc w:val="left"/>
      <w:lvlText w:val="(%1)"/>
      <w:numFmt w:val="lowerLetter"/>
      <w:start w:val="1"/>
    </w:lvl>
  </w:abstractNum>
  <w:abstractNum w:abstractNumId="56">
    <w:nsid w:val="496FB218"/>
    <w:multiLevelType w:val="hybridMultilevel"/>
    <w:lvl w:ilvl="0">
      <w:lvlJc w:val="left"/>
      <w:lvlText w:val="•"/>
      <w:numFmt w:val="bullet"/>
      <w:start w:val="1"/>
    </w:lvl>
  </w:abstractNum>
  <w:abstractNum w:abstractNumId="57">
    <w:nsid w:val="680EA5D1"/>
    <w:multiLevelType w:val="hybridMultilevel"/>
    <w:lvl w:ilvl="0">
      <w:lvlJc w:val="left"/>
      <w:lvlText w:val="•"/>
      <w:numFmt w:val="bullet"/>
      <w:start w:val="1"/>
    </w:lvl>
  </w:abstractNum>
  <w:abstractNum w:abstractNumId="58">
    <w:nsid w:val="4A9554FE"/>
    <w:multiLevelType w:val="hybridMultilevel"/>
    <w:lvl w:ilvl="0">
      <w:lvlJc w:val="left"/>
      <w:lvlText w:val="•"/>
      <w:numFmt w:val="bullet"/>
      <w:start w:val="1"/>
    </w:lvl>
  </w:abstractNum>
  <w:abstractNum w:abstractNumId="59">
    <w:nsid w:val="392EDBE4"/>
    <w:multiLevelType w:val="hybridMultilevel"/>
    <w:lvl w:ilvl="0">
      <w:lvlJc w:val="left"/>
      <w:lvlText w:val="•"/>
      <w:numFmt w:val="bullet"/>
      <w:start w:val="1"/>
    </w:lvl>
  </w:abstractNum>
  <w:abstractNum w:abstractNumId="60">
    <w:nsid w:val="3D1A2DD9"/>
    <w:multiLevelType w:val="hybridMultilevel"/>
    <w:lvl w:ilvl="0">
      <w:lvlJc w:val="left"/>
      <w:lvlText w:val="•"/>
      <w:numFmt w:val="bullet"/>
      <w:start w:val="1"/>
    </w:lvl>
  </w:abstractNum>
  <w:abstractNum w:abstractNumId="61">
    <w:nsid w:val="7F618FCD"/>
    <w:multiLevelType w:val="hybridMultilevel"/>
    <w:lvl w:ilvl="0">
      <w:lvlJc w:val="left"/>
      <w:lvlText w:val="•"/>
      <w:numFmt w:val="bullet"/>
      <w:start w:val="1"/>
    </w:lvl>
  </w:abstractNum>
  <w:abstractNum w:abstractNumId="62">
    <w:nsid w:val="7843E45"/>
    <w:multiLevelType w:val="hybridMultilevel"/>
    <w:lvl w:ilvl="0">
      <w:lvlJc w:val="left"/>
      <w:lvlText w:val="•"/>
      <w:numFmt w:val="bullet"/>
      <w:start w:val="1"/>
    </w:lvl>
  </w:abstractNum>
  <w:abstractNum w:abstractNumId="63">
    <w:nsid w:val="9815DA3"/>
    <w:multiLevelType w:val="hybridMultilevel"/>
    <w:lvl w:ilvl="0">
      <w:lvlJc w:val="left"/>
      <w:lvlText w:val="•"/>
      <w:numFmt w:val="bullet"/>
      <w:start w:val="1"/>
    </w:lvl>
  </w:abstractNum>
  <w:abstractNum w:abstractNumId="64">
    <w:nsid w:val="5204A191"/>
    <w:multiLevelType w:val="hybridMultilevel"/>
    <w:lvl w:ilvl="0">
      <w:lvlJc w:val="left"/>
      <w:lvlText w:val="•"/>
      <w:numFmt w:val="bullet"/>
      <w:start w:val="1"/>
    </w:lvl>
  </w:abstractNum>
  <w:abstractNum w:abstractNumId="65">
    <w:nsid w:val="4C73A9C6"/>
    <w:multiLevelType w:val="hybridMultilevel"/>
    <w:lvl w:ilvl="0">
      <w:lvlJc w:val="left"/>
      <w:lvlText w:val="•"/>
      <w:numFmt w:val="bullet"/>
      <w:start w:val="1"/>
    </w:lvl>
  </w:abstractNum>
  <w:abstractNum w:abstractNumId="66">
    <w:nsid w:val="1C7E3C01"/>
    <w:multiLevelType w:val="hybridMultilevel"/>
    <w:lvl w:ilvl="0">
      <w:lvlJc w:val="left"/>
      <w:lvlText w:val="•"/>
      <w:numFmt w:val="bullet"/>
      <w:start w:val="1"/>
    </w:lvl>
  </w:abstractNum>
  <w:abstractNum w:abstractNumId="67">
    <w:nsid w:val="1C2201FF"/>
    <w:multiLevelType w:val="hybridMultilevel"/>
    <w:lvl w:ilvl="0">
      <w:lvlJc w:val="left"/>
      <w:lvlText w:val="•"/>
      <w:numFmt w:val="bullet"/>
      <w:start w:val="1"/>
    </w:lvl>
  </w:abstractNum>
  <w:abstractNum w:abstractNumId="68">
    <w:nsid w:val="50ABCEC9"/>
    <w:multiLevelType w:val="hybridMultilevel"/>
    <w:lvl w:ilvl="0">
      <w:lvlJc w:val="left"/>
      <w:lvlText w:val="(%1)"/>
      <w:numFmt w:val="decimal"/>
      <w:start w:val="1"/>
    </w:lvl>
  </w:abstractNum>
  <w:abstractNum w:abstractNumId="69">
    <w:nsid w:val="7635AA2A"/>
    <w:multiLevelType w:val="hybridMultilevel"/>
    <w:lvl w:ilvl="0">
      <w:lvlJc w:val="left"/>
      <w:lvlText w:val="(%1)"/>
      <w:numFmt w:val="decimal"/>
      <w:start w:val="4"/>
    </w:lvl>
  </w:abstractNum>
  <w:abstractNum w:abstractNumId="70">
    <w:nsid w:val="5E74C4D9"/>
    <w:multiLevelType w:val="hybridMultilevel"/>
    <w:lvl w:ilvl="0">
      <w:lvlJc w:val="left"/>
      <w:lvlText w:val="(%1)"/>
      <w:numFmt w:val="decimal"/>
      <w:start w:val="5"/>
    </w:lvl>
  </w:abstractNum>
  <w:abstractNum w:abstractNumId="71">
    <w:nsid w:val="3B3EBE15"/>
    <w:multiLevelType w:val="hybridMultilevel"/>
    <w:lvl w:ilvl="0">
      <w:lvlJc w:val="left"/>
      <w:lvlText w:val="(%1)"/>
      <w:numFmt w:val="decimal"/>
      <w:start w:val="1"/>
    </w:lvl>
  </w:abstractNum>
  <w:abstractNum w:abstractNumId="72">
    <w:nsid w:val="3822CB01"/>
    <w:multiLevelType w:val="hybridMultilevel"/>
    <w:lvl w:ilvl="0">
      <w:lvlJc w:val="left"/>
      <w:lvlText w:val="•"/>
      <w:numFmt w:val="bullet"/>
      <w:start w:val="1"/>
    </w:lvl>
  </w:abstractNum>
  <w:abstractNum w:abstractNumId="73">
    <w:nsid w:val="6CE00443"/>
    <w:multiLevelType w:val="hybridMultilevel"/>
    <w:lvl w:ilvl="0">
      <w:lvlJc w:val="left"/>
      <w:lvlText w:val="(%1)"/>
      <w:numFmt w:val="lowerRoman"/>
      <w:start w:val="1"/>
    </w:lvl>
  </w:abstractNum>
  <w:abstractNum w:abstractNumId="74">
    <w:nsid w:val="79F0D62F"/>
    <w:multiLevelType w:val="hybridMultilevel"/>
    <w:lvl w:ilvl="0">
      <w:lvlJc w:val="left"/>
      <w:lvlText w:val="•"/>
      <w:numFmt w:val="bullet"/>
      <w:start w:val="1"/>
    </w:lvl>
  </w:abstractNum>
  <w:abstractNum w:abstractNumId="75">
    <w:nsid w:val="7975E8EE"/>
    <w:multiLevelType w:val="hybridMultilevel"/>
    <w:lvl w:ilvl="0">
      <w:lvlJc w:val="left"/>
      <w:lvlText w:val="•"/>
      <w:numFmt w:val="bullet"/>
      <w:start w:val="1"/>
    </w:lvl>
  </w:abstractNum>
  <w:abstractNum w:abstractNumId="76">
    <w:nsid w:val="73154115"/>
    <w:multiLevelType w:val="hybridMultilevel"/>
    <w:lvl w:ilvl="0">
      <w:lvlJc w:val="left"/>
      <w:lvlText w:val="(%1)"/>
      <w:numFmt w:val="lowerLetter"/>
      <w:start w:val="3"/>
    </w:lvl>
  </w:abstractNum>
  <w:abstractNum w:abstractNumId="77">
    <w:nsid w:val="622D8102"/>
    <w:multiLevelType w:val="hybridMultilevel"/>
    <w:lvl w:ilvl="0">
      <w:lvlJc w:val="left"/>
      <w:lvlText w:val="•"/>
      <w:numFmt w:val="bullet"/>
      <w:start w:val="1"/>
    </w:lvl>
    <w:lvl w:ilvl="1">
      <w:lvlJc w:val="left"/>
      <w:lvlText w:val="•"/>
      <w:numFmt w:val="bullet"/>
      <w:start w:val="1"/>
    </w:lvl>
  </w:abstractNum>
  <w:abstractNum w:abstractNumId="78">
    <w:nsid w:val="2AB26587"/>
    <w:multiLevelType w:val="hybridMultilevel"/>
    <w:lvl w:ilvl="0">
      <w:lvlJc w:val="left"/>
      <w:lvlText w:val="•"/>
      <w:numFmt w:val="bullet"/>
      <w:start w:val="1"/>
    </w:lvl>
    <w:lvl w:ilvl="1">
      <w:lvlJc w:val="left"/>
      <w:lvlText w:val="•"/>
      <w:numFmt w:val="bullet"/>
      <w:start w:val="1"/>
    </w:lvl>
  </w:abstractNum>
  <w:abstractNum w:abstractNumId="79">
    <w:nsid w:val="44B3FA61"/>
    <w:multiLevelType w:val="hybridMultilevel"/>
    <w:lvl w:ilvl="0">
      <w:lvlJc w:val="left"/>
      <w:lvlText w:val="•"/>
      <w:numFmt w:val="bullet"/>
      <w:start w:val="1"/>
    </w:lvl>
  </w:abstractNum>
  <w:abstractNum w:abstractNumId="80">
    <w:nsid w:val="1C0CA67C"/>
    <w:multiLevelType w:val="hybridMultilevel"/>
    <w:lvl w:ilvl="0">
      <w:lvlJc w:val="left"/>
      <w:lvlText w:val="•"/>
      <w:numFmt w:val="bullet"/>
      <w:start w:val="1"/>
    </w:lvl>
  </w:abstractNum>
  <w:abstractNum w:abstractNumId="81">
    <w:nsid w:val="3D206613"/>
    <w:multiLevelType w:val="hybridMultilevel"/>
    <w:lvl w:ilvl="0">
      <w:lvlJc w:val="left"/>
      <w:lvlText w:val="*"/>
      <w:numFmt w:val="bullet"/>
      <w:start w:val="1"/>
    </w:lvl>
  </w:abstractNum>
  <w:abstractNum w:abstractNumId="82">
    <w:nsid w:val="7993B662"/>
    <w:multiLevelType w:val="hybridMultilevel"/>
    <w:lvl w:ilvl="0">
      <w:lvlJc w:val="left"/>
      <w:lvlText w:val="(%1)"/>
      <w:numFmt w:val="decimal"/>
      <w:start w:val="1"/>
    </w:lvl>
  </w:abstractNum>
  <w:abstractNum w:abstractNumId="83">
    <w:nsid w:val="3BAB699E"/>
    <w:multiLevelType w:val="hybridMultilevel"/>
    <w:lvl w:ilvl="0">
      <w:lvlJc w:val="left"/>
      <w:lvlText w:val="(%1)"/>
      <w:numFmt w:val="lowerRoman"/>
      <w:start w:val="3"/>
    </w:lvl>
  </w:abstractNum>
  <w:abstractNum w:abstractNumId="84">
    <w:nsid w:val="71315369"/>
    <w:multiLevelType w:val="hybridMultilevel"/>
    <w:lvl w:ilvl="0">
      <w:lvlJc w:val="left"/>
      <w:lvlText w:val="•"/>
      <w:numFmt w:val="bullet"/>
      <w:start w:val="1"/>
    </w:lvl>
  </w:abstractNum>
  <w:abstractNum w:abstractNumId="85">
    <w:nsid w:val="7BCFBAFC"/>
    <w:multiLevelType w:val="hybridMultilevel"/>
    <w:lvl w:ilvl="0">
      <w:lvlJc w:val="left"/>
      <w:lvlText w:val="•"/>
      <w:numFmt w:val="bullet"/>
      <w:start w:val="1"/>
    </w:lvl>
  </w:abstractNum>
  <w:abstractNum w:abstractNumId="86">
    <w:nsid w:val="17859F72"/>
    <w:multiLevelType w:val="hybridMultilevel"/>
    <w:lvl w:ilvl="0">
      <w:lvlJc w:val="left"/>
      <w:lvlText w:val="•"/>
      <w:numFmt w:val="bullet"/>
      <w:start w:val="1"/>
    </w:lvl>
  </w:abstractNum>
  <w:abstractNum w:abstractNumId="87">
    <w:nsid w:val="3AA10581"/>
    <w:multiLevelType w:val="hybridMultilevel"/>
    <w:lvl w:ilvl="0">
      <w:lvlJc w:val="left"/>
      <w:lvlText w:val="•"/>
      <w:numFmt w:val="bullet"/>
      <w:start w:val="1"/>
    </w:lvl>
  </w:abstractNum>
  <w:abstractNum w:abstractNumId="88">
    <w:nsid w:val="63DE60CD"/>
    <w:multiLevelType w:val="hybridMultilevel"/>
    <w:lvl w:ilvl="0">
      <w:lvlJc w:val="left"/>
      <w:lvlText w:val="•"/>
      <w:numFmt w:val="bullet"/>
      <w:start w:val="1"/>
    </w:lvl>
  </w:abstractNum>
  <w:abstractNum w:abstractNumId="89">
    <w:nsid w:val="621AF471"/>
    <w:multiLevelType w:val="hybridMultilevel"/>
    <w:lvl w:ilvl="0">
      <w:lvlJc w:val="left"/>
      <w:lvlText w:val="•"/>
      <w:numFmt w:val="bullet"/>
      <w:start w:val="1"/>
    </w:lvl>
  </w:abstractNum>
  <w:abstractNum w:abstractNumId="90">
    <w:nsid w:val="73CFE165"/>
    <w:multiLevelType w:val="hybridMultilevel"/>
    <w:lvl w:ilvl="0">
      <w:lvlJc w:val="left"/>
      <w:lvlText w:val="•"/>
      <w:numFmt w:val="bullet"/>
      <w:start w:val="1"/>
    </w:lvl>
  </w:abstractNum>
  <w:abstractNum w:abstractNumId="91">
    <w:nsid w:val="20F88EA6"/>
    <w:multiLevelType w:val="hybridMultilevel"/>
    <w:lvl w:ilvl="0">
      <w:lvlJc w:val="left"/>
      <w:lvlText w:val="•"/>
      <w:numFmt w:val="bullet"/>
      <w:start w:val="1"/>
    </w:lvl>
  </w:abstractNum>
  <w:abstractNum w:abstractNumId="92">
    <w:nsid w:val="617C843E"/>
    <w:multiLevelType w:val="hybridMultilevel"/>
    <w:lvl w:ilvl="0">
      <w:lvlJc w:val="left"/>
      <w:lvlText w:val="•"/>
      <w:numFmt w:val="bullet"/>
      <w:start w:val="1"/>
    </w:lvl>
  </w:abstractNum>
  <w:abstractNum w:abstractNumId="93">
    <w:nsid w:val="7B541FAB"/>
    <w:multiLevelType w:val="hybridMultilevel"/>
    <w:lvl w:ilvl="0">
      <w:lvlJc w:val="left"/>
      <w:lvlText w:val="(%1)"/>
      <w:numFmt w:val="decimal"/>
      <w:start w:val="1"/>
    </w:lvl>
  </w:abstractNum>
  <w:abstractNum w:abstractNumId="94">
    <w:nsid w:val="2A79EC49"/>
    <w:multiLevelType w:val="hybridMultilevel"/>
    <w:lvl w:ilvl="0">
      <w:lvlJc w:val="left"/>
      <w:lvlText w:val="•"/>
      <w:numFmt w:val="bullet"/>
      <w:start w:val="1"/>
    </w:lvl>
  </w:abstractNum>
  <w:abstractNum w:abstractNumId="95">
    <w:nsid w:val="338125CF"/>
    <w:multiLevelType w:val="hybridMultilevel"/>
    <w:lvl w:ilvl="0">
      <w:lvlJc w:val="left"/>
      <w:lvlText w:val="•"/>
      <w:numFmt w:val="bullet"/>
      <w:start w:val="1"/>
    </w:lvl>
  </w:abstractNum>
  <w:abstractNum w:abstractNumId="96">
    <w:nsid w:val="47C7C971"/>
    <w:multiLevelType w:val="hybridMultilevel"/>
    <w:lvl w:ilvl="0">
      <w:lvlJc w:val="left"/>
      <w:lvlText w:val="•"/>
      <w:numFmt w:val="bullet"/>
      <w:start w:val="1"/>
    </w:lvl>
  </w:abstractNum>
  <w:abstractNum w:abstractNumId="97">
    <w:nsid w:val="46F8284B"/>
    <w:multiLevelType w:val="hybridMultilevel"/>
    <w:lvl w:ilvl="0">
      <w:lvlJc w:val="left"/>
      <w:lvlText w:val="•"/>
      <w:numFmt w:val="bullet"/>
      <w:start w:val="1"/>
    </w:lvl>
  </w:abstractNum>
  <w:abstractNum w:abstractNumId="98">
    <w:nsid w:val="4FA327CE"/>
    <w:multiLevelType w:val="hybridMultilevel"/>
    <w:lvl w:ilvl="0">
      <w:lvlJc w:val="left"/>
      <w:lvlText w:val="(%1)"/>
      <w:numFmt w:val="lowerRoman"/>
      <w:start w:val="1"/>
    </w:lvl>
  </w:abstractNum>
  <w:abstractNum w:abstractNumId="99">
    <w:nsid w:val="1873983A"/>
    <w:multiLevelType w:val="hybridMultilevel"/>
    <w:lvl w:ilvl="0">
      <w:lvlJc w:val="left"/>
      <w:lvlText w:val="•"/>
      <w:numFmt w:val="bullet"/>
      <w:start w:val="1"/>
    </w:lvl>
  </w:abstractNum>
  <w:abstractNum w:abstractNumId="100">
    <w:nsid w:val="3D2DD275"/>
    <w:multiLevelType w:val="hybridMultilevel"/>
    <w:lvl w:ilvl="0">
      <w:lvlJc w:val="left"/>
      <w:lvlText w:val="•"/>
      <w:numFmt w:val="bullet"/>
      <w:start w:val="1"/>
    </w:lvl>
  </w:abstractNum>
  <w:abstractNum w:abstractNumId="101">
    <w:nsid w:val="2E17ECA7"/>
    <w:multiLevelType w:val="hybridMultilevel"/>
    <w:lvl w:ilvl="0">
      <w:lvlJc w:val="left"/>
      <w:lvlText w:val="•"/>
      <w:numFmt w:val="bullet"/>
      <w:start w:val="1"/>
    </w:lvl>
  </w:abstractNum>
  <w:abstractNum w:abstractNumId="102">
    <w:nsid w:val="53B2564F"/>
    <w:multiLevelType w:val="hybridMultilevel"/>
    <w:lvl w:ilvl="0">
      <w:lvlJc w:val="left"/>
      <w:lvlText w:val="•"/>
      <w:numFmt w:val="bullet"/>
      <w:start w:val="1"/>
    </w:lvl>
  </w:abstractNum>
  <w:abstractNum w:abstractNumId="103">
    <w:nsid w:val="75509D76"/>
    <w:multiLevelType w:val="hybridMultilevel"/>
    <w:lvl w:ilvl="0">
      <w:lvlJc w:val="left"/>
      <w:lvlText w:val="•"/>
      <w:numFmt w:val="bullet"/>
      <w:start w:val="1"/>
    </w:lvl>
  </w:abstractNum>
  <w:abstractNum w:abstractNumId="104">
    <w:nsid w:val="1AF7F0EA"/>
    <w:multiLevelType w:val="hybridMultilevel"/>
    <w:lvl w:ilvl="0">
      <w:lvlJc w:val="left"/>
      <w:lvlText w:val="•"/>
      <w:numFmt w:val="bullet"/>
      <w:start w:val="1"/>
    </w:lvl>
  </w:abstractNum>
  <w:abstractNum w:abstractNumId="105">
    <w:nsid w:val="4DA32C7E"/>
    <w:multiLevelType w:val="hybridMultilevel"/>
    <w:lvl w:ilvl="0">
      <w:lvlJc w:val="left"/>
      <w:lvlText w:val="•"/>
      <w:numFmt w:val="bullet"/>
      <w:start w:val="1"/>
    </w:lvl>
    <w:lvl w:ilvl="1">
      <w:lvlJc w:val="left"/>
      <w:lvlText w:val="(%2)"/>
      <w:numFmt w:val="decimal"/>
      <w:start w:val="2"/>
    </w:lvl>
  </w:abstractNum>
  <w:abstractNum w:abstractNumId="106">
    <w:nsid w:val="6EC68664"/>
    <w:multiLevelType w:val="hybridMultilevel"/>
    <w:lvl w:ilvl="0">
      <w:lvlJc w:val="left"/>
      <w:lvlText w:val="(%1)"/>
      <w:numFmt w:val="lowerLetter"/>
      <w:start w:val="2"/>
    </w:lvl>
  </w:abstractNum>
  <w:abstractNum w:abstractNumId="107">
    <w:nsid w:val="E0D31FF"/>
    <w:multiLevelType w:val="hybridMultilevel"/>
    <w:lvl w:ilvl="0">
      <w:lvlJc w:val="left"/>
      <w:lvlText w:val="•"/>
      <w:numFmt w:val="bullet"/>
      <w:start w:val="1"/>
    </w:lvl>
  </w:abstractNum>
  <w:abstractNum w:abstractNumId="108">
    <w:nsid w:val="2FD0AD81"/>
    <w:multiLevelType w:val="hybridMultilevel"/>
    <w:lvl w:ilvl="0">
      <w:lvlJc w:val="left"/>
      <w:lvlText w:val="•"/>
      <w:numFmt w:val="bullet"/>
      <w:start w:val="1"/>
    </w:lvl>
  </w:abstractNum>
  <w:abstractNum w:abstractNumId="109">
    <w:nsid w:val="1978EBEB"/>
    <w:multiLevelType w:val="hybridMultilevel"/>
    <w:lvl w:ilvl="0">
      <w:lvlJc w:val="left"/>
      <w:lvlText w:val="$"/>
      <w:numFmt w:val="bullet"/>
      <w:start w:val="1"/>
    </w:lvl>
  </w:abstractNum>
  <w:abstractNum w:abstractNumId="110">
    <w:nsid w:val="52C12C61"/>
    <w:multiLevelType w:val="hybridMultilevel"/>
    <w:lvl w:ilvl="0">
      <w:lvlJc w:val="left"/>
      <w:lvlText w:val="(%1)"/>
      <w:numFmt w:val="upperLetter"/>
      <w:start w:val="1"/>
    </w:lvl>
    <w:lvl w:ilvl="1">
      <w:lvlJc w:val="left"/>
      <w:lvlText w:val="•"/>
      <w:numFmt w:val="bullet"/>
      <w:start w:val="1"/>
    </w:lvl>
  </w:abstractNum>
  <w:abstractNum w:abstractNumId="111">
    <w:nsid w:val="4BDD53FD"/>
    <w:multiLevelType w:val="hybridMultilevel"/>
    <w:lvl w:ilvl="0">
      <w:lvlJc w:val="left"/>
      <w:lvlText w:val="•"/>
      <w:numFmt w:val="bullet"/>
      <w:start w:val="1"/>
    </w:lvl>
  </w:abstractNum>
  <w:abstractNum w:abstractNumId="112">
    <w:nsid w:val="569951FE"/>
    <w:multiLevelType w:val="hybridMultilevel"/>
    <w:lvl w:ilvl="0">
      <w:lvlJc w:val="left"/>
      <w:lvlText w:val="•"/>
      <w:numFmt w:val="bullet"/>
      <w:start w:val="1"/>
    </w:lvl>
  </w:abstractNum>
  <w:abstractNum w:abstractNumId="113">
    <w:nsid w:val="4C54E2C3"/>
    <w:multiLevelType w:val="hybridMultilevel"/>
    <w:lvl w:ilvl="0">
      <w:lvlJc w:val="left"/>
      <w:lvlText w:val="&amp;"/>
      <w:numFmt w:val="bullet"/>
      <w:start w:val="1"/>
    </w:lvl>
  </w:abstractNum>
  <w:abstractNum w:abstractNumId="114">
    <w:nsid w:val="788BD9B"/>
    <w:multiLevelType w:val="hybridMultilevel"/>
    <w:lvl w:ilvl="0">
      <w:lvlJc w:val="left"/>
      <w:lvlText w:val="•"/>
      <w:numFmt w:val="bullet"/>
      <w:start w:val="1"/>
    </w:lvl>
  </w:abstractNum>
  <w:abstractNum w:abstractNumId="115">
    <w:nsid w:val="47CAA567"/>
    <w:multiLevelType w:val="hybridMultilevel"/>
    <w:lvl w:ilvl="0">
      <w:lvlJc w:val="left"/>
      <w:lvlText w:val="(%1)"/>
      <w:numFmt w:val="lowerLetter"/>
      <w:start w:val="4"/>
    </w:lvl>
  </w:abstractNum>
  <w:abstractNum w:abstractNumId="116">
    <w:nsid w:val="48249DBF"/>
    <w:multiLevelType w:val="hybridMultilevel"/>
    <w:lvl w:ilvl="0">
      <w:lvlJc w:val="left"/>
      <w:lvlText w:val="(%1)"/>
      <w:numFmt w:val="lowerRoman"/>
      <w:start w:val="3"/>
    </w:lvl>
  </w:abstractNum>
  <w:abstractNum w:abstractNumId="117">
    <w:nsid w:val="1F0E5D0D"/>
    <w:multiLevelType w:val="hybridMultilevel"/>
    <w:lvl w:ilvl="0">
      <w:lvlJc w:val="left"/>
      <w:lvlText w:val="$"/>
      <w:numFmt w:val="bullet"/>
      <w:start w:val="1"/>
    </w:lvl>
  </w:abstractNum>
  <w:abstractNum w:abstractNumId="118">
    <w:nsid w:val="26BAAE9"/>
    <w:multiLevelType w:val="hybridMultilevel"/>
    <w:lvl w:ilvl="0">
      <w:lvlJc w:val="left"/>
      <w:lvlText w:val="$"/>
      <w:numFmt w:val="bullet"/>
      <w:start w:val="1"/>
    </w:lvl>
  </w:abstractNum>
  <w:abstractNum w:abstractNumId="119">
    <w:nsid w:val="2C02FE8C"/>
    <w:multiLevelType w:val="hybridMultilevel"/>
    <w:lvl w:ilvl="0">
      <w:lvlJc w:val="left"/>
      <w:lvlText w:val="(%1)"/>
      <w:numFmt w:val="lowerLetter"/>
      <w:start w:val="1"/>
    </w:lvl>
  </w:abstractNum>
  <w:abstractNum w:abstractNumId="120">
    <w:nsid w:val="129517E"/>
    <w:multiLevelType w:val="hybridMultilevel"/>
    <w:lvl w:ilvl="0">
      <w:lvlJc w:val="left"/>
      <w:lvlText w:val="(%1)"/>
      <w:numFmt w:val="lowerLetter"/>
      <w:start w:val="1"/>
    </w:lvl>
  </w:abstractNum>
  <w:abstractNum w:abstractNumId="121">
    <w:nsid w:val="763B8C4E"/>
    <w:multiLevelType w:val="hybridMultilevel"/>
    <w:lvl w:ilvl="0">
      <w:lvlJc w:val="left"/>
      <w:lvlText w:val="•"/>
      <w:numFmt w:val="bullet"/>
      <w:start w:val="1"/>
    </w:lvl>
  </w:abstractNum>
  <w:abstractNum w:abstractNumId="122">
    <w:nsid w:val="4CFB8D32"/>
    <w:multiLevelType w:val="hybridMultilevel"/>
    <w:lvl w:ilvl="0">
      <w:lvlJc w:val="left"/>
      <w:lvlText w:val="(%1)"/>
      <w:numFmt w:val="lowerLetter"/>
      <w:start w:val="1"/>
    </w:lvl>
  </w:abstractNum>
  <w:abstractNum w:abstractNumId="123">
    <w:nsid w:val="62A5D5BD"/>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5"/>
    </w:lvl>
  </w:abstractNum>
  <w:abstractNum w:abstractNumId="124">
    <w:nsid w:val="718FABF9"/>
    <w:multiLevelType w:val="hybridMultilevel"/>
    <w:lvl w:ilvl="0">
      <w:lvlJc w:val="left"/>
      <w:lvlText w:val="†"/>
      <w:numFmt w:val="bullet"/>
      <w:start w:val="1"/>
    </w:lvl>
    <w:lvl w:ilvl="1">
      <w:lvlJc w:val="left"/>
      <w:lvlText w:val="%2"/>
      <w:numFmt w:val="upperLetter"/>
      <w:start w:val="1"/>
    </w:lvl>
  </w:abstractNum>
  <w:abstractNum w:abstractNumId="125">
    <w:nsid w:val="7775797C"/>
    <w:multiLevelType w:val="hybridMultilevel"/>
    <w:lvl w:ilvl="0">
      <w:lvlJc w:val="left"/>
      <w:lvlText w:val="%1."/>
      <w:numFmt w:val="decimal"/>
      <w:start w:val="1"/>
    </w:lvl>
  </w:abstractNum>
  <w:abstractNum w:abstractNumId="126">
    <w:nsid w:val="1626FB8C"/>
    <w:multiLevelType w:val="hybridMultilevel"/>
    <w:lvl w:ilvl="0">
      <w:lvlJc w:val="left"/>
      <w:lvlText w:val="%1."/>
      <w:numFmt w:val="decimal"/>
      <w:start w:val="5"/>
    </w:lvl>
    <w:lvl w:ilvl="1">
      <w:lvlJc w:val="left"/>
      <w:lvlText w:val="(%2)"/>
      <w:numFmt w:val="lowerRoman"/>
      <w:start w:val="1"/>
    </w:lvl>
    <w:lvl w:ilvl="2">
      <w:lvlJc w:val="left"/>
      <w:lvlText w:val="(%3)"/>
      <w:numFmt w:val="decimal"/>
      <w:start w:val="1"/>
    </w:lvl>
  </w:abstractNum>
  <w:abstractNum w:abstractNumId="127">
    <w:nsid w:val="3957756A"/>
    <w:multiLevelType w:val="hybridMultilevel"/>
    <w:lvl w:ilvl="0">
      <w:lvlJc w:val="left"/>
      <w:lvlText w:val="%1"/>
      <w:numFmt w:val="lowerRoman"/>
      <w:start w:val="1"/>
    </w:lvl>
    <w:lvl w:ilvl="1">
      <w:lvlJc w:val="left"/>
      <w:lvlText w:val="(%2)"/>
      <w:numFmt w:val="decimal"/>
      <w:start w:val="3"/>
    </w:lvl>
  </w:abstractNum>
  <w:abstractNum w:abstractNumId="128">
    <w:nsid w:val="3E6DA1C7"/>
    <w:multiLevelType w:val="hybridMultilevel"/>
    <w:lvl w:ilvl="0">
      <w:lvlJc w:val="left"/>
      <w:lvlText w:val="(%1)"/>
      <w:numFmt w:val="lowerRoman"/>
      <w:start w:val="2"/>
    </w:lvl>
    <w:lvl w:ilvl="1">
      <w:lvlJc w:val="left"/>
      <w:lvlText w:val="(%2)"/>
      <w:numFmt w:val="decimal"/>
      <w:start w:val="1"/>
    </w:lvl>
  </w:abstractNum>
  <w:abstractNum w:abstractNumId="129">
    <w:nsid w:val="65CA235B"/>
    <w:multiLevelType w:val="hybridMultilevel"/>
    <w:lvl w:ilvl="0">
      <w:lvlJc w:val="left"/>
      <w:lvlText w:val="(%1)"/>
      <w:numFmt w:val="lowerRoman"/>
      <w:start w:val="4"/>
    </w:lvl>
  </w:abstractNum>
  <w:abstractNum w:abstractNumId="130">
    <w:nsid w:val="51CB0DA4"/>
    <w:multiLevelType w:val="hybridMultilevel"/>
    <w:lvl w:ilvl="0">
      <w:lvlJc w:val="left"/>
      <w:lvlText w:val="(%1)"/>
      <w:numFmt w:val="lowerRoman"/>
      <w:start w:val="6"/>
    </w:lvl>
  </w:abstractNum>
  <w:abstractNum w:abstractNumId="131">
    <w:nsid w:val="7B9B743C"/>
    <w:multiLevelType w:val="hybridMultilevel"/>
    <w:lvl w:ilvl="0">
      <w:lvlJc w:val="left"/>
      <w:lvlText w:val="%1."/>
      <w:numFmt w:val="decimal"/>
      <w:start w:val="6"/>
    </w:lvl>
  </w:abstractNum>
  <w:abstractNum w:abstractNumId="132">
    <w:nsid w:val="13E21002"/>
    <w:multiLevelType w:val="hybridMultilevel"/>
    <w:lvl w:ilvl="0">
      <w:lvlJc w:val="left"/>
      <w:lvlText w:val="%1."/>
      <w:numFmt w:val="decimal"/>
      <w:start w:val="7"/>
    </w:lvl>
  </w:abstractNum>
  <w:abstractNum w:abstractNumId="133">
    <w:nsid w:val="257D63F4"/>
    <w:multiLevelType w:val="hybridMultilevel"/>
    <w:lvl w:ilvl="0">
      <w:lvlJc w:val="left"/>
      <w:lvlText w:val="%1."/>
      <w:numFmt w:val="decimal"/>
      <w:start w:val="8"/>
    </w:lvl>
  </w:abstractNum>
  <w:abstractNum w:abstractNumId="134">
    <w:nsid w:val="70EC11B2"/>
    <w:multiLevelType w:val="hybridMultilevel"/>
    <w:lvl w:ilvl="0">
      <w:lvlJc w:val="left"/>
      <w:lvlText w:val="(%1)"/>
      <w:numFmt w:val="lowerRoman"/>
      <w:start w:val="1"/>
    </w:lvl>
  </w:abstractNum>
  <w:abstractNum w:abstractNumId="135">
    <w:nsid w:val="2EDA00ED"/>
    <w:multiLevelType w:val="hybridMultilevel"/>
    <w:lvl w:ilvl="0">
      <w:lvlJc w:val="left"/>
      <w:lvlText w:val="(%1)"/>
      <w:numFmt w:val="lowerRoman"/>
      <w:start w:val="1"/>
    </w:lvl>
  </w:abstractNum>
  <w:abstractNum w:abstractNumId="136">
    <w:nsid w:val="73209072"/>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37">
    <w:nsid w:val="5FB29816"/>
    <w:multiLevelType w:val="hybridMultilevel"/>
    <w:lvl w:ilvl="0">
      <w:lvlJc w:val="left"/>
      <w:lvlText w:val="(%1)"/>
      <w:numFmt w:val="lowerLetter"/>
      <w:start w:val="1"/>
    </w:lvl>
    <w:lvl w:ilvl="1">
      <w:lvlJc w:val="left"/>
      <w:lvlText w:val="(%2)"/>
      <w:numFmt w:val="lowerLetter"/>
      <w:start w:val="60"/>
    </w:lvl>
    <w:lvl w:ilvl="2">
      <w:lvlJc w:val="left"/>
      <w:lvlText w:val="(%3)"/>
      <w:numFmt w:val="decimal"/>
      <w:start w:val="2"/>
    </w:lvl>
  </w:abstractNum>
  <w:abstractNum w:abstractNumId="138">
    <w:nsid w:val="3CE732EC"/>
    <w:multiLevelType w:val="hybridMultilevel"/>
    <w:lvl w:ilvl="0">
      <w:lvlJc w:val="left"/>
      <w:lvlText w:val="(%1)"/>
      <w:numFmt w:val="lowerRoman"/>
      <w:start w:val="4"/>
    </w:lvl>
    <w:lvl w:ilvl="1">
      <w:lvlJc w:val="left"/>
      <w:lvlText w:val="(%2)"/>
      <w:numFmt w:val="decimal"/>
      <w:start w:val="1"/>
    </w:lvl>
  </w:abstractNum>
  <w:abstractNum w:abstractNumId="139">
    <w:nsid w:val="22F13DF3"/>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140">
    <w:nsid w:val="792B8401"/>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abstractNum>
  <w:abstractNum w:abstractNumId="141">
    <w:nsid w:val="FA85F4D"/>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142">
    <w:nsid w:val="6ECE91F0"/>
    <w:multiLevelType w:val="hybridMultilevel"/>
    <w:lvl w:ilvl="0">
      <w:lvlJc w:val="left"/>
      <w:lvlText w:val="(%1)"/>
      <w:numFmt w:val="lowerRoman"/>
      <w:start w:val="1"/>
    </w:lvl>
  </w:abstractNum>
  <w:abstractNum w:abstractNumId="143">
    <w:nsid w:val="4FC4D600"/>
    <w:multiLevelType w:val="hybridMultilevel"/>
    <w:lvl w:ilvl="0">
      <w:lvlJc w:val="left"/>
      <w:lvlText w:val="%1"/>
      <w:numFmt w:val="lowerLetter"/>
      <w:start w:val="1"/>
    </w:lvl>
    <w:lvl w:ilvl="1">
      <w:lvlJc w:val="left"/>
      <w:lvlText w:val="(%2)"/>
      <w:numFmt w:val="lowerLetter"/>
      <w:start w:val="61"/>
    </w:lvl>
  </w:abstractNum>
  <w:abstractNum w:abstractNumId="144">
    <w:nsid w:val="5BFD4210"/>
    <w:multiLevelType w:val="hybridMultilevel"/>
    <w:lvl w:ilvl="0">
      <w:lvlJc w:val="left"/>
      <w:lvlText w:val="(%1)"/>
      <w:numFmt w:val="lowerLetter"/>
      <w:start w:val="2"/>
    </w:lvl>
    <w:lvl w:ilvl="1">
      <w:lvlJc w:val="left"/>
      <w:lvlText w:val="%2"/>
      <w:numFmt w:val="lowerLetter"/>
      <w:start w:val="1"/>
    </w:lvl>
  </w:abstractNum>
  <w:abstractNum w:abstractNumId="145">
    <w:nsid w:val="76574F8B"/>
    <w:multiLevelType w:val="hybridMultilevel"/>
    <w:lvl w:ilvl="0">
      <w:lvlJc w:val="left"/>
      <w:lvlText w:val="(%1)"/>
      <w:numFmt w:val="lowerRoman"/>
      <w:start w:val="4"/>
    </w:lvl>
  </w:abstractNum>
  <w:abstractNum w:abstractNumId="146">
    <w:nsid w:val="178F7B67"/>
    <w:multiLevelType w:val="hybridMultilevel"/>
    <w:lvl w:ilvl="0">
      <w:lvlJc w:val="left"/>
      <w:lvlText w:val="(%1)"/>
      <w:numFmt w:val="lowerRoman"/>
      <w:start w:val="1"/>
    </w:lvl>
  </w:abstractNum>
  <w:abstractNum w:abstractNumId="147">
    <w:nsid w:val="2421DFCF"/>
    <w:multiLevelType w:val="hybridMultilevel"/>
    <w:lvl w:ilvl="0">
      <w:lvlJc w:val="left"/>
      <w:lvlText w:val="%1"/>
      <w:numFmt w:val="decimal"/>
      <w:start w:val="1"/>
    </w:lvl>
    <w:lvl w:ilvl="1">
      <w:lvlJc w:val="left"/>
      <w:lvlText w:val="(%2)"/>
      <w:numFmt w:val="lowerRoman"/>
      <w:start w:val="2"/>
    </w:lvl>
  </w:abstractNum>
  <w:abstractNum w:abstractNumId="148">
    <w:nsid w:val="1565AC99"/>
    <w:multiLevelType w:val="hybridMultilevel"/>
    <w:lvl w:ilvl="0">
      <w:lvlJc w:val="left"/>
      <w:lvlText w:val="%1."/>
      <w:numFmt w:val="decimal"/>
      <w:start w:val="10"/>
    </w:lvl>
    <w:lvl w:ilvl="1">
      <w:lvlJc w:val="left"/>
      <w:lvlText w:val="%2"/>
      <w:numFmt w:val="lowerRoman"/>
      <w:start w:val="1"/>
    </w:lvl>
  </w:abstractNum>
  <w:abstractNum w:abstractNumId="149">
    <w:nsid w:val="19FB2650"/>
    <w:multiLevelType w:val="hybridMultilevel"/>
    <w:lvl w:ilvl="0">
      <w:lvlJc w:val="left"/>
      <w:lvlText w:val="(%1)"/>
      <w:numFmt w:val="lowerRoman"/>
      <w:start w:val="1"/>
    </w:lvl>
  </w:abstractNum>
  <w:abstractNum w:abstractNumId="150">
    <w:nsid w:val="5024DE5B"/>
    <w:multiLevelType w:val="hybridMultilevel"/>
    <w:lvl w:ilvl="0">
      <w:lvlJc w:val="left"/>
      <w:lvlText w:val="(%1)"/>
      <w:numFmt w:val="lowerRoman"/>
      <w:start w:val="1"/>
    </w:lvl>
  </w:abstractNum>
  <w:abstractNum w:abstractNumId="151">
    <w:nsid w:val="168EFE17"/>
    <w:multiLevelType w:val="hybridMultilevel"/>
    <w:lvl w:ilvl="0">
      <w:lvlJc w:val="left"/>
      <w:lvlText w:val="%1."/>
      <w:numFmt w:val="decimal"/>
      <w:start w:val="11"/>
    </w:lvl>
  </w:abstractNum>
  <w:abstractNum w:abstractNumId="152">
    <w:nsid w:val="1036B29F"/>
    <w:multiLevelType w:val="hybridMultilevel"/>
    <w:lvl w:ilvl="0">
      <w:lvlJc w:val="left"/>
      <w:lvlText w:val="%1."/>
      <w:numFmt w:val="decimal"/>
      <w:start w:val="13"/>
    </w:lvl>
  </w:abstractNum>
  <w:abstractNum w:abstractNumId="153">
    <w:nsid w:val="1D206B8E"/>
    <w:multiLevelType w:val="hybridMultilevel"/>
    <w:lvl w:ilvl="0">
      <w:lvlJc w:val="left"/>
      <w:lvlText w:val="(%1)"/>
      <w:numFmt w:val="lowerLetter"/>
      <w:start w:val="2"/>
    </w:lvl>
  </w:abstractNum>
  <w:abstractNum w:abstractNumId="154">
    <w:nsid w:val="7934D3D4"/>
    <w:multiLevelType w:val="hybridMultilevel"/>
    <w:lvl w:ilvl="0">
      <w:lvlJc w:val="left"/>
      <w:lvlText w:val="(%1)"/>
      <w:numFmt w:val="lowerLetter"/>
      <w:start w:val="1"/>
    </w:lvl>
  </w:abstractNum>
  <w:abstractNum w:abstractNumId="155">
    <w:nsid w:val="1C65E98"/>
    <w:multiLevelType w:val="hybridMultilevel"/>
    <w:lvl w:ilvl="0">
      <w:lvlJc w:val="left"/>
      <w:lvlText w:val="(%1)"/>
      <w:numFmt w:val="lowerLetter"/>
      <w:start w:val="2"/>
    </w:lvl>
  </w:abstractNum>
  <w:abstractNum w:abstractNumId="156">
    <w:nsid w:val="1495E50A"/>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57">
    <w:nsid w:val="F5BCF61"/>
    <w:multiLevelType w:val="hybridMultilevel"/>
    <w:lvl w:ilvl="0">
      <w:lvlJc w:val="left"/>
      <w:lvlText w:val="(%1)"/>
      <w:numFmt w:val="lowerLetter"/>
      <w:start w:val="2"/>
    </w:lvl>
  </w:abstractNum>
  <w:abstractNum w:abstractNumId="158">
    <w:nsid w:val="3B1DD403"/>
    <w:multiLevelType w:val="hybridMultilevel"/>
    <w:lvl w:ilvl="0">
      <w:lvlJc w:val="left"/>
      <w:lvlText w:val="(%1)"/>
      <w:numFmt w:val="lowerLetter"/>
      <w:start w:val="3"/>
    </w:lvl>
  </w:abstractNum>
  <w:abstractNum w:abstractNumId="159">
    <w:nsid w:val="530386D1"/>
    <w:multiLevelType w:val="hybridMultilevel"/>
    <w:lvl w:ilvl="0">
      <w:lvlJc w:val="left"/>
      <w:lvlText w:val="(%1)"/>
      <w:numFmt w:val="lowerLetter"/>
      <w:start w:val="2"/>
    </w:lvl>
  </w:abstractNum>
  <w:abstractNum w:abstractNumId="160">
    <w:nsid w:val="7525F2BC"/>
    <w:multiLevelType w:val="hybridMultilevel"/>
    <w:lvl w:ilvl="0">
      <w:lvlJc w:val="left"/>
      <w:lvlText w:val="%1"/>
      <w:numFmt w:val="lowerLetter"/>
      <w:start w:val="1"/>
    </w:lvl>
    <w:lvl w:ilvl="1">
      <w:lvlJc w:val="left"/>
      <w:lvlText w:val="(%2)"/>
      <w:numFmt w:val="lowerLetter"/>
      <w:start w:val="4"/>
    </w:lvl>
  </w:abstractNum>
  <w:abstractNum w:abstractNumId="161">
    <w:nsid w:val="CE8E1A7"/>
    <w:multiLevelType w:val="hybridMultilevel"/>
    <w:lvl w:ilvl="0">
      <w:lvlJc w:val="left"/>
      <w:lvlText w:val="(%1)"/>
      <w:numFmt w:val="lowerLetter"/>
      <w:start w:val="9"/>
    </w:lvl>
    <w:lvl w:ilvl="1">
      <w:lvlJc w:val="left"/>
      <w:lvlText w:val="%2"/>
      <w:numFmt w:val="lowerLetter"/>
      <w:start w:val="1"/>
    </w:lvl>
  </w:abstractNum>
  <w:abstractNum w:abstractNumId="162">
    <w:nsid w:val="4E9EFB0D"/>
    <w:multiLevelType w:val="hybridMultilevel"/>
    <w:lvl w:ilvl="0">
      <w:lvlJc w:val="left"/>
      <w:lvlText w:val="(%1)"/>
      <w:numFmt w:val="lowerRoman"/>
      <w:start w:val="3"/>
    </w:lvl>
  </w:abstractNum>
  <w:abstractNum w:abstractNumId="163">
    <w:nsid w:val="90802BE"/>
    <w:multiLevelType w:val="hybridMultilevel"/>
    <w:lvl w:ilvl="0">
      <w:lvlJc w:val="left"/>
      <w:lvlText w:val="(%1)"/>
      <w:numFmt w:val="lowerLetter"/>
      <w:start w:val="5"/>
    </w:lvl>
    <w:lvl w:ilvl="1">
      <w:lvlJc w:val="left"/>
      <w:lvlText w:val="(%2)"/>
      <w:numFmt w:val="lowerRoman"/>
      <w:start w:val="1"/>
    </w:lvl>
  </w:abstractNum>
  <w:abstractNum w:abstractNumId="164">
    <w:nsid w:val="3266459B"/>
    <w:multiLevelType w:val="hybridMultilevel"/>
    <w:lvl w:ilvl="0">
      <w:lvlJc w:val="left"/>
      <w:lvlText w:val="%1"/>
      <w:numFmt w:val="lowerLetter"/>
      <w:start w:val="1"/>
    </w:lvl>
    <w:lvl w:ilvl="1">
      <w:lvlJc w:val="left"/>
      <w:lvlText w:val="(%2)"/>
      <w:numFmt w:val="lowerRoman"/>
      <w:start w:val="3"/>
    </w:lvl>
  </w:abstractNum>
  <w:abstractNum w:abstractNumId="165">
    <w:nsid w:val="3F8B0CBF"/>
    <w:multiLevelType w:val="hybridMultilevel"/>
    <w:lvl w:ilvl="0">
      <w:lvlJc w:val="left"/>
      <w:lvlText w:val="(%1)"/>
      <w:numFmt w:val="lowerLetter"/>
      <w:start w:val="7"/>
    </w:lvl>
    <w:lvl w:ilvl="1">
      <w:lvlJc w:val="left"/>
      <w:lvlText w:val="%2"/>
      <w:numFmt w:val="lowerRoman"/>
      <w:start w:val="1"/>
    </w:lvl>
  </w:abstractNum>
  <w:abstractNum w:abstractNumId="166">
    <w:nsid w:val="37E203AB"/>
    <w:multiLevelType w:val="hybridMultilevel"/>
    <w:lvl w:ilvl="0">
      <w:lvlJc w:val="left"/>
      <w:lvlText w:val="(%1)"/>
      <w:numFmt w:val="lowerLetter"/>
      <w:start w:val="8"/>
    </w:lvl>
  </w:abstractNum>
  <w:abstractNum w:abstractNumId="167">
    <w:nsid w:val="2586D60E"/>
    <w:multiLevelType w:val="hybridMultilevel"/>
    <w:lvl w:ilvl="0">
      <w:lvlJc w:val="left"/>
      <w:lvlText w:val="(%1)"/>
      <w:numFmt w:val="lowerLetter"/>
      <w:start w:val="2"/>
    </w:lvl>
  </w:abstractNum>
  <w:abstractNum w:abstractNumId="168">
    <w:nsid w:val="1F3DA4D5"/>
    <w:multiLevelType w:val="hybridMultilevel"/>
    <w:lvl w:ilvl="0">
      <w:lvlJc w:val="left"/>
      <w:lvlText w:val="(%1)"/>
      <w:numFmt w:val="lowerLetter"/>
      <w:start w:val="2"/>
    </w:lvl>
  </w:abstractNum>
  <w:abstractNum w:abstractNumId="169">
    <w:nsid w:val="74C93698"/>
    <w:multiLevelType w:val="hybridMultilevel"/>
    <w:lvl w:ilvl="0">
      <w:lvlJc w:val="left"/>
      <w:lvlText w:val="(%1)"/>
      <w:numFmt w:val="lowerLetter"/>
      <w:start w:val="2"/>
    </w:lvl>
  </w:abstractNum>
  <w:abstractNum w:abstractNumId="170">
    <w:nsid w:val="48781401"/>
    <w:multiLevelType w:val="hybridMultilevel"/>
    <w:lvl w:ilvl="0">
      <w:lvlJc w:val="left"/>
      <w:lvlText w:val="(%1)"/>
      <w:numFmt w:val="lowerLetter"/>
      <w:start w:val="35"/>
    </w:lvl>
    <w:lvl w:ilvl="1">
      <w:lvlJc w:val="left"/>
      <w:lvlText w:val="(%2)"/>
      <w:numFmt w:val="lowerLetter"/>
      <w:start w:val="1"/>
    </w:lvl>
  </w:abstractNum>
  <w:abstractNum w:abstractNumId="171">
    <w:nsid w:val="186928D6"/>
    <w:multiLevelType w:val="hybridMultilevel"/>
    <w:lvl w:ilvl="0">
      <w:lvlJc w:val="left"/>
      <w:lvlText w:val="(%1)"/>
      <w:numFmt w:val="lowerLetter"/>
      <w:start w:val="1"/>
    </w:lvl>
  </w:abstractNum>
  <w:abstractNum w:abstractNumId="172">
    <w:nsid w:val="47195E5"/>
    <w:multiLevelType w:val="hybridMultilevel"/>
    <w:lvl w:ilvl="0">
      <w:lvlJc w:val="left"/>
      <w:lvlText w:val="(%1)"/>
      <w:numFmt w:val="lowerRoman"/>
      <w:start w:val="6"/>
    </w:lvl>
  </w:abstractNum>
  <w:abstractNum w:abstractNumId="173">
    <w:nsid w:val="3746A5F2"/>
    <w:multiLevelType w:val="hybridMultilevel"/>
    <w:lvl w:ilvl="0">
      <w:lvlJc w:val="left"/>
      <w:lvlText w:val="(%1)"/>
      <w:numFmt w:val="lowerLetter"/>
      <w:start w:val="1"/>
    </w:lvl>
  </w:abstractNum>
  <w:abstractNum w:abstractNumId="174">
    <w:nsid w:val="682DFED6"/>
    <w:multiLevelType w:val="hybridMultilevel"/>
    <w:lvl w:ilvl="0">
      <w:lvlJc w:val="left"/>
      <w:lvlText w:val="(%1)"/>
      <w:numFmt w:val="lowerLetter"/>
      <w:start w:val="35"/>
    </w:lvl>
  </w:abstractNum>
  <w:abstractNum w:abstractNumId="175">
    <w:nsid w:val="606ED7F6"/>
    <w:multiLevelType w:val="hybridMultilevel"/>
    <w:lvl w:ilvl="0">
      <w:lvlJc w:val="left"/>
      <w:lvlText w:val="(%1)"/>
      <w:numFmt w:val="lowerLetter"/>
      <w:start w:val="1"/>
    </w:lvl>
  </w:abstractNum>
  <w:abstractNum w:abstractNumId="176">
    <w:nsid w:val="2D9DF57D"/>
    <w:multiLevelType w:val="hybridMultilevel"/>
    <w:lvl w:ilvl="0">
      <w:lvlJc w:val="left"/>
      <w:lvlText w:val="(%1)"/>
      <w:numFmt w:val="lowerLetter"/>
      <w:start w:val="1"/>
    </w:lvl>
    <w:lvl w:ilvl="1">
      <w:lvlJc w:val="left"/>
      <w:lvlText w:val="(%2)"/>
      <w:numFmt w:val="lowerRoman"/>
      <w:start w:val="1"/>
    </w:lvl>
  </w:abstractNum>
  <w:abstractNum w:abstractNumId="177">
    <w:nsid w:val="7FBD7A3E"/>
    <w:multiLevelType w:val="hybridMultilevel"/>
    <w:lvl w:ilvl="0">
      <w:lvlJc w:val="left"/>
      <w:lvlText w:val="(%1)"/>
      <w:numFmt w:val="lowerRoman"/>
      <w:start w:val="2"/>
    </w:lvl>
  </w:abstractNum>
  <w:abstractNum w:abstractNumId="178">
    <w:nsid w:val="490B7C5"/>
    <w:multiLevelType w:val="hybridMultilevel"/>
    <w:lvl w:ilvl="0">
      <w:lvlJc w:val="left"/>
      <w:lvlText w:val="(%1)"/>
      <w:numFmt w:val="lowerLetter"/>
      <w:start w:val="1"/>
    </w:lvl>
    <w:lvl w:ilvl="1">
      <w:lvlJc w:val="left"/>
      <w:lvlText w:val="(%2)"/>
      <w:numFmt w:val="lowerRoman"/>
      <w:start w:val="1"/>
    </w:lvl>
  </w:abstractNum>
  <w:abstractNum w:abstractNumId="179">
    <w:nsid w:val="4303A216"/>
    <w:multiLevelType w:val="hybridMultilevel"/>
    <w:lvl w:ilvl="0">
      <w:lvlJc w:val="left"/>
      <w:lvlText w:val="%1"/>
      <w:numFmt w:val="lowerLetter"/>
      <w:start w:val="1"/>
    </w:lvl>
    <w:lvl w:ilvl="1">
      <w:lvlJc w:val="left"/>
      <w:lvlText w:val="(%2)"/>
      <w:numFmt w:val="lowerRoman"/>
      <w:start w:val="3"/>
    </w:lvl>
  </w:abstractNum>
  <w:abstractNum w:abstractNumId="180">
    <w:nsid w:val="19B8A08E"/>
    <w:multiLevelType w:val="hybridMultilevel"/>
    <w:lvl w:ilvl="0">
      <w:lvlJc w:val="left"/>
      <w:lvlText w:val="(%1)"/>
      <w:numFmt w:val="lowerLetter"/>
      <w:start w:val="2"/>
    </w:lvl>
    <w:lvl w:ilvl="1">
      <w:lvlJc w:val="left"/>
      <w:lvlText w:val="%2"/>
      <w:numFmt w:val="lowerRoman"/>
      <w:start w:val="1"/>
    </w:lvl>
  </w:abstractNum>
  <w:abstractNum w:abstractNumId="181">
    <w:nsid w:val="54B59621"/>
    <w:multiLevelType w:val="hybridMultilevel"/>
    <w:lvl w:ilvl="0">
      <w:lvlJc w:val="left"/>
      <w:lvlText w:val="(%1)"/>
      <w:numFmt w:val="lowerLetter"/>
      <w:start w:val="4"/>
    </w:lvl>
    <w:lvl w:ilvl="1">
      <w:lvlJc w:val="left"/>
      <w:lvlText w:val="(%2)"/>
      <w:numFmt w:val="lowerRoman"/>
      <w:start w:val="1"/>
    </w:lvl>
  </w:abstractNum>
  <w:abstractNum w:abstractNumId="182">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3">
    <w:nsid w:val="29EF532D"/>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184">
    <w:nsid w:val="71D601AF"/>
    <w:multiLevelType w:val="hybridMultilevel"/>
    <w:lvl w:ilvl="0">
      <w:lvlJc w:val="left"/>
      <w:lvlText w:val="(%1)"/>
      <w:numFmt w:val="lowerRoman"/>
      <w:start w:val="9"/>
    </w:lvl>
  </w:abstractNum>
  <w:abstractNum w:abstractNumId="185">
    <w:nsid w:val="52C77402"/>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86">
    <w:nsid w:val="2BB5B1C6"/>
    <w:multiLevelType w:val="hybridMultilevel"/>
    <w:lvl w:ilvl="0">
      <w:lvlJc w:val="left"/>
      <w:lvlText w:val="(%1)"/>
      <w:numFmt w:val="lowerRoman"/>
      <w:start w:val="5"/>
    </w:lvl>
  </w:abstractNum>
  <w:abstractNum w:abstractNumId="187">
    <w:nsid w:val="66BE6B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88">
    <w:nsid w:val="62234363"/>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3"/>
    </w:lvl>
  </w:abstractNum>
  <w:abstractNum w:abstractNumId="189">
    <w:nsid w:val="66D385C9"/>
    <w:multiLevelType w:val="hybridMultilevel"/>
    <w:lvl w:ilvl="0">
      <w:lvlJc w:val="left"/>
      <w:lvlText w:val="(%1)"/>
      <w:numFmt w:val="lowerRoman"/>
      <w:start w:val="5"/>
    </w:lvl>
  </w:abstractNum>
  <w:abstractNum w:abstractNumId="190">
    <w:nsid w:val="596F6D8A"/>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91">
    <w:nsid w:val="5749361F"/>
    <w:multiLevelType w:val="hybridMultilevel"/>
    <w:lvl w:ilvl="0">
      <w:lvlJc w:val="left"/>
      <w:lvlText w:val="(%1)"/>
      <w:numFmt w:val="lowerLetter"/>
      <w:start w:val="1"/>
    </w:lvl>
  </w:abstractNum>
  <w:abstractNum w:abstractNumId="192">
    <w:nsid w:val="73BC6770"/>
    <w:multiLevelType w:val="hybridMultilevel"/>
    <w:lvl w:ilvl="0">
      <w:lvlJc w:val="left"/>
      <w:lvlText w:val="(%1)"/>
      <w:numFmt w:val="lowerLetter"/>
      <w:start w:val="5"/>
    </w:lvl>
  </w:abstractNum>
  <w:abstractNum w:abstractNumId="193">
    <w:nsid w:val="280E6897"/>
    <w:multiLevelType w:val="hybridMultilevel"/>
    <w:lvl w:ilvl="0">
      <w:lvlJc w:val="left"/>
      <w:lvlText w:val="(%1)"/>
      <w:numFmt w:val="lowerLetter"/>
      <w:start w:val="9"/>
    </w:lvl>
  </w:abstractNum>
  <w:abstractNum w:abstractNumId="194">
    <w:nsid w:val="605138DE"/>
    <w:multiLevelType w:val="hybridMultilevel"/>
    <w:lvl w:ilvl="0">
      <w:lvlJc w:val="left"/>
      <w:lvlText w:val="(%1)"/>
      <w:numFmt w:val="lowerLetter"/>
      <w:start w:val="1"/>
    </w:lvl>
    <w:lvl w:ilvl="1">
      <w:lvlJc w:val="left"/>
      <w:lvlText w:val="(%2)"/>
      <w:numFmt w:val="lowerRoman"/>
      <w:start w:val="1"/>
    </w:lvl>
  </w:abstractNum>
  <w:abstractNum w:abstractNumId="195">
    <w:nsid w:val="2622AD0C"/>
    <w:multiLevelType w:val="hybridMultilevel"/>
    <w:lvl w:ilvl="0">
      <w:lvlJc w:val="left"/>
      <w:lvlText w:val="%1"/>
      <w:numFmt w:val="lowerLetter"/>
      <w:start w:val="1"/>
    </w:lvl>
    <w:lvl w:ilvl="1">
      <w:lvlJc w:val="left"/>
      <w:lvlText w:val="(%2)"/>
      <w:numFmt w:val="lowerLetter"/>
      <w:start w:val="61"/>
    </w:lvl>
  </w:abstractNum>
  <w:abstractNum w:abstractNumId="196">
    <w:nsid w:val="67997556"/>
    <w:multiLevelType w:val="hybridMultilevel"/>
    <w:lvl w:ilvl="0">
      <w:lvlJc w:val="left"/>
      <w:lvlText w:val="(%1)"/>
      <w:numFmt w:val="lowerLetter"/>
      <w:start w:val="2"/>
    </w:lvl>
    <w:lvl w:ilvl="1">
      <w:lvlJc w:val="left"/>
      <w:lvlText w:val="(%2)"/>
      <w:numFmt w:val="lowerLetter"/>
      <w:start w:val="9"/>
    </w:lvl>
  </w:abstractNum>
  <w:abstractNum w:abstractNumId="197">
    <w:nsid w:val="18333C89"/>
    <w:multiLevelType w:val="hybridMultilevel"/>
    <w:lvl w:ilvl="0">
      <w:lvlJc w:val="left"/>
      <w:lvlText w:val="(%1)"/>
      <w:numFmt w:val="lowerRoman"/>
      <w:start w:val="2"/>
    </w:lvl>
  </w:abstractNum>
  <w:abstractNum w:abstractNumId="198">
    <w:nsid w:val="4BA9831A"/>
    <w:multiLevelType w:val="hybridMultilevel"/>
    <w:lvl w:ilvl="0">
      <w:lvlJc w:val="left"/>
      <w:lvlText w:val="(%1)"/>
      <w:numFmt w:val="lowerRoman"/>
      <w:start w:val="3"/>
    </w:lvl>
  </w:abstractNum>
  <w:abstractNum w:abstractNumId="199">
    <w:nsid w:val="6D71A2B"/>
    <w:multiLevelType w:val="hybridMultilevel"/>
    <w:lvl w:ilvl="0">
      <w:lvlJc w:val="left"/>
      <w:lvlText w:val="%1"/>
      <w:numFmt w:val="lowerLetter"/>
      <w:start w:val="1"/>
    </w:lvl>
    <w:lvl w:ilvl="1">
      <w:lvlJc w:val="left"/>
      <w:lvlText w:val="(%2)"/>
      <w:numFmt w:val="lowerLetter"/>
      <w:start w:val="1"/>
    </w:lvl>
  </w:abstractNum>
  <w:abstractNum w:abstractNumId="200">
    <w:nsid w:val="CFC7321"/>
    <w:multiLevelType w:val="hybridMultilevel"/>
    <w:lvl w:ilvl="0">
      <w:lvlJc w:val="left"/>
      <w:lvlText w:val="(%1)"/>
      <w:numFmt w:val="lowerLetter"/>
      <w:start w:val="9"/>
    </w:lvl>
    <w:lvl w:ilvl="1">
      <w:lvlJc w:val="left"/>
      <w:lvlText w:val="%2"/>
      <w:numFmt w:val="lowerLetter"/>
      <w:start w:val="1"/>
    </w:lvl>
  </w:abstractNum>
  <w:abstractNum w:abstractNumId="201">
    <w:nsid w:val="1421971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02">
    <w:nsid w:val="1F40430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03">
    <w:nsid w:val="116E0907"/>
    <w:multiLevelType w:val="hybridMultilevel"/>
    <w:lvl w:ilvl="0">
      <w:lvlJc w:val="left"/>
      <w:lvlText w:val="(%1)"/>
      <w:numFmt w:val="lowerRoman"/>
      <w:start w:val="4"/>
    </w:lvl>
  </w:abstractNum>
  <w:abstractNum w:abstractNumId="204">
    <w:nsid w:val="4B683D0D"/>
    <w:multiLevelType w:val="hybridMultilevel"/>
    <w:lvl w:ilvl="0">
      <w:lvlJc w:val="left"/>
      <w:lvlText w:val="(%1)"/>
      <w:numFmt w:val="lowerLetter"/>
      <w:start w:val="5"/>
    </w:lvl>
  </w:abstractNum>
  <w:abstractNum w:abstractNumId="205">
    <w:nsid w:val="76E41D8"/>
    <w:multiLevelType w:val="hybridMultilevel"/>
    <w:lvl w:ilvl="0">
      <w:lvlJc w:val="left"/>
      <w:lvlText w:val="(%1)"/>
      <w:numFmt w:val="lowerLetter"/>
      <w:start w:val="1"/>
    </w:lvl>
  </w:abstractNum>
  <w:abstractNum w:abstractNumId="206">
    <w:nsid w:val="71DCE0FD"/>
    <w:multiLevelType w:val="hybridMultilevel"/>
    <w:lvl w:ilvl="0">
      <w:lvlJc w:val="left"/>
      <w:lvlText w:val="%1"/>
      <w:numFmt w:val="upperLetter"/>
      <w:start w:val="1"/>
    </w:lvl>
    <w:lvl w:ilvl="1">
      <w:lvlJc w:val="left"/>
      <w:lvlText w:val="(%2)"/>
      <w:numFmt w:val="lowerLetter"/>
      <w:start w:val="3"/>
    </w:lvl>
  </w:abstractNum>
  <w:abstractNum w:abstractNumId="207">
    <w:nsid w:val="7906328B"/>
    <w:multiLevelType w:val="hybridMultilevel"/>
    <w:lvl w:ilvl="0">
      <w:lvlJc w:val="left"/>
      <w:lvlText w:val="(%1)"/>
      <w:numFmt w:val="upperLetter"/>
      <w:start w:val="1"/>
    </w:lvl>
    <w:lvl w:ilvl="1">
      <w:lvlJc w:val="left"/>
      <w:lvlText w:val="%2"/>
      <w:numFmt w:val="lowerLetter"/>
      <w:start w:val="1"/>
    </w:lvl>
  </w:abstractNum>
  <w:abstractNum w:abstractNumId="208">
    <w:nsid w:val="72BBC16"/>
    <w:multiLevelType w:val="hybridMultilevel"/>
    <w:lvl w:ilvl="0">
      <w:lvlJc w:val="left"/>
      <w:lvlText w:val="(%1)"/>
      <w:numFmt w:val="lowerLetter"/>
      <w:start w:val="1"/>
    </w:lvl>
  </w:abstractNum>
  <w:abstractNum w:abstractNumId="209">
    <w:nsid w:val="766D98C2"/>
    <w:multiLevelType w:val="hybridMultilevel"/>
    <w:lvl w:ilvl="0">
      <w:lvlJc w:val="left"/>
      <w:lvlText w:val="%1"/>
      <w:numFmt w:val="upperLetter"/>
      <w:start w:val="1"/>
    </w:lvl>
    <w:lvl w:ilvl="1">
      <w:lvlJc w:val="left"/>
      <w:lvlText w:val="(%2)"/>
      <w:numFmt w:val="lowerLetter"/>
      <w:start w:val="5"/>
    </w:lvl>
  </w:abstractNum>
  <w:abstractNum w:abstractNumId="210">
    <w:nsid w:val="3C09D4A1"/>
    <w:multiLevelType w:val="hybridMultilevel"/>
    <w:lvl w:ilvl="0">
      <w:lvlJc w:val="left"/>
      <w:lvlText w:val="(%1)"/>
      <w:numFmt w:val="upperLetter"/>
      <w:start w:val="2"/>
    </w:lvl>
    <w:lvl w:ilvl="1">
      <w:lvlJc w:val="left"/>
      <w:lvlText w:val="%2"/>
      <w:numFmt w:val="lowerLetter"/>
      <w:start w:val="1"/>
    </w:lvl>
  </w:abstractNum>
  <w:abstractNum w:abstractNumId="211">
    <w:nsid w:val="20E45CA4"/>
    <w:multiLevelType w:val="hybridMultilevel"/>
    <w:lvl w:ilvl="0">
      <w:lvlJc w:val="left"/>
      <w:lvlText w:val="(%1)"/>
      <w:numFmt w:val="lowerLetter"/>
      <w:start w:val="1"/>
    </w:lvl>
  </w:abstractNum>
  <w:abstractNum w:abstractNumId="212">
    <w:nsid w:val="4B232EE3"/>
    <w:multiLevelType w:val="hybridMultilevel"/>
    <w:lvl w:ilvl="0">
      <w:lvlJc w:val="left"/>
      <w:lvlText w:val="(%1)"/>
      <w:numFmt w:val="lowerLetter"/>
      <w:start w:val="3"/>
    </w:lvl>
  </w:abstractNum>
  <w:abstractNum w:abstractNumId="213">
    <w:nsid w:val="159C74CF"/>
    <w:multiLevelType w:val="hybridMultilevel"/>
    <w:lvl w:ilvl="0">
      <w:lvlJc w:val="left"/>
      <w:lvlText w:val="(%1)"/>
      <w:numFmt w:val="lowerLetter"/>
      <w:start w:val="1"/>
    </w:lvl>
  </w:abstractNum>
  <w:abstractNum w:abstractNumId="214">
    <w:nsid w:val="4AD3AFD2"/>
    <w:multiLevelType w:val="hybridMultilevel"/>
    <w:lvl w:ilvl="0">
      <w:lvlJc w:val="left"/>
      <w:lvlText w:val="(%1)"/>
      <w:numFmt w:val="lowerLetter"/>
      <w:start w:val="3"/>
    </w:lvl>
  </w:abstractNum>
  <w:abstractNum w:abstractNumId="215">
    <w:nsid w:val="3CF93092"/>
    <w:multiLevelType w:val="hybridMultilevel"/>
    <w:lvl w:ilvl="0">
      <w:lvlJc w:val="left"/>
      <w:lvlText w:val="(%1)"/>
      <w:numFmt w:val="lowerLetter"/>
      <w:start w:val="6"/>
    </w:lvl>
  </w:abstractNum>
  <w:abstractNum w:abstractNumId="216">
    <w:nsid w:val="6863E8D2"/>
    <w:multiLevelType w:val="hybridMultilevel"/>
    <w:lvl w:ilvl="0">
      <w:lvlJc w:val="left"/>
      <w:lvlText w:val="(%1)"/>
      <w:numFmt w:val="lowerLetter"/>
      <w:start w:val="1"/>
    </w:lvl>
  </w:abstractNum>
  <w:abstractNum w:abstractNumId="217">
    <w:nsid w:val="76896198"/>
    <w:multiLevelType w:val="hybridMultilevel"/>
    <w:lvl w:ilvl="0">
      <w:lvlJc w:val="left"/>
      <w:lvlText w:val="(%1)"/>
      <w:numFmt w:val="lowerLetter"/>
      <w:start w:val="3"/>
    </w:lvl>
  </w:abstractNum>
  <w:abstractNum w:abstractNumId="218">
    <w:nsid w:val="4365174B"/>
    <w:multiLevelType w:val="hybridMultilevel"/>
    <w:lvl w:ilvl="0">
      <w:lvlJc w:val="left"/>
      <w:lvlText w:val="(%1)"/>
      <w:numFmt w:val="lowerLetter"/>
      <w:start w:val="1"/>
    </w:lvl>
  </w:abstractNum>
  <w:abstractNum w:abstractNumId="219">
    <w:nsid w:val="4A872C35"/>
    <w:multiLevelType w:val="hybridMultilevel"/>
    <w:lvl w:ilvl="0">
      <w:lvlJc w:val="left"/>
      <w:lvlText w:val="%1"/>
      <w:numFmt w:val="decimal"/>
      <w:start w:val="1"/>
    </w:lvl>
    <w:lvl w:ilvl="1">
      <w:lvlJc w:val="left"/>
      <w:lvlText w:val="(%2)"/>
      <w:numFmt w:val="lowerLetter"/>
      <w:start w:val="1"/>
    </w:lvl>
  </w:abstractNum>
  <w:abstractNum w:abstractNumId="220">
    <w:nsid w:val="5D5CE761"/>
    <w:multiLevelType w:val="hybridMultilevel"/>
    <w:lvl w:ilvl="0">
      <w:lvlJc w:val="left"/>
      <w:lvlText w:val="(%1)"/>
      <w:numFmt w:val="decimal"/>
      <w:start w:val="7"/>
    </w:lvl>
    <w:lvl w:ilvl="1">
      <w:lvlJc w:val="left"/>
      <w:lvlText w:val="%2"/>
      <w:numFmt w:val="lowerLetter"/>
      <w:start w:val="1"/>
    </w:lvl>
  </w:abstractNum>
  <w:abstractNum w:abstractNumId="221">
    <w:nsid w:val="1CD484D5"/>
    <w:multiLevelType w:val="hybridMultilevel"/>
    <w:lvl w:ilvl="0">
      <w:lvlJc w:val="left"/>
      <w:lvlText w:val="(%1)"/>
      <w:numFmt w:val="lowerLetter"/>
      <w:start w:val="4"/>
    </w:lvl>
  </w:abstractNum>
  <w:abstractNum w:abstractNumId="222">
    <w:nsid w:val="21D06255"/>
    <w:multiLevelType w:val="hybridMultilevel"/>
    <w:lvl w:ilvl="0">
      <w:lvlJc w:val="left"/>
      <w:lvlText w:val="(%1)"/>
      <w:numFmt w:val="lowerRoman"/>
      <w:start w:val="2"/>
    </w:lvl>
    <w:lvl w:ilvl="1">
      <w:lvlJc w:val="left"/>
      <w:lvlText w:val="(%2)"/>
      <w:numFmt w:val="lowerRoman"/>
      <w:start w:val="1"/>
    </w:lvl>
  </w:abstractNum>
  <w:abstractNum w:abstractNumId="223">
    <w:nsid w:val="51194ED1"/>
    <w:multiLevelType w:val="hybridMultilevel"/>
    <w:lvl w:ilvl="0">
      <w:lvlJc w:val="left"/>
      <w:lvlText w:val="(%1)"/>
      <w:numFmt w:val="lowerLetter"/>
      <w:start w:val="10"/>
    </w:lvl>
  </w:abstractNum>
  <w:abstractNum w:abstractNumId="224">
    <w:nsid w:val="44E2ED6C"/>
    <w:multiLevelType w:val="hybridMultilevel"/>
    <w:lvl w:ilvl="0">
      <w:lvlJc w:val="left"/>
      <w:lvlText w:val="(%1)"/>
      <w:numFmt w:val="lowerLetter"/>
      <w:start w:val="1"/>
    </w:lvl>
  </w:abstractNum>
  <w:abstractNum w:abstractNumId="225">
    <w:nsid w:val="2219B33"/>
    <w:multiLevelType w:val="hybridMultilevel"/>
    <w:lvl w:ilvl="0">
      <w:lvlJc w:val="left"/>
      <w:lvlText w:val="(%1)"/>
      <w:numFmt w:val="lowerLetter"/>
      <w:start w:val="4"/>
    </w:lvl>
  </w:abstractNum>
  <w:abstractNum w:abstractNumId="226">
    <w:nsid w:val="773BFBDD"/>
    <w:multiLevelType w:val="hybridMultilevel"/>
    <w:lvl w:ilvl="0">
      <w:lvlJc w:val="left"/>
      <w:lvlText w:val="(%1)"/>
      <w:numFmt w:val="lowerRoman"/>
      <w:start w:val="1"/>
    </w:lvl>
  </w:abstractNum>
  <w:abstractNum w:abstractNumId="227">
    <w:nsid w:val="2C7C62C2"/>
    <w:multiLevelType w:val="hybridMultilevel"/>
    <w:lvl w:ilvl="0">
      <w:lvlJc w:val="left"/>
      <w:lvlText w:val="(%1)"/>
      <w:numFmt w:val="lowerLetter"/>
      <w:start w:val="1"/>
    </w:lvl>
  </w:abstractNum>
  <w:abstractNum w:abstractNumId="228">
    <w:nsid w:val="1A54D7BC"/>
    <w:multiLevelType w:val="hybridMultilevel"/>
    <w:lvl w:ilvl="0">
      <w:lvlJc w:val="left"/>
      <w:lvlText w:val="(%1)"/>
      <w:numFmt w:val="lowerLetter"/>
      <w:start w:val="1"/>
    </w:lvl>
  </w:abstractNum>
  <w:abstractNum w:abstractNumId="229">
    <w:nsid w:val="42E57EF7"/>
    <w:multiLevelType w:val="hybridMultilevel"/>
    <w:lvl w:ilvl="0">
      <w:lvlJc w:val="left"/>
      <w:lvlText w:val="(%1)"/>
      <w:numFmt w:val="lowerLetter"/>
      <w:start w:val="1"/>
    </w:lvl>
  </w:abstractNum>
  <w:abstractNum w:abstractNumId="230">
    <w:nsid w:val="33537CED"/>
    <w:multiLevelType w:val="hybridMultilevel"/>
    <w:lvl w:ilvl="0">
      <w:lvlJc w:val="left"/>
      <w:lvlText w:val="(%1)"/>
      <w:numFmt w:val="lowerLetter"/>
      <w:start w:val="35"/>
    </w:lvl>
    <w:lvl w:ilvl="1">
      <w:lvlJc w:val="left"/>
      <w:lvlText w:val="(%2)"/>
      <w:numFmt w:val="lowerLetter"/>
      <w:start w:val="2"/>
    </w:lvl>
  </w:abstractNum>
  <w:abstractNum w:abstractNumId="231">
    <w:nsid w:val="27514ADE"/>
    <w:multiLevelType w:val="hybridMultilevel"/>
    <w:lvl w:ilvl="0">
      <w:lvlJc w:val="left"/>
      <w:lvlText w:val="(%1)"/>
      <w:numFmt w:val="lowerLetter"/>
      <w:start w:val="1"/>
    </w:lvl>
  </w:abstractNum>
  <w:abstractNum w:abstractNumId="232">
    <w:nsid w:val="57071613"/>
    <w:multiLevelType w:val="hybridMultilevel"/>
    <w:lvl w:ilvl="0">
      <w:lvlJc w:val="left"/>
      <w:lvlText w:val="(%1)"/>
      <w:numFmt w:val="lowerLetter"/>
      <w:start w:val="1"/>
    </w:lvl>
  </w:abstractNum>
  <w:abstractNum w:abstractNumId="233">
    <w:nsid w:val="5293BFEF"/>
    <w:multiLevelType w:val="hybridMultilevel"/>
    <w:lvl w:ilvl="0">
      <w:lvlJc w:val="left"/>
      <w:lvlText w:val="(%1)"/>
      <w:numFmt w:val="lowerLetter"/>
      <w:start w:val="3"/>
    </w:lvl>
    <w:lvl w:ilvl="1">
      <w:lvlJc w:val="left"/>
      <w:lvlText w:val="(%2)"/>
      <w:numFmt w:val="lowerRoman"/>
      <w:start w:val="1"/>
    </w:lvl>
  </w:abstractNum>
  <w:abstractNum w:abstractNumId="234">
    <w:nsid w:val="38BF53E5"/>
    <w:multiLevelType w:val="hybridMultilevel"/>
    <w:lvl w:ilvl="0">
      <w:lvlJc w:val="left"/>
      <w:lvlText w:val="(%1)"/>
      <w:numFmt w:val="lowerLetter"/>
      <w:start w:val="5"/>
    </w:lvl>
  </w:abstractNum>
  <w:abstractNum w:abstractNumId="235">
    <w:nsid w:val="226F5320"/>
    <w:multiLevelType w:val="hybridMultilevel"/>
    <w:lvl w:ilvl="0">
      <w:lvlJc w:val="left"/>
      <w:lvlText w:val="%1."/>
      <w:numFmt w:val="upperLetter"/>
      <w:start w:val="2"/>
    </w:lvl>
  </w:abstractNum>
  <w:abstractNum w:abstractNumId="236">
    <w:nsid w:val="5A0201C7"/>
    <w:multiLevelType w:val="hybridMultilevel"/>
    <w:lvl w:ilvl="0">
      <w:lvlJc w:val="left"/>
      <w:lvlText w:val="(%1)"/>
      <w:numFmt w:val="lowerLetter"/>
      <w:start w:val="1"/>
    </w:lvl>
  </w:abstractNum>
  <w:abstractNum w:abstractNumId="237">
    <w:nsid w:val="2A9C34E2"/>
    <w:multiLevelType w:val="hybridMultilevel"/>
    <w:lvl w:ilvl="0">
      <w:lvlJc w:val="left"/>
      <w:lvlText w:val="(%1)"/>
      <w:numFmt w:val="lowerLetter"/>
      <w:start w:val="1"/>
    </w:lvl>
  </w:abstractNum>
  <w:abstractNum w:abstractNumId="238">
    <w:nsid w:val="1B7585AB"/>
    <w:multiLevelType w:val="hybridMultilevel"/>
    <w:lvl w:ilvl="0">
      <w:lvlJc w:val="left"/>
      <w:lvlText w:val="(%1)"/>
      <w:numFmt w:val="lowerLetter"/>
      <w:start w:val="1"/>
    </w:lvl>
  </w:abstractNum>
  <w:abstractNum w:abstractNumId="239">
    <w:nsid w:val="612DBDDD"/>
    <w:multiLevelType w:val="hybridMultilevel"/>
    <w:lvl w:ilvl="0">
      <w:lvlJc w:val="left"/>
      <w:lvlText w:val="(%1)"/>
      <w:numFmt w:val="lowerLetter"/>
      <w:start w:val="1"/>
    </w:lvl>
  </w:abstractNum>
  <w:abstractNum w:abstractNumId="240">
    <w:nsid w:val="2109CDA4"/>
    <w:multiLevelType w:val="hybridMultilevel"/>
    <w:lvl w:ilvl="0">
      <w:lvlJc w:val="left"/>
      <w:lvlText w:val="(%1)"/>
      <w:numFmt w:val="lowerLetter"/>
      <w:start w:val="1"/>
    </w:lvl>
  </w:abstractNum>
  <w:abstractNum w:abstractNumId="241">
    <w:nsid w:val="577F5A4D"/>
    <w:multiLevelType w:val="hybridMultilevel"/>
    <w:lvl w:ilvl="0">
      <w:lvlJc w:val="left"/>
      <w:lvlText w:val="(%1)"/>
      <w:numFmt w:val="lowerLetter"/>
      <w:start w:val="1"/>
    </w:lvl>
  </w:abstractNum>
  <w:abstractNum w:abstractNumId="242">
    <w:nsid w:val="2121A81"/>
    <w:multiLevelType w:val="hybridMultilevel"/>
    <w:lvl w:ilvl="0">
      <w:lvlJc w:val="left"/>
      <w:lvlText w:val="(%1)"/>
      <w:numFmt w:val="lowerLetter"/>
      <w:start w:val="2"/>
    </w:lvl>
  </w:abstractNum>
  <w:abstractNum w:abstractNumId="243">
    <w:nsid w:val="6C2CFC88"/>
    <w:multiLevelType w:val="hybridMultilevel"/>
    <w:lvl w:ilvl="0">
      <w:lvlJc w:val="left"/>
      <w:lvlText w:val="(%1)"/>
      <w:numFmt w:val="lowerLetter"/>
      <w:start w:val="1"/>
    </w:lvl>
  </w:abstractNum>
  <w:abstractNum w:abstractNumId="244">
    <w:nsid w:val="6D1BCF1C"/>
    <w:multiLevelType w:val="hybridMultilevel"/>
    <w:lvl w:ilvl="0">
      <w:lvlJc w:val="left"/>
      <w:lvlText w:val="(%1)"/>
      <w:numFmt w:val="lowerLetter"/>
      <w:start w:val="1"/>
    </w:lvl>
  </w:abstractNum>
  <w:abstractNum w:abstractNumId="245">
    <w:nsid w:val="4CE5CA53"/>
    <w:multiLevelType w:val="hybridMultilevel"/>
    <w:lvl w:ilvl="0">
      <w:lvlJc w:val="left"/>
      <w:lvlText w:val="(%1)"/>
      <w:numFmt w:val="lowerLetter"/>
      <w:start w:val="3"/>
    </w:lvl>
  </w:abstractNum>
  <w:abstractNum w:abstractNumId="246">
    <w:nsid w:val="29262D1A"/>
    <w:multiLevelType w:val="hybridMultilevel"/>
    <w:lvl w:ilvl="0">
      <w:lvlJc w:val="left"/>
      <w:lvlText w:val=","/>
      <w:numFmt w:val="bullet"/>
      <w:start w:val="1"/>
    </w:lvl>
  </w:abstractNum>
  <w:abstractNum w:abstractNumId="247">
    <w:nsid w:val="557FB7EE"/>
    <w:multiLevelType w:val="hybridMultilevel"/>
    <w:lvl w:ilvl="0">
      <w:lvlJc w:val="left"/>
      <w:lvlText w:val="(%1)"/>
      <w:numFmt w:val="lowerRoman"/>
      <w:start w:val="15"/>
    </w:lvl>
  </w:abstractNum>
  <w:abstractNum w:abstractNumId="248">
    <w:nsid w:val="436F2BEB"/>
    <w:multiLevelType w:val="hybridMultilevel"/>
    <w:lvl w:ilvl="0">
      <w:lvlJc w:val="left"/>
      <w:lvlText w:val="(%1)"/>
      <w:numFmt w:val="lowerLetter"/>
      <w:start w:val="1"/>
    </w:lvl>
  </w:abstractNum>
  <w:abstractNum w:abstractNumId="249">
    <w:nsid w:val="6C8B4466"/>
    <w:multiLevelType w:val="hybridMultilevel"/>
    <w:lvl w:ilvl="0">
      <w:lvlJc w:val="left"/>
      <w:lvlText w:val="(%1)"/>
      <w:numFmt w:val="lowerRoman"/>
      <w:start w:val="1"/>
    </w:lvl>
  </w:abstractNum>
  <w:abstractNum w:abstractNumId="250">
    <w:nsid w:val="2006E424"/>
    <w:multiLevelType w:val="hybridMultilevel"/>
    <w:lvl w:ilvl="0">
      <w:lvlJc w:val="left"/>
      <w:lvlText w:val="(%1)"/>
      <w:numFmt w:val="lowerLetter"/>
      <w:start w:val="2"/>
    </w:lvl>
  </w:abstractNum>
  <w:abstractNum w:abstractNumId="251">
    <w:nsid w:val="20CC134C"/>
    <w:multiLevelType w:val="hybridMultilevel"/>
    <w:lvl w:ilvl="0">
      <w:lvlJc w:val="left"/>
      <w:lvlText w:val="(%1)"/>
      <w:numFmt w:val="lowerLetter"/>
      <w:start w:val="3"/>
    </w:lvl>
    <w:lvl w:ilvl="1">
      <w:lvlJc w:val="left"/>
      <w:lvlText w:val="(%2)"/>
      <w:numFmt w:val="lowerRoman"/>
      <w:start w:val="1"/>
    </w:lvl>
  </w:abstractNum>
  <w:abstractNum w:abstractNumId="252">
    <w:nsid w:val="95FC93B"/>
    <w:multiLevelType w:val="hybridMultilevel"/>
    <w:lvl w:ilvl="0">
      <w:lvlJc w:val="left"/>
      <w:lvlText w:val="(%1)"/>
      <w:numFmt w:val="lowerLetter"/>
      <w:start w:val="6"/>
    </w:lvl>
  </w:abstractNum>
  <w:abstractNum w:abstractNumId="253">
    <w:nsid w:val="41D74679"/>
    <w:multiLevelType w:val="hybridMultilevel"/>
    <w:lvl w:ilvl="0">
      <w:lvlJc w:val="left"/>
      <w:lvlText w:val="(%1)"/>
      <w:numFmt w:val="lowerLetter"/>
      <w:start w:val="1"/>
    </w:lvl>
  </w:abstractNum>
  <w:abstractNum w:abstractNumId="254">
    <w:nsid w:val="71E5621E"/>
    <w:multiLevelType w:val="hybridMultilevel"/>
    <w:lvl w:ilvl="0">
      <w:lvlJc w:val="left"/>
      <w:lvlText w:val="(%1)"/>
      <w:numFmt w:val="lowerLetter"/>
      <w:start w:val="3"/>
    </w:lvl>
    <w:lvl w:ilvl="1">
      <w:lvlJc w:val="left"/>
      <w:lvlText w:val="(%2)"/>
      <w:numFmt w:val="lowerRoman"/>
      <w:start w:val="1"/>
    </w:lvl>
  </w:abstractNum>
  <w:abstractNum w:abstractNumId="255">
    <w:nsid w:val="4E42B6A8"/>
    <w:multiLevelType w:val="hybridMultilevel"/>
    <w:lvl w:ilvl="0">
      <w:lvlJc w:val="left"/>
      <w:lvlText w:val="(%1)"/>
      <w:numFmt w:val="lowerLetter"/>
      <w:start w:val="5"/>
    </w:lvl>
    <w:lvl w:ilvl="1">
      <w:lvlJc w:val="left"/>
      <w:lvlText w:val="(%2)"/>
      <w:numFmt w:val="lowerLetter"/>
      <w:start w:val="9"/>
    </w:lvl>
  </w:abstractNum>
  <w:abstractNum w:abstractNumId="256">
    <w:nsid w:val="43F8E1AC"/>
    <w:multiLevelType w:val="hybridMultilevel"/>
    <w:lvl w:ilvl="0">
      <w:lvlJc w:val="left"/>
      <w:lvlText w:val="(%1)"/>
      <w:numFmt w:val="lowerRoman"/>
      <w:start w:val="2"/>
    </w:lvl>
    <w:lvl w:ilvl="1">
      <w:lvlJc w:val="left"/>
      <w:lvlText w:val="(%2)"/>
      <w:numFmt w:val="upperLetter"/>
      <w:start w:val="1"/>
    </w:lvl>
  </w:abstractNum>
  <w:abstractNum w:abstractNumId="257">
    <w:nsid w:val="69215DFB"/>
    <w:multiLevelType w:val="hybridMultilevel"/>
    <w:lvl w:ilvl="0">
      <w:lvlJc w:val="left"/>
      <w:lvlText w:val="%1"/>
      <w:numFmt w:val="upperLetter"/>
      <w:start w:val="1"/>
    </w:lvl>
    <w:lvl w:ilvl="1">
      <w:lvlJc w:val="left"/>
      <w:lvlText w:val="(%2)"/>
      <w:numFmt w:val="lowerLetter"/>
      <w:start w:val="1"/>
    </w:lvl>
  </w:abstractNum>
  <w:abstractNum w:abstractNumId="258">
    <w:nsid w:val="7ABF196A"/>
    <w:multiLevelType w:val="hybridMultilevel"/>
    <w:lvl w:ilvl="0">
      <w:lvlJc w:val="left"/>
      <w:lvlText w:val="(%1)"/>
      <w:numFmt w:val="upperLetter"/>
      <w:start w:val="35"/>
    </w:lvl>
    <w:lvl w:ilvl="1">
      <w:lvlJc w:val="left"/>
      <w:lvlText w:val="%2"/>
      <w:numFmt w:val="lowerLetter"/>
      <w:start w:val="1"/>
    </w:lvl>
  </w:abstractNum>
  <w:abstractNum w:abstractNumId="259">
    <w:nsid w:val="5E4DB968"/>
    <w:multiLevelType w:val="hybridMultilevel"/>
    <w:lvl w:ilvl="0">
      <w:lvlJc w:val="left"/>
      <w:lvlText w:val="(%1)"/>
      <w:numFmt w:val="lowerLetter"/>
      <w:start w:val="2"/>
    </w:lvl>
  </w:abstractNum>
  <w:abstractNum w:abstractNumId="260">
    <w:nsid w:val="2C06DCF3"/>
    <w:multiLevelType w:val="hybridMultilevel"/>
    <w:lvl w:ilvl="0">
      <w:lvlJc w:val="left"/>
      <w:lvlText w:val="(%1)"/>
      <w:numFmt w:val="lowerLetter"/>
      <w:start w:val="1"/>
    </w:lvl>
  </w:abstractNum>
  <w:abstractNum w:abstractNumId="261">
    <w:nsid w:val="2E129658"/>
    <w:multiLevelType w:val="hybridMultilevel"/>
    <w:lvl w:ilvl="0">
      <w:lvlJc w:val="left"/>
      <w:lvlText w:val="%1"/>
      <w:numFmt w:val="upperLetter"/>
      <w:start w:val="1"/>
    </w:lvl>
    <w:lvl w:ilvl="1">
      <w:lvlJc w:val="left"/>
      <w:lvlText w:val="(%2)"/>
      <w:numFmt w:val="lowerLetter"/>
      <w:start w:val="2"/>
    </w:lvl>
  </w:abstractNum>
  <w:abstractNum w:abstractNumId="262">
    <w:nsid w:val="59F0446"/>
    <w:multiLevelType w:val="hybridMultilevel"/>
    <w:lvl w:ilvl="0">
      <w:lvlJc w:val="left"/>
      <w:lvlText w:val="(%1)"/>
      <w:numFmt w:val="upperLetter"/>
      <w:start w:val="3"/>
    </w:lvl>
    <w:lvl w:ilvl="1">
      <w:lvlJc w:val="left"/>
      <w:lvlText w:val="%2"/>
      <w:numFmt w:val="lowerLetter"/>
      <w:start w:val="1"/>
    </w:lvl>
  </w:abstractNum>
  <w:abstractNum w:abstractNumId="263">
    <w:nsid w:val="30DF306"/>
    <w:multiLevelType w:val="hybridMultilevel"/>
    <w:lvl w:ilvl="0">
      <w:lvlJc w:val="left"/>
      <w:lvlText w:val="%1"/>
      <w:numFmt w:val="lowerLetter"/>
      <w:start w:val="1"/>
    </w:lvl>
    <w:lvl w:ilvl="1">
      <w:lvlJc w:val="left"/>
      <w:lvlText w:val="(%2)"/>
      <w:numFmt w:val="lowerLetter"/>
      <w:start w:val="5"/>
    </w:lvl>
  </w:abstractNum>
  <w:abstractNum w:abstractNumId="264">
    <w:nsid w:val="A65647"/>
    <w:multiLevelType w:val="hybridMultilevel"/>
    <w:lvl w:ilvl="0">
      <w:lvlJc w:val="left"/>
      <w:lvlText w:val="(%1)"/>
      <w:numFmt w:val="lowerLetter"/>
      <w:start w:val="9"/>
    </w:lvl>
    <w:lvl w:ilvl="1">
      <w:lvlJc w:val="left"/>
      <w:lvlText w:val="(%2)"/>
      <w:numFmt w:val="lowerLetter"/>
      <w:start w:val="6"/>
    </w:lvl>
  </w:abstractNum>
  <w:abstractNum w:abstractNumId="265">
    <w:nsid w:val="3E5E582B"/>
    <w:multiLevelType w:val="hybridMultilevel"/>
    <w:lvl w:ilvl="0">
      <w:lvlJc w:val="left"/>
      <w:lvlText w:val="%1"/>
      <w:numFmt w:val="lowerLetter"/>
      <w:start w:val="1"/>
    </w:lvl>
    <w:lvl w:ilvl="1">
      <w:lvlJc w:val="left"/>
      <w:lvlText w:val="(%2)"/>
      <w:numFmt w:val="lowerLetter"/>
      <w:start w:val="9"/>
    </w:lvl>
  </w:abstractNum>
  <w:abstractNum w:abstractNumId="266">
    <w:nsid w:val="257D4626"/>
    <w:multiLevelType w:val="hybridMultilevel"/>
    <w:lvl w:ilvl="0">
      <w:lvlJc w:val="left"/>
      <w:lvlText w:val="(%1)"/>
      <w:numFmt w:val="lowerLetter"/>
      <w:start w:val="9"/>
    </w:lvl>
    <w:lvl w:ilvl="1">
      <w:lvlJc w:val="left"/>
      <w:lvlText w:val="(%2)"/>
      <w:numFmt w:val="lowerLetter"/>
      <w:start w:val="14"/>
    </w:lvl>
  </w:abstractNum>
  <w:abstractNum w:abstractNumId="267">
    <w:nsid w:val="5AA8580E"/>
    <w:multiLevelType w:val="hybridMultilevel"/>
    <w:lvl w:ilvl="0">
      <w:lvlJc w:val="left"/>
      <w:lvlText w:val="(%1)"/>
      <w:numFmt w:val="lowerLetter"/>
      <w:start w:val="16"/>
    </w:lvl>
  </w:abstractNum>
  <w:abstractNum w:abstractNumId="268">
    <w:nsid w:val="68FA8D0D"/>
    <w:multiLevelType w:val="hybridMultilevel"/>
    <w:lvl w:ilvl="0">
      <w:lvlJc w:val="left"/>
      <w:lvlText w:val="(%1)"/>
      <w:numFmt w:val="lowerLetter"/>
      <w:start w:val="1"/>
    </w:lvl>
  </w:abstractNum>
  <w:abstractNum w:abstractNumId="269">
    <w:nsid w:val="40F2CBD2"/>
    <w:multiLevelType w:val="hybridMultilevel"/>
    <w:lvl w:ilvl="0">
      <w:lvlJc w:val="left"/>
      <w:lvlText w:val="(%1)"/>
      <w:numFmt w:val="lowerLetter"/>
      <w:start w:val="4"/>
    </w:lvl>
  </w:abstractNum>
  <w:abstractNum w:abstractNumId="270">
    <w:nsid w:val="3BD615EB"/>
    <w:multiLevelType w:val="hybridMultilevel"/>
    <w:lvl w:ilvl="0">
      <w:lvlJc w:val="left"/>
      <w:lvlText w:val="(%1)"/>
      <w:numFmt w:val="lowerLetter"/>
      <w:start w:val="1"/>
    </w:lvl>
  </w:abstractNum>
  <w:abstractNum w:abstractNumId="271">
    <w:nsid w:val="A045AB2"/>
    <w:multiLevelType w:val="hybridMultilevel"/>
    <w:lvl w:ilvl="0">
      <w:lvlJc w:val="left"/>
      <w:lvlText w:val="%1"/>
      <w:numFmt w:val="lowerRoman"/>
      <w:start w:val="1"/>
    </w:lvl>
    <w:lvl w:ilvl="1">
      <w:lvlJc w:val="left"/>
      <w:lvlText w:val="(%2)"/>
      <w:numFmt w:val="lowerRoman"/>
      <w:start w:val="4"/>
    </w:lvl>
  </w:abstractNum>
  <w:abstractNum w:abstractNumId="272">
    <w:nsid w:val="1872261F"/>
    <w:multiLevelType w:val="hybridMultilevel"/>
    <w:lvl w:ilvl="0">
      <w:lvlJc w:val="left"/>
      <w:lvlText w:val="(%1)"/>
      <w:numFmt w:val="lowerRoman"/>
      <w:start w:val="2"/>
    </w:lvl>
    <w:lvl w:ilvl="1">
      <w:lvlJc w:val="left"/>
      <w:lvlText w:val="%2"/>
      <w:numFmt w:val="lowerRoman"/>
      <w:start w:val="1"/>
    </w:lvl>
  </w:abstractNum>
  <w:abstractNum w:abstractNumId="273">
    <w:nsid w:val="3DE8306C"/>
    <w:multiLevelType w:val="hybridMultilevel"/>
    <w:lvl w:ilvl="0">
      <w:lvlJc w:val="left"/>
      <w:lvlText w:val="(%1)"/>
      <w:numFmt w:val="lowerLetter"/>
      <w:start w:val="2"/>
    </w:lvl>
    <w:lvl w:ilvl="1">
      <w:lvlJc w:val="left"/>
      <w:lvlText w:val="(%2)"/>
      <w:numFmt w:val="lowerRoman"/>
      <w:start w:val="1"/>
    </w:lvl>
  </w:abstractNum>
  <w:abstractNum w:abstractNumId="274">
    <w:nsid w:val="7631573A"/>
    <w:multiLevelType w:val="hybridMultilevel"/>
    <w:lvl w:ilvl="0">
      <w:lvlJc w:val="left"/>
      <w:lvlText w:val="(%1)"/>
      <w:numFmt w:val="lowerLetter"/>
      <w:start w:val="3"/>
    </w:lvl>
    <w:lvl w:ilvl="1">
      <w:lvlJc w:val="left"/>
      <w:lvlText w:val="(%2)"/>
      <w:numFmt w:val="lowerRoman"/>
      <w:start w:val="1"/>
    </w:lvl>
  </w:abstractNum>
  <w:abstractNum w:abstractNumId="275">
    <w:nsid w:val="58DF53B"/>
    <w:multiLevelType w:val="hybridMultilevel"/>
    <w:lvl w:ilvl="0">
      <w:lvlJc w:val="left"/>
      <w:lvlText w:val="(%1)"/>
      <w:numFmt w:val="lowerLetter"/>
      <w:start w:val="4"/>
    </w:lvl>
  </w:abstractNum>
  <w:abstractNum w:abstractNumId="276">
    <w:nsid w:val="ACDFAC0"/>
    <w:multiLevelType w:val="hybridMultilevel"/>
    <w:lvl w:ilvl="0">
      <w:lvlJc w:val="left"/>
      <w:lvlText w:val="(%1)"/>
      <w:numFmt w:val="lowerLetter"/>
      <w:start w:val="1"/>
    </w:lvl>
    <w:lvl w:ilvl="1">
      <w:lvlJc w:val="left"/>
      <w:lvlText w:val="(%2)"/>
      <w:numFmt w:val="lowerLetter"/>
      <w:start w:val="9"/>
    </w:lvl>
  </w:abstractNum>
  <w:abstractNum w:abstractNumId="277">
    <w:nsid w:val="1F578454"/>
    <w:multiLevelType w:val="hybridMultilevel"/>
    <w:lvl w:ilvl="0">
      <w:lvlJc w:val="left"/>
      <w:lvlText w:val="(%1)"/>
      <w:numFmt w:val="lowerRoman"/>
      <w:start w:val="2"/>
    </w:lvl>
  </w:abstractNum>
  <w:abstractNum w:abstractNumId="278">
    <w:nsid w:val="5B0DAD2A"/>
    <w:multiLevelType w:val="hybridMultilevel"/>
    <w:lvl w:ilvl="0">
      <w:lvlJc w:val="left"/>
      <w:lvlText w:val="(%1)"/>
      <w:numFmt w:val="lowerLetter"/>
      <w:start w:val="2"/>
    </w:lvl>
  </w:abstractNum>
  <w:abstractNum w:abstractNumId="279">
    <w:nsid w:val="4E3D26AB"/>
    <w:multiLevelType w:val="hybridMultilevel"/>
    <w:lvl w:ilvl="0">
      <w:lvlJc w:val="left"/>
      <w:lvlText w:val="(%1)"/>
      <w:numFmt w:val="lowerLetter"/>
      <w:start w:val="1"/>
    </w:lvl>
  </w:abstractNum>
  <w:abstractNum w:abstractNumId="280">
    <w:nsid w:val="BE2C8BA"/>
    <w:multiLevelType w:val="hybridMultilevel"/>
    <w:lvl w:ilvl="0">
      <w:lvlJc w:val="left"/>
      <w:lvlText w:val="(%1)"/>
      <w:numFmt w:val="lowerRoman"/>
      <w:start w:val="1"/>
    </w:lvl>
  </w:abstractNum>
  <w:abstractNum w:abstractNumId="281">
    <w:nsid w:val="7B14914E"/>
    <w:multiLevelType w:val="hybridMultilevel"/>
    <w:lvl w:ilvl="0">
      <w:lvlJc w:val="left"/>
      <w:lvlText w:val="(%1)"/>
      <w:numFmt w:val="lowerRoman"/>
      <w:start w:val="1"/>
    </w:lvl>
  </w:abstractNum>
  <w:abstractNum w:abstractNumId="282">
    <w:nsid w:val="6F0939F8"/>
    <w:multiLevelType w:val="hybridMultilevel"/>
    <w:lvl w:ilvl="0">
      <w:lvlJc w:val="left"/>
      <w:lvlText w:val="(%1)"/>
      <w:numFmt w:val="lowerRoman"/>
      <w:start w:val="4"/>
    </w:lvl>
  </w:abstractNum>
  <w:abstractNum w:abstractNumId="283">
    <w:nsid w:val="154291F6"/>
    <w:multiLevelType w:val="hybridMultilevel"/>
    <w:lvl w:ilvl="0">
      <w:lvlJc w:val="left"/>
      <w:lvlText w:val="(%1)"/>
      <w:numFmt w:val="lowerRoman"/>
      <w:start w:val="2"/>
    </w:lvl>
  </w:abstractNum>
  <w:abstractNum w:abstractNumId="284">
    <w:nsid w:val="3CEBD7C7"/>
    <w:multiLevelType w:val="hybridMultilevel"/>
    <w:lvl w:ilvl="0">
      <w:lvlJc w:val="left"/>
      <w:lvlText w:val="(%1)"/>
      <w:numFmt w:val="lowerRoman"/>
      <w:start w:val="1"/>
    </w:lvl>
  </w:abstractNum>
  <w:abstractNum w:abstractNumId="285">
    <w:nsid w:val="60EE9C16"/>
    <w:multiLevelType w:val="hybridMultilevel"/>
    <w:lvl w:ilvl="0">
      <w:lvlJc w:val="left"/>
      <w:lvlText w:val="(%1)"/>
      <w:numFmt w:val="lowerRoman"/>
      <w:start w:val="3"/>
    </w:lvl>
  </w:abstractNum>
  <w:abstractNum w:abstractNumId="286">
    <w:nsid w:val="6385489E"/>
    <w:multiLevelType w:val="hybridMultilevel"/>
    <w:lvl w:ilvl="0">
      <w:lvlJc w:val="left"/>
      <w:lvlText w:val="(%1)"/>
      <w:numFmt w:val="lowerLetter"/>
      <w:start w:val="1"/>
    </w:lvl>
  </w:abstractNum>
  <w:abstractNum w:abstractNumId="287">
    <w:nsid w:val="E4B973"/>
    <w:multiLevelType w:val="hybridMultilevel"/>
    <w:lvl w:ilvl="0">
      <w:lvlJc w:val="left"/>
      <w:lvlText w:val="(%1)"/>
      <w:numFmt w:val="lowerLetter"/>
      <w:start w:val="2"/>
    </w:lvl>
  </w:abstractNum>
  <w:abstractNum w:abstractNumId="288">
    <w:nsid w:val="4A0FFA11"/>
    <w:multiLevelType w:val="hybridMultilevel"/>
    <w:lvl w:ilvl="0">
      <w:lvlJc w:val="left"/>
      <w:lvlText w:val="(%1)"/>
      <w:numFmt w:val="lowerLetter"/>
      <w:start w:val="1"/>
    </w:lvl>
  </w:abstractNum>
  <w:abstractNum w:abstractNumId="289">
    <w:nsid w:val="5E446208"/>
    <w:multiLevelType w:val="hybridMultilevel"/>
    <w:lvl w:ilvl="0">
      <w:lvlJc w:val="left"/>
      <w:lvlText w:val="(%1)"/>
      <w:numFmt w:val="lowerLetter"/>
      <w:start w:val="1"/>
    </w:lvl>
  </w:abstractNum>
  <w:abstractNum w:abstractNumId="290">
    <w:nsid w:val="5F3272DB"/>
    <w:multiLevelType w:val="hybridMultilevel"/>
    <w:lvl w:ilvl="0">
      <w:lvlJc w:val="left"/>
      <w:lvlText w:val="(%1)"/>
      <w:numFmt w:val="lowerLetter"/>
      <w:start w:val="4"/>
    </w:lvl>
    <w:lvl w:ilvl="1">
      <w:lvlJc w:val="left"/>
      <w:lvlText w:val="(%2)"/>
      <w:numFmt w:val="lowerRoman"/>
      <w:start w:val="1"/>
    </w:lvl>
  </w:abstractNum>
  <w:abstractNum w:abstractNumId="291">
    <w:nsid w:val="7616D704"/>
    <w:multiLevelType w:val="hybridMultilevel"/>
    <w:lvl w:ilvl="0">
      <w:lvlJc w:val="left"/>
      <w:lvlText w:val="(%1)"/>
      <w:numFmt w:val="lowerLetter"/>
      <w:start w:val="1"/>
    </w:lvl>
  </w:abstractNum>
  <w:abstractNum w:abstractNumId="292">
    <w:nsid w:val="C56F860"/>
    <w:multiLevelType w:val="hybridMultilevel"/>
    <w:lvl w:ilvl="0">
      <w:lvlJc w:val="left"/>
      <w:lvlText w:val="(%1)"/>
      <w:numFmt w:val="lowerLetter"/>
      <w:start w:val="1"/>
    </w:lvl>
  </w:abstractNum>
  <w:abstractNum w:abstractNumId="293">
    <w:nsid w:val="64D17722"/>
    <w:multiLevelType w:val="hybridMultilevel"/>
    <w:lvl w:ilvl="0">
      <w:lvlJc w:val="left"/>
      <w:lvlText w:val="(%1)"/>
      <w:numFmt w:val="lowerLetter"/>
      <w:start w:val="2"/>
    </w:lvl>
  </w:abstractNum>
  <w:abstractNum w:abstractNumId="294">
    <w:nsid w:val="7924CA0A"/>
    <w:multiLevelType w:val="hybridMultilevel"/>
    <w:lvl w:ilvl="0">
      <w:lvlJc w:val="left"/>
      <w:lvlText w:val="(%1)"/>
      <w:numFmt w:val="lowerLetter"/>
      <w:start w:val="4"/>
    </w:lvl>
    <w:lvl w:ilvl="1">
      <w:lvlJc w:val="left"/>
      <w:lvlText w:val="(%2)"/>
      <w:numFmt w:val="lowerRoman"/>
      <w:start w:val="1"/>
    </w:lvl>
  </w:abstractNum>
  <w:abstractNum w:abstractNumId="295">
    <w:nsid w:val="CFD4EA7"/>
    <w:multiLevelType w:val="hybridMultilevel"/>
    <w:lvl w:ilvl="0">
      <w:lvlJc w:val="left"/>
      <w:lvlText w:val="(%1)"/>
      <w:numFmt w:val="lowerLetter"/>
      <w:start w:val="1"/>
    </w:lvl>
  </w:abstractNum>
  <w:abstractNum w:abstractNumId="296">
    <w:nsid w:val="232FCF4D"/>
    <w:multiLevelType w:val="hybridMultilevel"/>
    <w:lvl w:ilvl="0">
      <w:lvlJc w:val="left"/>
      <w:lvlText w:val="(%1)"/>
      <w:numFmt w:val="lowerLetter"/>
      <w:start w:val="1"/>
    </w:lvl>
    <w:lvl w:ilvl="1">
      <w:lvlJc w:val="left"/>
      <w:lvlText w:val="(%2)"/>
      <w:numFmt w:val="lowerRoman"/>
      <w:start w:val="1"/>
    </w:lvl>
  </w:abstractNum>
  <w:abstractNum w:abstractNumId="297">
    <w:nsid w:val="1EA21031"/>
    <w:multiLevelType w:val="hybridMultilevel"/>
    <w:lvl w:ilvl="0">
      <w:lvlJc w:val="left"/>
      <w:lvlText w:val="(%1)"/>
      <w:numFmt w:val="lowerRoman"/>
      <w:start w:val="3"/>
    </w:lvl>
  </w:abstractNum>
  <w:abstractNum w:abstractNumId="298">
    <w:nsid w:val="67A5A6B5"/>
    <w:multiLevelType w:val="hybridMultilevel"/>
    <w:lvl w:ilvl="0">
      <w:lvlJc w:val="left"/>
      <w:lvlText w:val="(%1)"/>
      <w:numFmt w:val="lowerLetter"/>
      <w:start w:val="2"/>
    </w:lvl>
  </w:abstractNum>
  <w:abstractNum w:abstractNumId="299">
    <w:nsid w:val="C2A5C5B"/>
    <w:multiLevelType w:val="hybridMultilevel"/>
    <w:lvl w:ilvl="0">
      <w:lvlJc w:val="left"/>
      <w:lvlText w:val="(%1)"/>
      <w:numFmt w:val="lowerLetter"/>
      <w:start w:val="1"/>
    </w:lvl>
  </w:abstractNum>
  <w:abstractNum w:abstractNumId="300">
    <w:nsid w:val="5F94DC03"/>
    <w:multiLevelType w:val="hybridMultilevel"/>
    <w:lvl w:ilvl="0">
      <w:lvlJc w:val="left"/>
      <w:lvlText w:val="(%1)"/>
      <w:numFmt w:val="lowerLetter"/>
      <w:start w:val="6"/>
    </w:lvl>
  </w:abstractNum>
  <w:abstractNum w:abstractNumId="301">
    <w:nsid w:val="237BBCA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2">
    <w:nsid w:val="162EB70D"/>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03">
    <w:nsid w:val="78070222"/>
    <w:multiLevelType w:val="hybridMultilevel"/>
    <w:lvl w:ilvl="0">
      <w:lvlJc w:val="left"/>
      <w:lvlText w:val="(%1)"/>
      <w:numFmt w:val="lowerRoman"/>
      <w:start w:val="3"/>
    </w:lvl>
  </w:abstractNum>
  <w:abstractNum w:abstractNumId="304">
    <w:nsid w:val="6163ED0D"/>
    <w:multiLevelType w:val="hybridMultilevel"/>
    <w:lvl w:ilvl="0">
      <w:lvlJc w:val="left"/>
      <w:lvlText w:val="(%1)"/>
      <w:numFmt w:val="lowerLetter"/>
      <w:start w:val="3"/>
    </w:lvl>
  </w:abstractNum>
  <w:abstractNum w:abstractNumId="305">
    <w:nsid w:val="C600E47"/>
    <w:multiLevelType w:val="hybridMultilevel"/>
    <w:lvl w:ilvl="0">
      <w:lvlJc w:val="left"/>
      <w:lvlText w:val="(%1)"/>
      <w:numFmt w:val="lowerLetter"/>
      <w:start w:val="4"/>
    </w:lvl>
  </w:abstractNum>
  <w:abstractNum w:abstractNumId="306">
    <w:nsid w:val="7D94F75D"/>
    <w:multiLevelType w:val="hybridMultilevel"/>
    <w:lvl w:ilvl="0">
      <w:lvlJc w:val="left"/>
      <w:lvlText w:val="(%1)"/>
      <w:numFmt w:val="lowerLetter"/>
      <w:start w:val="1"/>
    </w:lvl>
  </w:abstractNum>
  <w:abstractNum w:abstractNumId="307">
    <w:nsid w:val="6C31E7CD"/>
    <w:multiLevelType w:val="hybridMultilevel"/>
    <w:lvl w:ilvl="0">
      <w:lvlJc w:val="left"/>
      <w:lvlText w:val="(%1)"/>
      <w:numFmt w:val="lowerLetter"/>
      <w:start w:val="3"/>
    </w:lvl>
  </w:abstractNum>
  <w:abstractNum w:abstractNumId="308">
    <w:nsid w:val="2BB7929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09">
    <w:nsid w:val="58A2A48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310">
    <w:nsid w:val="3A6F0E78"/>
    <w:multiLevelType w:val="hybridMultilevel"/>
    <w:lvl w:ilvl="0">
      <w:lvlJc w:val="left"/>
      <w:lvlText w:val="(%1)"/>
      <w:numFmt w:val="lowerLetter"/>
      <w:start w:val="4"/>
    </w:lvl>
  </w:abstractNum>
  <w:abstractNum w:abstractNumId="311">
    <w:nsid w:val="379A5B56"/>
    <w:multiLevelType w:val="hybridMultilevel"/>
    <w:lvl w:ilvl="0">
      <w:lvlJc w:val="left"/>
      <w:lvlText w:val="(%1)"/>
      <w:numFmt w:val="lowerLetter"/>
      <w:start w:val="1"/>
    </w:lvl>
  </w:abstractNum>
  <w:abstractNum w:abstractNumId="312">
    <w:nsid w:val="53B735D5"/>
    <w:multiLevelType w:val="hybridMultilevel"/>
    <w:lvl w:ilvl="0">
      <w:lvlJc w:val="left"/>
      <w:lvlText w:val="(%1)"/>
      <w:numFmt w:val="lowerLetter"/>
      <w:start w:val="4"/>
    </w:lvl>
  </w:abstractNum>
  <w:abstractNum w:abstractNumId="313">
    <w:nsid w:val="29784870"/>
    <w:multiLevelType w:val="hybridMultilevel"/>
    <w:lvl w:ilvl="0">
      <w:lvlJc w:val="left"/>
      <w:lvlText w:val="(%1)"/>
      <w:numFmt w:val="lowerLetter"/>
      <w:start w:val="1"/>
    </w:lvl>
  </w:abstractNum>
  <w:abstractNum w:abstractNumId="314">
    <w:nsid w:val="4CDCED4C"/>
    <w:multiLevelType w:val="hybridMultilevel"/>
    <w:lvl w:ilvl="0">
      <w:lvlJc w:val="left"/>
      <w:lvlText w:val="(%1)"/>
      <w:numFmt w:val="lowerLetter"/>
      <w:start w:val="1"/>
    </w:lvl>
  </w:abstractNum>
  <w:abstractNum w:abstractNumId="315">
    <w:nsid w:val="10A30D9C"/>
    <w:multiLevelType w:val="hybridMultilevel"/>
    <w:lvl w:ilvl="0">
      <w:lvlJc w:val="left"/>
      <w:lvlText w:val="(%1)"/>
      <w:numFmt w:val="lowerLetter"/>
      <w:start w:val="1"/>
    </w:lvl>
  </w:abstractNum>
  <w:abstractNum w:abstractNumId="316">
    <w:nsid w:val="A66E486"/>
    <w:multiLevelType w:val="hybridMultilevel"/>
    <w:lvl w:ilvl="0">
      <w:lvlJc w:val="left"/>
      <w:lvlText w:val="(%1)"/>
      <w:numFmt w:val="lowerLetter"/>
      <w:start w:val="3"/>
    </w:lvl>
  </w:abstractNum>
  <w:abstractNum w:abstractNumId="317">
    <w:nsid w:val="306235EA"/>
    <w:multiLevelType w:val="hybridMultilevel"/>
    <w:lvl w:ilvl="0">
      <w:lvlJc w:val="left"/>
      <w:lvlText w:val="(%1)"/>
      <w:numFmt w:val="lowerLetter"/>
      <w:start w:val="1"/>
    </w:lvl>
    <w:lvl w:ilvl="1">
      <w:lvlJc w:val="left"/>
      <w:lvlText w:val="(%2)"/>
      <w:numFmt w:val="lowerRoman"/>
      <w:start w:val="1"/>
    </w:lvl>
  </w:abstractNum>
  <w:abstractNum w:abstractNumId="318">
    <w:nsid w:val="1187C70F"/>
    <w:multiLevelType w:val="hybridMultilevel"/>
    <w:lvl w:ilvl="0">
      <w:lvlJc w:val="left"/>
      <w:lvlText w:val="(%1)"/>
      <w:numFmt w:val="lowerLetter"/>
      <w:start w:val="1"/>
    </w:lvl>
  </w:abstractNum>
  <w:abstractNum w:abstractNumId="319">
    <w:nsid w:val="5476DE98"/>
    <w:multiLevelType w:val="hybridMultilevel"/>
    <w:lvl w:ilvl="0">
      <w:lvlJc w:val="left"/>
      <w:lvlText w:val="(%1)"/>
      <w:numFmt w:val="lowerLetter"/>
      <w:start w:val="1"/>
    </w:lvl>
  </w:abstractNum>
  <w:abstractNum w:abstractNumId="320">
    <w:nsid w:val="EA697F2"/>
    <w:multiLevelType w:val="hybridMultilevel"/>
    <w:lvl w:ilvl="0">
      <w:lvlJc w:val="left"/>
      <w:lvlText w:val="(%1)"/>
      <w:numFmt w:val="lowerLetter"/>
      <w:start w:val="3"/>
    </w:lvl>
  </w:abstractNum>
  <w:abstractNum w:abstractNumId="321">
    <w:nsid w:val="70BA39EB"/>
    <w:multiLevelType w:val="hybridMultilevel"/>
    <w:lvl w:ilvl="0">
      <w:lvlJc w:val="left"/>
      <w:lvlText w:val="(%1)"/>
      <w:numFmt w:val="lowerLetter"/>
      <w:start w:val="1"/>
    </w:lvl>
  </w:abstractNum>
  <w:abstractNum w:abstractNumId="322">
    <w:nsid w:val="4A8DB59C"/>
    <w:multiLevelType w:val="hybridMultilevel"/>
    <w:lvl w:ilvl="0">
      <w:lvlJc w:val="left"/>
      <w:lvlText w:val="(%1)"/>
      <w:numFmt w:val="lowerLetter"/>
      <w:start w:val="2"/>
    </w:lvl>
  </w:abstractNum>
  <w:abstractNum w:abstractNumId="323">
    <w:nsid w:val="1AFD9053"/>
    <w:multiLevelType w:val="hybridMultilevel"/>
    <w:lvl w:ilvl="0">
      <w:lvlJc w:val="left"/>
      <w:lvlText w:val="(%1)"/>
      <w:numFmt w:val="decimal"/>
      <w:start w:val="3"/>
    </w:lvl>
    <w:lvl w:ilvl="1">
      <w:lvlJc w:val="left"/>
      <w:lvlText w:val="(%2)"/>
      <w:numFmt w:val="lowerLetter"/>
      <w:start w:val="4"/>
    </w:lvl>
  </w:abstractNum>
  <w:abstractNum w:abstractNumId="324">
    <w:nsid w:val="558BB10D"/>
    <w:multiLevelType w:val="hybridMultilevel"/>
    <w:lvl w:ilvl="0">
      <w:lvlJc w:val="left"/>
      <w:lvlText w:val="(%1)"/>
      <w:numFmt w:val="lowerLetter"/>
      <w:start w:val="7"/>
    </w:lvl>
  </w:abstractNum>
  <w:abstractNum w:abstractNumId="325">
    <w:nsid w:val="43B27FA7"/>
    <w:multiLevelType w:val="hybridMultilevel"/>
    <w:lvl w:ilvl="0">
      <w:lvlJc w:val="left"/>
      <w:lvlText w:val="(%1)"/>
      <w:numFmt w:val="lowerLetter"/>
      <w:start w:val="1"/>
    </w:lvl>
  </w:abstractNum>
  <w:abstractNum w:abstractNumId="326">
    <w:nsid w:val="27FADEFA"/>
    <w:multiLevelType w:val="hybridMultilevel"/>
    <w:lvl w:ilvl="0">
      <w:lvlJc w:val="left"/>
      <w:lvlText w:val="(%1)"/>
      <w:numFmt w:val="lowerLetter"/>
      <w:start w:val="3"/>
    </w:lvl>
  </w:abstractNum>
  <w:abstractNum w:abstractNumId="327">
    <w:nsid w:val="78BB805A"/>
    <w:multiLevelType w:val="hybridMultilevel"/>
    <w:lvl w:ilvl="0">
      <w:lvlJc w:val="left"/>
      <w:lvlText w:val="%1"/>
      <w:numFmt w:val="lowerLetter"/>
      <w:start w:val="1"/>
    </w:lvl>
    <w:lvl w:ilvl="1">
      <w:lvlJc w:val="left"/>
      <w:lvlText w:val="(%2)"/>
      <w:numFmt w:val="lowerLetter"/>
      <w:start w:val="1"/>
    </w:lvl>
  </w:abstractNum>
  <w:abstractNum w:abstractNumId="328">
    <w:nsid w:val="62548FD8"/>
    <w:multiLevelType w:val="hybridMultilevel"/>
    <w:lvl w:ilvl="0">
      <w:lvlJc w:val="left"/>
      <w:lvlText w:val="(%1)"/>
      <w:numFmt w:val="lowerLetter"/>
      <w:start w:val="61"/>
    </w:lvl>
    <w:lvl w:ilvl="1">
      <w:lvlJc w:val="left"/>
      <w:lvlText w:val="%2"/>
      <w:numFmt w:val="lowerLetter"/>
      <w:start w:val="1"/>
    </w:lvl>
  </w:abstractNum>
  <w:abstractNum w:abstractNumId="329">
    <w:nsid w:val="FA085B0"/>
    <w:multiLevelType w:val="hybridMultilevel"/>
    <w:lvl w:ilvl="0">
      <w:lvlJc w:val="left"/>
      <w:lvlText w:val="(%1)"/>
      <w:numFmt w:val="lowerLetter"/>
      <w:start w:val="4"/>
    </w:lvl>
  </w:abstractNum>
  <w:abstractNum w:abstractNumId="330">
    <w:nsid w:val="4E5DCB5"/>
    <w:multiLevelType w:val="hybridMultilevel"/>
    <w:lvl w:ilvl="0">
      <w:lvlJc w:val="left"/>
      <w:lvlText w:val="(%1)"/>
      <w:numFmt w:val="lowerRoman"/>
      <w:start w:val="1"/>
    </w:lvl>
  </w:abstractNum>
  <w:abstractNum w:abstractNumId="331">
    <w:nsid w:val="41E96BDB"/>
    <w:multiLevelType w:val="hybridMultilevel"/>
    <w:lvl w:ilvl="0">
      <w:lvlJc w:val="left"/>
      <w:lvlText w:val="(%1)"/>
      <w:numFmt w:val="lowerLetter"/>
      <w:start w:val="1"/>
    </w:lvl>
  </w:abstractNum>
  <w:abstractNum w:abstractNumId="332">
    <w:nsid w:val="331C4250"/>
    <w:multiLevelType w:val="hybridMultilevel"/>
    <w:lvl w:ilvl="0">
      <w:lvlJc w:val="left"/>
      <w:lvlText w:val="(%1)"/>
      <w:numFmt w:val="lowerLetter"/>
      <w:start w:val="1"/>
    </w:lvl>
  </w:abstractNum>
  <w:abstractNum w:abstractNumId="333">
    <w:nsid w:val="1B1493C2"/>
    <w:multiLevelType w:val="hybridMultilevel"/>
    <w:lvl w:ilvl="0">
      <w:lvlJc w:val="left"/>
      <w:lvlText w:val="(%1)"/>
      <w:numFmt w:val="lowerLetter"/>
      <w:start w:val="2"/>
    </w:lvl>
    <w:lvl w:ilvl="1">
      <w:lvlJc w:val="left"/>
      <w:lvlText w:val="(%2)"/>
      <w:numFmt w:val="lowerRoman"/>
      <w:start w:val="1"/>
    </w:lvl>
  </w:abstractNum>
  <w:abstractNum w:abstractNumId="334">
    <w:nsid w:val="39F06DFD"/>
    <w:multiLevelType w:val="hybridMultilevel"/>
    <w:lvl w:ilvl="0">
      <w:lvlJc w:val="left"/>
      <w:lvlText w:val="(%1)"/>
      <w:numFmt w:val="lowerLetter"/>
      <w:start w:val="1"/>
    </w:lvl>
  </w:abstractNum>
  <w:abstractNum w:abstractNumId="335">
    <w:nsid w:val="14802F5D"/>
    <w:multiLevelType w:val="hybridMultilevel"/>
    <w:lvl w:ilvl="0">
      <w:lvlJc w:val="left"/>
      <w:lvlText w:val="(%1)"/>
      <w:numFmt w:val="lowerLetter"/>
      <w:start w:val="1"/>
    </w:lvl>
  </w:abstractNum>
  <w:abstractNum w:abstractNumId="336">
    <w:nsid w:val="2774A209"/>
    <w:multiLevelType w:val="hybridMultilevel"/>
    <w:lvl w:ilvl="0">
      <w:lvlJc w:val="left"/>
      <w:lvlText w:val="(%1)"/>
      <w:numFmt w:val="lowerLetter"/>
      <w:start w:val="1"/>
    </w:lvl>
  </w:abstractNum>
  <w:abstractNum w:abstractNumId="337">
    <w:nsid w:val="3785655A"/>
    <w:multiLevelType w:val="hybridMultilevel"/>
    <w:lvl w:ilvl="0">
      <w:lvlJc w:val="left"/>
      <w:lvlText w:val="(%1)"/>
      <w:numFmt w:val="lowerLetter"/>
      <w:start w:val="1"/>
    </w:lvl>
    <w:lvl w:ilvl="1">
      <w:lvlJc w:val="left"/>
      <w:lvlText w:val="(%2)"/>
      <w:numFmt w:val="lowerRoman"/>
      <w:start w:val="1"/>
    </w:lvl>
  </w:abstractNum>
  <w:abstractNum w:abstractNumId="338">
    <w:nsid w:val="B2172A"/>
    <w:multiLevelType w:val="hybridMultilevel"/>
    <w:lvl w:ilvl="0">
      <w:lvlJc w:val="left"/>
      <w:lvlText w:val="(%1)"/>
      <w:numFmt w:val="lowerLetter"/>
      <w:start w:val="4"/>
    </w:lvl>
  </w:abstractNum>
  <w:abstractNum w:abstractNumId="339">
    <w:nsid w:val="532C34A5"/>
    <w:multiLevelType w:val="hybridMultilevel"/>
    <w:lvl w:ilvl="0">
      <w:lvlJc w:val="left"/>
      <w:lvlText w:val="(%1)"/>
      <w:numFmt w:val="lowerLetter"/>
      <w:start w:val="1"/>
    </w:lvl>
  </w:abstractNum>
  <w:abstractNum w:abstractNumId="340">
    <w:nsid w:val="102809E2"/>
    <w:multiLevelType w:val="hybridMultilevel"/>
    <w:lvl w:ilvl="0">
      <w:lvlJc w:val="left"/>
      <w:lvlText w:val="(%1)"/>
      <w:numFmt w:val="lowerLetter"/>
      <w:start w:val="35"/>
    </w:lvl>
  </w:abstractNum>
  <w:abstractNum w:abstractNumId="341">
    <w:nsid w:val="3B2125A3"/>
    <w:multiLevelType w:val="hybridMultilevel"/>
    <w:lvl w:ilvl="0">
      <w:lvlJc w:val="left"/>
      <w:lvlText w:val="(%1)"/>
      <w:numFmt w:val="lowerLetter"/>
      <w:start w:val="1"/>
    </w:lvl>
  </w:abstractNum>
  <w:abstractNum w:abstractNumId="342">
    <w:nsid w:val="AC68FFB"/>
    <w:multiLevelType w:val="hybridMultilevel"/>
    <w:lvl w:ilvl="0">
      <w:lvlJc w:val="left"/>
      <w:lvlText w:val="(%1)"/>
      <w:numFmt w:val="lowerLetter"/>
      <w:start w:val="2"/>
    </w:lvl>
  </w:abstractNum>
  <w:abstractNum w:abstractNumId="343">
    <w:nsid w:val="63DF3FB7"/>
    <w:multiLevelType w:val="hybridMultilevel"/>
    <w:lvl w:ilvl="0">
      <w:lvlJc w:val="left"/>
      <w:lvlText w:val="(%1)"/>
      <w:numFmt w:val="lowerRoman"/>
      <w:start w:val="3"/>
    </w:lvl>
  </w:abstractNum>
  <w:abstractNum w:abstractNumId="344">
    <w:nsid w:val="64996E13"/>
    <w:multiLevelType w:val="hybridMultilevel"/>
    <w:lvl w:ilvl="0">
      <w:lvlJc w:val="left"/>
      <w:lvlText w:val="(%1)"/>
      <w:numFmt w:val="upperLetter"/>
      <w:start w:val="2"/>
    </w:lvl>
  </w:abstractNum>
  <w:abstractNum w:abstractNumId="345">
    <w:nsid w:val="57A37D47"/>
    <w:multiLevelType w:val="hybridMultilevel"/>
    <w:lvl w:ilvl="0">
      <w:lvlJc w:val="left"/>
      <w:lvlText w:val="(%1)"/>
      <w:numFmt w:val="lowerLetter"/>
      <w:start w:val="1"/>
    </w:lvl>
  </w:abstractNum>
  <w:abstractNum w:abstractNumId="346">
    <w:nsid w:val="74824D54"/>
    <w:multiLevelType w:val="hybridMultilevel"/>
    <w:lvl w:ilvl="0">
      <w:lvlJc w:val="left"/>
      <w:lvlText w:val="(%1)"/>
      <w:numFmt w:val="lowerLetter"/>
      <w:start w:val="2"/>
    </w:lvl>
  </w:abstractNum>
  <w:abstractNum w:abstractNumId="347">
    <w:nsid w:val="6F00529A"/>
    <w:multiLevelType w:val="hybridMultilevel"/>
    <w:lvl w:ilvl="0">
      <w:lvlJc w:val="left"/>
      <w:lvlText w:val="%1"/>
      <w:numFmt w:val="lowerLetter"/>
      <w:start w:val="1"/>
    </w:lvl>
    <w:lvl w:ilvl="1">
      <w:lvlJc w:val="left"/>
      <w:lvlText w:val="(%2)"/>
      <w:numFmt w:val="lowerLetter"/>
      <w:start w:val="1"/>
    </w:lvl>
  </w:abstractNum>
  <w:abstractNum w:abstractNumId="348">
    <w:nsid w:val="805B331"/>
    <w:multiLevelType w:val="hybridMultilevel"/>
    <w:lvl w:ilvl="0">
      <w:lvlJc w:val="left"/>
      <w:lvlText w:val="(%1)"/>
      <w:numFmt w:val="lowerLetter"/>
      <w:start w:val="35"/>
    </w:lvl>
    <w:lvl w:ilvl="1">
      <w:lvlJc w:val="left"/>
      <w:lvlText w:val="%2"/>
      <w:numFmt w:val="lowerLetter"/>
      <w:start w:val="1"/>
    </w:lvl>
  </w:abstractNum>
  <w:abstractNum w:abstractNumId="349">
    <w:nsid w:val="60A1463"/>
    <w:multiLevelType w:val="hybridMultilevel"/>
    <w:lvl w:ilvl="0">
      <w:lvlJc w:val="left"/>
      <w:lvlText w:val="(%1)"/>
      <w:numFmt w:val="lowerLetter"/>
      <w:start w:val="1"/>
    </w:lvl>
  </w:abstractNum>
  <w:abstractNum w:abstractNumId="350">
    <w:nsid w:val="43773132"/>
    <w:multiLevelType w:val="hybridMultilevel"/>
    <w:lvl w:ilvl="0">
      <w:lvlJc w:val="left"/>
      <w:lvlText w:val="(%1)"/>
      <w:numFmt w:val="lowerRoman"/>
      <w:start w:val="1"/>
    </w:lvl>
  </w:abstractNum>
  <w:abstractNum w:abstractNumId="351">
    <w:nsid w:val="16AC4B23"/>
    <w:multiLevelType w:val="hybridMultilevel"/>
    <w:lvl w:ilvl="0">
      <w:lvlJc w:val="left"/>
      <w:lvlText w:val="(%1)"/>
      <w:numFmt w:val="lowerRoman"/>
      <w:start w:val="3"/>
    </w:lvl>
  </w:abstractNum>
  <w:abstractNum w:abstractNumId="352">
    <w:nsid w:val="76C44E4E"/>
    <w:multiLevelType w:val="hybridMultilevel"/>
    <w:lvl w:ilvl="0">
      <w:lvlJc w:val="left"/>
      <w:lvlText w:val="(%1)"/>
      <w:numFmt w:val="lowerLetter"/>
      <w:start w:val="4"/>
    </w:lvl>
  </w:abstractNum>
  <w:abstractNum w:abstractNumId="353">
    <w:nsid w:val="E04E6CE"/>
    <w:multiLevelType w:val="hybridMultilevel"/>
    <w:lvl w:ilvl="0">
      <w:lvlJc w:val="left"/>
      <w:lvlText w:val="(%1)"/>
      <w:numFmt w:val="lowerRoman"/>
      <w:start w:val="1"/>
    </w:lvl>
  </w:abstractNum>
  <w:abstractNum w:abstractNumId="354">
    <w:nsid w:val="31A9DB76"/>
    <w:multiLevelType w:val="hybridMultilevel"/>
    <w:lvl w:ilvl="0">
      <w:lvlJc w:val="left"/>
      <w:lvlText w:val="(%1)"/>
      <w:numFmt w:val="lowerRoman"/>
      <w:start w:val="5"/>
    </w:lvl>
  </w:abstractNum>
  <w:abstractNum w:abstractNumId="355">
    <w:nsid w:val="4C4FFF5B"/>
    <w:multiLevelType w:val="hybridMultilevel"/>
    <w:lvl w:ilvl="0">
      <w:lvlJc w:val="left"/>
      <w:lvlText w:val="(%1)"/>
      <w:numFmt w:val="lowerLetter"/>
      <w:start w:val="1"/>
    </w:lvl>
    <w:lvl w:ilvl="1">
      <w:lvlJc w:val="left"/>
      <w:lvlText w:val="(%2)"/>
      <w:numFmt w:val="lowerRoman"/>
      <w:start w:val="1"/>
    </w:lvl>
  </w:abstractNum>
  <w:abstractNum w:abstractNumId="356">
    <w:nsid w:val="51B76675"/>
    <w:multiLevelType w:val="hybridMultilevel"/>
    <w:lvl w:ilvl="0">
      <w:lvlJc w:val="left"/>
      <w:lvlText w:val="(%1)"/>
      <w:numFmt w:val="lowerLetter"/>
      <w:start w:val="4"/>
    </w:lvl>
  </w:abstractNum>
  <w:abstractNum w:abstractNumId="357">
    <w:nsid w:val="59A4BA71"/>
    <w:multiLevelType w:val="hybridMultilevel"/>
    <w:lvl w:ilvl="0">
      <w:lvlJc w:val="left"/>
      <w:lvlText w:val="(%1)"/>
      <w:numFmt w:val="lowerLetter"/>
      <w:start w:val="1"/>
    </w:lvl>
  </w:abstractNum>
  <w:abstractNum w:abstractNumId="358">
    <w:nsid w:val="450B7FB6"/>
    <w:multiLevelType w:val="hybridMultilevel"/>
    <w:lvl w:ilvl="0">
      <w:lvlJc w:val="left"/>
      <w:lvlText w:val="(%1)"/>
      <w:numFmt w:val="lowerLetter"/>
      <w:start w:val="1"/>
    </w:lvl>
  </w:abstractNum>
  <w:abstractNum w:abstractNumId="359">
    <w:nsid w:val="340BF64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60">
    <w:nsid w:val="69454021"/>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361">
    <w:nsid w:val="49F15C6B"/>
    <w:multiLevelType w:val="hybridMultilevel"/>
    <w:lvl w:ilvl="0">
      <w:lvlJc w:val="left"/>
      <w:lvlText w:val="(%1)"/>
      <w:numFmt w:val="lowerLetter"/>
      <w:start w:val="2"/>
    </w:lvl>
  </w:abstractNum>
  <w:abstractNum w:abstractNumId="362">
    <w:nsid w:val="75F5622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3">
    <w:nsid w:val="1C61827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64">
    <w:nsid w:val="6505F02E"/>
    <w:multiLevelType w:val="hybridMultilevel"/>
    <w:lvl w:ilvl="0">
      <w:lvlJc w:val="left"/>
      <w:lvlText w:val="(%1)"/>
      <w:numFmt w:val="lowerRoman"/>
      <w:start w:val="4"/>
    </w:lvl>
  </w:abstractNum>
  <w:abstractNum w:abstractNumId="365">
    <w:nsid w:val="2FE5D025"/>
    <w:multiLevelType w:val="hybridMultilevel"/>
    <w:lvl w:ilvl="0">
      <w:lvlJc w:val="left"/>
      <w:lvlText w:val="%1"/>
      <w:numFmt w:val="lowerLetter"/>
      <w:start w:val="1"/>
    </w:lvl>
    <w:lvl w:ilvl="1">
      <w:lvlJc w:val="left"/>
      <w:lvlText w:val="(%2)"/>
      <w:numFmt w:val="lowerRoman"/>
      <w:start w:val="1"/>
    </w:lvl>
  </w:abstractNum>
  <w:abstractNum w:abstractNumId="366">
    <w:nsid w:val="30E1B1CF"/>
    <w:multiLevelType w:val="hybridMultilevel"/>
    <w:lvl w:ilvl="0">
      <w:lvlJc w:val="left"/>
      <w:lvlText w:val="(%1)"/>
      <w:numFmt w:val="lowerLetter"/>
      <w:start w:val="4"/>
    </w:lvl>
    <w:lvl w:ilvl="1">
      <w:lvlJc w:val="left"/>
      <w:lvlText w:val="%2"/>
      <w:numFmt w:val="lowerRoman"/>
      <w:start w:val="1"/>
    </w:lvl>
  </w:abstractNum>
  <w:abstractNum w:abstractNumId="367">
    <w:nsid w:val="C7A9237"/>
    <w:multiLevelType w:val="hybridMultilevel"/>
    <w:lvl w:ilvl="0">
      <w:lvlJc w:val="left"/>
      <w:lvlText w:val="(%1)"/>
      <w:numFmt w:val="lowerLetter"/>
      <w:start w:val="1"/>
    </w:lvl>
  </w:abstractNum>
  <w:abstractNum w:abstractNumId="368">
    <w:nsid w:val="676B3580"/>
    <w:multiLevelType w:val="hybridMultilevel"/>
    <w:lvl w:ilvl="0">
      <w:lvlJc w:val="left"/>
      <w:lvlText w:val="%1"/>
      <w:numFmt w:val="lowerLetter"/>
      <w:start w:val="1"/>
    </w:lvl>
    <w:lvl w:ilvl="1">
      <w:lvlJc w:val="left"/>
      <w:lvlText w:val="(%2)"/>
      <w:numFmt w:val="lowerLetter"/>
      <w:start w:val="1"/>
    </w:lvl>
  </w:abstractNum>
  <w:abstractNum w:abstractNumId="369">
    <w:nsid w:val="3193C8F9"/>
    <w:multiLevelType w:val="hybridMultilevel"/>
    <w:lvl w:ilvl="0">
      <w:lvlJc w:val="left"/>
      <w:lvlText w:val="(%1)"/>
      <w:numFmt w:val="lowerLetter"/>
      <w:start w:val="35"/>
    </w:lvl>
    <w:lvl w:ilvl="1">
      <w:lvlJc w:val="left"/>
      <w:lvlText w:val="%2"/>
      <w:numFmt w:val="lowerLetter"/>
      <w:start w:val="1"/>
    </w:lvl>
  </w:abstractNum>
  <w:abstractNum w:abstractNumId="370">
    <w:nsid w:val="5FA6C6DC"/>
    <w:multiLevelType w:val="hybridMultilevel"/>
    <w:lvl w:ilvl="0">
      <w:lvlJc w:val="left"/>
      <w:lvlText w:val="(%1)"/>
      <w:numFmt w:val="lowerLetter"/>
      <w:start w:val="4"/>
    </w:lvl>
  </w:abstractNum>
  <w:abstractNum w:abstractNumId="371">
    <w:nsid w:val="77933F62"/>
    <w:multiLevelType w:val="hybridMultilevel"/>
    <w:lvl w:ilvl="0">
      <w:lvlJc w:val="left"/>
      <w:lvlText w:val="(%1)"/>
      <w:numFmt w:val="lowerLetter"/>
      <w:start w:val="1"/>
    </w:lvl>
  </w:abstractNum>
  <w:abstractNum w:abstractNumId="372">
    <w:nsid w:val="6CB4EE9C"/>
    <w:multiLevelType w:val="hybridMultilevel"/>
    <w:lvl w:ilvl="0">
      <w:lvlJc w:val="left"/>
      <w:lvlText w:val="%1"/>
      <w:numFmt w:val="lowerLetter"/>
      <w:start w:val="1"/>
    </w:lvl>
    <w:lvl w:ilvl="1">
      <w:lvlJc w:val="left"/>
      <w:lvlText w:val="(%2)"/>
      <w:numFmt w:val="lowerLetter"/>
      <w:start w:val="1"/>
    </w:lvl>
  </w:abstractNum>
  <w:abstractNum w:abstractNumId="373">
    <w:nsid w:val="6A6D56D7"/>
    <w:multiLevelType w:val="hybridMultilevel"/>
    <w:lvl w:ilvl="0">
      <w:lvlJc w:val="left"/>
      <w:lvlText w:val="(%1)"/>
      <w:numFmt w:val="lowerLetter"/>
      <w:start w:val="35"/>
    </w:lvl>
    <w:lvl w:ilvl="1">
      <w:lvlJc w:val="left"/>
      <w:lvlText w:val="%2"/>
      <w:numFmt w:val="lowerLetter"/>
      <w:start w:val="1"/>
    </w:lvl>
  </w:abstractNum>
  <w:abstractNum w:abstractNumId="374">
    <w:nsid w:val="5B727F19"/>
    <w:multiLevelType w:val="hybridMultilevel"/>
    <w:lvl w:ilvl="0">
      <w:lvlJc w:val="left"/>
      <w:lvlText w:val="(%1)"/>
      <w:numFmt w:val="lowerLetter"/>
      <w:start w:val="1"/>
    </w:lvl>
  </w:abstractNum>
  <w:abstractNum w:abstractNumId="375">
    <w:nsid w:val="514E5CB0"/>
    <w:multiLevelType w:val="hybridMultilevel"/>
    <w:lvl w:ilvl="0">
      <w:lvlJc w:val="left"/>
      <w:lvlText w:val="(%1)"/>
      <w:numFmt w:val="lowerLetter"/>
      <w:start w:val="2"/>
    </w:lvl>
  </w:abstractNum>
  <w:abstractNum w:abstractNumId="376">
    <w:nsid w:val="4210D41E"/>
    <w:multiLevelType w:val="hybridMultilevel"/>
    <w:lvl w:ilvl="0">
      <w:lvlJc w:val="left"/>
      <w:lvlText w:val="(%1)"/>
      <w:numFmt w:val="lowerLetter"/>
      <w:start w:val="1"/>
    </w:lvl>
  </w:abstractNum>
  <w:abstractNum w:abstractNumId="377">
    <w:nsid w:val="4FF4CC6D"/>
    <w:multiLevelType w:val="hybridMultilevel"/>
    <w:lvl w:ilvl="0">
      <w:lvlJc w:val="left"/>
      <w:lvlText w:val="(%1)"/>
      <w:numFmt w:val="lowerLetter"/>
      <w:start w:val="3"/>
    </w:lvl>
  </w:abstractNum>
  <w:abstractNum w:abstractNumId="378">
    <w:nsid w:val="404EAF4A"/>
    <w:multiLevelType w:val="hybridMultilevel"/>
    <w:lvl w:ilvl="0">
      <w:lvlJc w:val="left"/>
      <w:lvlText w:val="(%1)"/>
      <w:numFmt w:val="lowerLetter"/>
      <w:start w:val="1"/>
    </w:lvl>
  </w:abstractNum>
  <w:abstractNum w:abstractNumId="379">
    <w:nsid w:val="4A16874F"/>
    <w:multiLevelType w:val="hybridMultilevel"/>
    <w:lvl w:ilvl="0">
      <w:lvlJc w:val="left"/>
      <w:lvlText w:val="%1."/>
      <w:numFmt w:val="decimal"/>
      <w:start w:val="1"/>
    </w:lvl>
  </w:abstractNum>
  <w:abstractNum w:abstractNumId="380">
    <w:nsid w:val="55FEE0D1"/>
    <w:multiLevelType w:val="hybridMultilevel"/>
    <w:lvl w:ilvl="0">
      <w:lvlJc w:val="left"/>
      <w:lvlText w:val="(%1)"/>
      <w:numFmt w:val="lowerLetter"/>
      <w:start w:val="1"/>
    </w:lvl>
  </w:abstractNum>
  <w:abstractNum w:abstractNumId="381">
    <w:nsid w:val="3C5E07C"/>
    <w:multiLevelType w:val="hybridMultilevel"/>
    <w:lvl w:ilvl="0">
      <w:lvlJc w:val="left"/>
      <w:lvlText w:val="(%1)"/>
      <w:numFmt w:val="lowerLetter"/>
      <w:start w:val="2"/>
    </w:lvl>
  </w:abstractNum>
  <w:abstractNum w:abstractNumId="382">
    <w:nsid w:val="60C2D273"/>
    <w:multiLevelType w:val="hybridMultilevel"/>
    <w:lvl w:ilvl="0">
      <w:lvlJc w:val="left"/>
      <w:lvlText w:val="(%1)"/>
      <w:numFmt w:val="lowerLetter"/>
      <w:start w:val="1"/>
    </w:lvl>
  </w:abstractNum>
  <w:abstractNum w:abstractNumId="383">
    <w:nsid w:val="4CC32F1F"/>
    <w:multiLevelType w:val="hybridMultilevel"/>
    <w:lvl w:ilvl="0">
      <w:lvlJc w:val="left"/>
      <w:lvlText w:val="(%1)"/>
      <w:numFmt w:val="lowerLetter"/>
      <w:start w:val="1"/>
    </w:lvl>
  </w:abstractNum>
  <w:abstractNum w:abstractNumId="384">
    <w:nsid w:val="11CAC74A"/>
    <w:multiLevelType w:val="hybridMultilevel"/>
    <w:lvl w:ilvl="0">
      <w:lvlJc w:val="left"/>
      <w:lvlText w:val="(%1)"/>
      <w:numFmt w:val="lowerLetter"/>
      <w:start w:val="1"/>
    </w:lvl>
  </w:abstractNum>
  <w:abstractNum w:abstractNumId="385">
    <w:nsid w:val="126CADE9"/>
    <w:multiLevelType w:val="hybridMultilevel"/>
    <w:lvl w:ilvl="0">
      <w:lvlJc w:val="left"/>
      <w:lvlText w:val="(%1)"/>
      <w:numFmt w:val="lowerLetter"/>
      <w:start w:val="2"/>
    </w:lvl>
  </w:abstractNum>
  <w:abstractNum w:abstractNumId="386">
    <w:nsid w:val="19132E7B"/>
    <w:multiLevelType w:val="hybridMultilevel"/>
    <w:lvl w:ilvl="0">
      <w:lvlJc w:val="left"/>
      <w:lvlText w:val="(%1)"/>
      <w:numFmt w:val="lowerLetter"/>
      <w:start w:val="1"/>
    </w:lvl>
    <w:lvl w:ilvl="1">
      <w:lvlJc w:val="left"/>
      <w:lvlText w:val="(%2)"/>
      <w:numFmt w:val="lowerRoman"/>
      <w:start w:val="1"/>
    </w:lvl>
  </w:abstractNum>
  <w:abstractNum w:abstractNumId="387">
    <w:nsid w:val="63822DC0"/>
    <w:multiLevelType w:val="hybridMultilevel"/>
    <w:lvl w:ilvl="0">
      <w:lvlJc w:val="left"/>
      <w:lvlText w:val="(%1)"/>
      <w:numFmt w:val="lowerRoman"/>
      <w:start w:val="3"/>
    </w:lvl>
  </w:abstractNum>
  <w:abstractNum w:abstractNumId="388">
    <w:nsid w:val="6C11685A"/>
    <w:multiLevelType w:val="hybridMultilevel"/>
    <w:lvl w:ilvl="0">
      <w:lvlJc w:val="left"/>
      <w:lvlText w:val="(%1)"/>
      <w:numFmt w:val="upperLetter"/>
      <w:start w:val="24"/>
    </w:lvl>
    <w:lvl w:ilvl="1">
      <w:lvlJc w:val="left"/>
      <w:lvlText w:val="(%2)"/>
      <w:numFmt w:val="lowerLetter"/>
      <w:start w:val="2"/>
    </w:lvl>
  </w:abstractNum>
  <w:abstractNum w:abstractNumId="389">
    <w:nsid w:val="5E1EAE31"/>
    <w:multiLevelType w:val="hybridMultilevel"/>
    <w:lvl w:ilvl="0">
      <w:lvlJc w:val="left"/>
      <w:lvlText w:val="(%1)"/>
      <w:numFmt w:val="lowerLetter"/>
      <w:start w:val="2"/>
    </w:lvl>
  </w:abstractNum>
  <w:abstractNum w:abstractNumId="390">
    <w:nsid w:val="178E240D"/>
    <w:multiLevelType w:val="hybridMultilevel"/>
    <w:lvl w:ilvl="0">
      <w:lvlJc w:val="left"/>
      <w:lvlText w:val="(%1)"/>
      <w:numFmt w:val="upperLetter"/>
      <w:start w:val="2"/>
    </w:lvl>
  </w:abstractNum>
  <w:abstractNum w:abstractNumId="391">
    <w:nsid w:val="5556A87B"/>
    <w:multiLevelType w:val="hybridMultilevel"/>
    <w:lvl w:ilvl="0">
      <w:lvlJc w:val="left"/>
      <w:lvlText w:val="(%1)"/>
      <w:numFmt w:val="decimal"/>
      <w:start w:val="60"/>
    </w:lvl>
  </w:abstractNum>
  <w:abstractNum w:abstractNumId="392">
    <w:nsid w:val="28100A9C"/>
    <w:multiLevelType w:val="hybridMultilevel"/>
    <w:lvl w:ilvl="0">
      <w:lvlJc w:val="left"/>
      <w:lvlText w:val="1"/>
      <w:numFmt w:val="bullet"/>
      <w:start w:val="1"/>
    </w:lvl>
  </w:abstractNum>
  <w:abstractNum w:abstractNumId="393">
    <w:nsid w:val="D838636"/>
    <w:multiLevelType w:val="hybridMultilevel"/>
    <w:lvl w:ilvl="0">
      <w:lvlJc w:val="left"/>
      <w:lvlText w:val="(%1)"/>
      <w:numFmt w:val="decimal"/>
      <w:start w:val="60"/>
    </w:lvl>
  </w:abstractNum>
  <w:abstractNum w:abstractNumId="394">
    <w:nsid w:val="71B82AED"/>
    <w:multiLevelType w:val="hybridMultilevel"/>
    <w:lvl w:ilvl="0">
      <w:lvlJc w:val="left"/>
      <w:lvlText w:val="(%1)"/>
      <w:numFmt w:val="lowerLetter"/>
      <w:start w:val="2"/>
    </w:lvl>
  </w:abstractNum>
  <w:abstractNum w:abstractNumId="395">
    <w:nsid w:val="D15FACA"/>
    <w:multiLevelType w:val="hybridMultilevel"/>
    <w:lvl w:ilvl="0">
      <w:lvlJc w:val="left"/>
      <w:lvlText w:val="(%1)"/>
      <w:numFmt w:val="lowerRoman"/>
      <w:start w:val="2"/>
    </w:lvl>
  </w:abstractNum>
  <w:abstractNum w:abstractNumId="396">
    <w:nsid w:val="3D69565B"/>
    <w:multiLevelType w:val="hybridMultilevel"/>
    <w:lvl w:ilvl="0">
      <w:lvlJc w:val="left"/>
      <w:lvlText w:val="(%1)"/>
      <w:numFmt w:val="lowerLetter"/>
      <w:start w:val="2"/>
    </w:lvl>
  </w:abstractNum>
  <w:abstractNum w:abstractNumId="397">
    <w:nsid w:val="2299DCBC"/>
    <w:multiLevelType w:val="hybridMultilevel"/>
    <w:lvl w:ilvl="0">
      <w:lvlJc w:val="left"/>
      <w:lvlText w:val="(%1)"/>
      <w:numFmt w:val="lowerLetter"/>
      <w:start w:val="35"/>
    </w:lvl>
  </w:abstractNum>
  <w:abstractNum w:abstractNumId="398">
    <w:nsid w:val="19908D02"/>
    <w:multiLevelType w:val="hybridMultilevel"/>
    <w:lvl w:ilvl="0">
      <w:lvlJc w:val="left"/>
      <w:lvlText w:val="(%1)"/>
      <w:numFmt w:val="lowerLetter"/>
      <w:start w:val="1"/>
    </w:lvl>
  </w:abstractNum>
  <w:abstractNum w:abstractNumId="399">
    <w:nsid w:val="24D48BDB"/>
    <w:multiLevelType w:val="hybridMultilevel"/>
    <w:lvl w:ilvl="0">
      <w:lvlJc w:val="left"/>
      <w:lvlText w:val="(%1)"/>
      <w:numFmt w:val="lowerLetter"/>
      <w:start w:val="1"/>
    </w:lvl>
  </w:abstractNum>
  <w:abstractNum w:abstractNumId="400">
    <w:nsid w:val="542DA5B5"/>
    <w:multiLevelType w:val="hybridMultilevel"/>
    <w:lvl w:ilvl="0">
      <w:lvlJc w:val="left"/>
      <w:lvlText w:val="(%1)"/>
      <w:numFmt w:val="lowerLetter"/>
      <w:start w:val="3"/>
    </w:lvl>
  </w:abstractNum>
  <w:abstractNum w:abstractNumId="401">
    <w:nsid w:val="793753DE"/>
    <w:multiLevelType w:val="hybridMultilevel"/>
    <w:lvl w:ilvl="0">
      <w:lvlJc w:val="left"/>
      <w:lvlText w:val="%1."/>
      <w:numFmt w:val="decimal"/>
      <w:start w:val="1"/>
    </w:lvl>
  </w:abstractNum>
  <w:abstractNum w:abstractNumId="402">
    <w:nsid w:val="1C67CB3D"/>
    <w:multiLevelType w:val="hybridMultilevel"/>
    <w:lvl w:ilvl="0">
      <w:lvlJc w:val="left"/>
      <w:lvlText w:val="(%1)"/>
      <w:numFmt w:val="lowerLetter"/>
      <w:start w:val="1"/>
    </w:lvl>
  </w:abstractNum>
  <w:abstractNum w:abstractNumId="403">
    <w:nsid w:val="40E29452"/>
    <w:multiLevelType w:val="hybridMultilevel"/>
    <w:lvl w:ilvl="0">
      <w:lvlJc w:val="left"/>
      <w:lvlText w:val="%1."/>
      <w:numFmt w:val="decimal"/>
      <w:start w:val="3"/>
    </w:lvl>
    <w:lvl w:ilvl="1">
      <w:lvlJc w:val="left"/>
      <w:lvlText w:val="-"/>
      <w:numFmt w:val="bullet"/>
      <w:start w:val="1"/>
    </w:lvl>
  </w:abstractNum>
  <w:abstractNum w:abstractNumId="404">
    <w:nsid w:val="63A4AAB6"/>
    <w:multiLevelType w:val="hybridMultilevel"/>
    <w:lvl w:ilvl="0">
      <w:lvlJc w:val="left"/>
      <w:lvlText w:val="%1."/>
      <w:numFmt w:val="decimal"/>
      <w:start w:val="6"/>
    </w:lvl>
  </w:abstractNum>
  <w:abstractNum w:abstractNumId="405">
    <w:nsid w:val="77DA4A5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6">
    <w:nsid w:val="1230F102"/>
    <w:multiLevelType w:val="hybridMultilevel"/>
    <w:lvl w:ilvl="0">
      <w:lvlJc w:val="left"/>
      <w:lvlText w:val="%1."/>
      <w:numFmt w:val="decimal"/>
      <w:start w:val="7"/>
    </w:lvl>
  </w:abstractNum>
  <w:abstractNum w:abstractNumId="407">
    <w:nsid w:val="25B57ED4"/>
    <w:multiLevelType w:val="hybridMultilevel"/>
    <w:lvl w:ilvl="0">
      <w:lvlJc w:val="left"/>
      <w:lvlText w:val="(%1)"/>
      <w:numFmt w:val="lowerLetter"/>
      <w:start w:val="1"/>
    </w:lvl>
  </w:abstractNum>
  <w:abstractNum w:abstractNumId="408">
    <w:nsid w:val="47CF16C4"/>
    <w:multiLevelType w:val="hybridMultilevel"/>
    <w:lvl w:ilvl="0">
      <w:lvlJc w:val="left"/>
      <w:lvlText w:val="%1."/>
      <w:numFmt w:val="decimal"/>
      <w:start w:val="8"/>
    </w:lvl>
    <w:lvl w:ilvl="1">
      <w:lvlJc w:val="left"/>
      <w:lvlText w:val="-"/>
      <w:numFmt w:val="bullet"/>
      <w:start w:val="1"/>
    </w:lvl>
  </w:abstractNum>
  <w:abstractNum w:abstractNumId="409">
    <w:nsid w:val="527FA04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10">
    <w:nsid w:val="6FCC0624"/>
    <w:multiLevelType w:val="hybridMultilevel"/>
    <w:lvl w:ilvl="0">
      <w:lvlJc w:val="left"/>
      <w:lvlText w:val="(%1)"/>
      <w:numFmt w:val="lowerLetter"/>
      <w:start w:val="25"/>
    </w:lvl>
    <w:lvl w:ilvl="1">
      <w:lvlJc w:val="left"/>
      <w:lvlText w:val="(%2)"/>
      <w:numFmt w:val="lowerLetter"/>
      <w:start w:val="5"/>
    </w:lvl>
    <w:lvl w:ilvl="2">
      <w:lvlJc w:val="left"/>
      <w:lvlText w:val="-"/>
      <w:numFmt w:val="bullet"/>
      <w:start w:val="1"/>
    </w:lvl>
  </w:abstractNum>
  <w:abstractNum w:abstractNumId="411">
    <w:nsid w:val="1DCDF795"/>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12">
    <w:nsid w:val="564580C8"/>
    <w:multiLevelType w:val="hybridMultilevel"/>
    <w:lvl w:ilvl="0">
      <w:lvlJc w:val="left"/>
      <w:lvlText w:val="(%1)"/>
      <w:numFmt w:val="lowerRoman"/>
      <w:start w:val="2"/>
    </w:lvl>
  </w:abstractNum>
  <w:abstractNum w:abstractNumId="413">
    <w:nsid w:val="508ED897"/>
    <w:multiLevelType w:val="hybridMultilevel"/>
    <w:lvl w:ilvl="0">
      <w:lvlJc w:val="left"/>
      <w:lvlText w:val="%1."/>
      <w:numFmt w:val="decimal"/>
      <w:start w:val="11"/>
    </w:lvl>
  </w:abstractNum>
  <w:abstractNum w:abstractNumId="414">
    <w:nsid w:val="6A9126B5"/>
    <w:multiLevelType w:val="hybridMultilevel"/>
    <w:lvl w:ilvl="0">
      <w:lvlJc w:val="left"/>
      <w:lvlText w:val="(%1)"/>
      <w:numFmt w:val="lowerLetter"/>
      <w:start w:val="1"/>
    </w:lvl>
    <w:lvl w:ilvl="1">
      <w:lvlJc w:val="left"/>
      <w:lvlText w:val="-"/>
      <w:numFmt w:val="bullet"/>
      <w:start w:val="1"/>
    </w:lvl>
  </w:abstractNum>
  <w:abstractNum w:abstractNumId="415">
    <w:nsid w:val="68104812"/>
    <w:multiLevelType w:val="hybridMultilevel"/>
    <w:lvl w:ilvl="0">
      <w:lvlJc w:val="left"/>
      <w:lvlText w:val="(%1)"/>
      <w:numFmt w:val="lowerLetter"/>
      <w:start w:val="3"/>
    </w:lvl>
    <w:lvl w:ilvl="1">
      <w:lvlJc w:val="left"/>
      <w:lvlText w:val="-"/>
      <w:numFmt w:val="bullet"/>
      <w:start w:val="1"/>
    </w:lvl>
  </w:abstractNum>
  <w:abstractNum w:abstractNumId="416">
    <w:nsid w:val="62FB8680"/>
    <w:multiLevelType w:val="hybridMultilevel"/>
    <w:lvl w:ilvl="0">
      <w:lvlJc w:val="left"/>
      <w:lvlText w:val="%1."/>
      <w:numFmt w:val="decimal"/>
      <w:start w:val="12"/>
    </w:lvl>
  </w:abstractNum>
  <w:abstractNum w:abstractNumId="417">
    <w:nsid w:val="3A45530"/>
    <w:multiLevelType w:val="hybridMultilevel"/>
    <w:lvl w:ilvl="0">
      <w:lvlJc w:val="left"/>
      <w:lvlText w:val="(%1)"/>
      <w:numFmt w:val="lowerLetter"/>
      <w:start w:val="1"/>
    </w:lvl>
  </w:abstractNum>
  <w:abstractNum w:abstractNumId="418">
    <w:nsid w:val="4B9275D2"/>
    <w:multiLevelType w:val="hybridMultilevel"/>
    <w:lvl w:ilvl="0">
      <w:lvlJc w:val="left"/>
      <w:lvlText w:val="%1"/>
      <w:numFmt w:val="lowerLetter"/>
      <w:start w:val="1"/>
    </w:lvl>
    <w:lvl w:ilvl="1">
      <w:lvlJc w:val="left"/>
      <w:lvlText w:val="%2."/>
      <w:numFmt w:val="decimal"/>
      <w:start w:val="13"/>
    </w:lvl>
    <w:lvl w:ilvl="2">
      <w:lvlJc w:val="left"/>
      <w:lvlText w:val="-"/>
      <w:numFmt w:val="bullet"/>
      <w:start w:val="1"/>
    </w:lvl>
  </w:abstractNum>
  <w:abstractNum w:abstractNumId="419">
    <w:nsid w:val="4F0CEEDB"/>
    <w:multiLevelType w:val="hybridMultilevel"/>
    <w:lvl w:ilvl="0">
      <w:lvlJc w:val="left"/>
      <w:lvlText w:val="(%1)"/>
      <w:numFmt w:val="lowerLetter"/>
      <w:start w:val="1"/>
    </w:lvl>
    <w:lvl w:ilvl="1">
      <w:lvlJc w:val="left"/>
      <w:lvlText w:val="%2."/>
      <w:numFmt w:val="decimal"/>
      <w:start w:val="14"/>
    </w:lvl>
    <w:lvl w:ilvl="2">
      <w:lvlJc w:val="left"/>
      <w:lvlText w:val="-"/>
      <w:numFmt w:val="bullet"/>
      <w:start w:val="1"/>
    </w:lvl>
  </w:abstractNum>
  <w:abstractNum w:abstractNumId="420">
    <w:nsid w:val="61C3036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21">
    <w:nsid w:val="632099E0"/>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422">
    <w:nsid w:val="24639756"/>
    <w:multiLevelType w:val="hybridMultilevel"/>
    <w:lvl w:ilvl="0">
      <w:lvlJc w:val="left"/>
      <w:lvlText w:val="(%1)"/>
      <w:numFmt w:val="lowerLetter"/>
      <w:start w:val="8"/>
    </w:lvl>
  </w:abstractNum>
  <w:abstractNum w:abstractNumId="423">
    <w:nsid w:val="9D30DFD"/>
    <w:multiLevelType w:val="hybridMultilevel"/>
    <w:lvl w:ilvl="0">
      <w:lvlJc w:val="left"/>
      <w:lvlText w:val="%1."/>
      <w:numFmt w:val="decimal"/>
      <w:start w:val="16"/>
    </w:lvl>
  </w:abstractNum>
  <w:abstractNum w:abstractNumId="424">
    <w:nsid w:val="70A42016"/>
    <w:multiLevelType w:val="hybridMultilevel"/>
    <w:lvl w:ilvl="0">
      <w:lvlJc w:val="left"/>
      <w:lvlText w:val="(%1)"/>
      <w:numFmt w:val="lowerLetter"/>
      <w:start w:val="1"/>
    </w:lvl>
  </w:abstractNum>
  <w:abstractNum w:abstractNumId="425">
    <w:nsid w:val="161BC243"/>
    <w:multiLevelType w:val="hybridMultilevel"/>
    <w:lvl w:ilvl="0">
      <w:lvlJc w:val="left"/>
      <w:lvlText w:val="%1."/>
      <w:numFmt w:val="decimal"/>
      <w:start w:val="17"/>
    </w:lvl>
  </w:abstractNum>
  <w:abstractNum w:abstractNumId="426">
    <w:nsid w:val="16E908C8"/>
    <w:multiLevelType w:val="hybridMultilevel"/>
    <w:lvl w:ilvl="0">
      <w:lvlJc w:val="left"/>
      <w:lvlText w:val="(%1)"/>
      <w:numFmt w:val="lowerLetter"/>
      <w:start w:val="1"/>
    </w:lvl>
  </w:abstractNum>
  <w:abstractNum w:abstractNumId="427">
    <w:nsid w:val="2E0D7671"/>
    <w:multiLevelType w:val="hybridMultilevel"/>
    <w:lvl w:ilvl="0">
      <w:lvlJc w:val="left"/>
      <w:lvlText w:val="%1."/>
      <w:numFmt w:val="decimal"/>
      <w:start w:val="19"/>
    </w:lvl>
  </w:abstractNum>
  <w:abstractNum w:abstractNumId="428">
    <w:nsid w:val="38B59EF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29">
    <w:nsid w:val="307995CA"/>
    <w:multiLevelType w:val="hybridMultilevel"/>
    <w:lvl w:ilvl="0">
      <w:lvlJc w:val="left"/>
      <w:lvlText w:val="%1"/>
      <w:numFmt w:val="lowerRoman"/>
      <w:start w:val="1"/>
    </w:lvl>
    <w:lvl w:ilvl="1">
      <w:lvlJc w:val="left"/>
      <w:lvlText w:val="(%2)"/>
      <w:numFmt w:val="upperLetter"/>
      <w:start w:val="2"/>
    </w:lvl>
  </w:abstractNum>
  <w:abstractNum w:abstractNumId="430">
    <w:nsid w:val="52E2024D"/>
    <w:multiLevelType w:val="hybridMultilevel"/>
    <w:lvl w:ilvl="0">
      <w:lvlJc w:val="left"/>
      <w:lvlText w:val="(%1)"/>
      <w:numFmt w:val="lowerRoman"/>
      <w:start w:val="3"/>
    </w:lvl>
    <w:lvl w:ilvl="1">
      <w:lvlJc w:val="left"/>
      <w:lvlText w:val="(%2)"/>
      <w:numFmt w:val="upperLetter"/>
      <w:start w:val="1"/>
    </w:lvl>
  </w:abstractNum>
  <w:abstractNum w:abstractNumId="431">
    <w:nsid w:val="CE344B5"/>
    <w:multiLevelType w:val="hybridMultilevel"/>
    <w:lvl w:ilvl="0">
      <w:lvlJc w:val="left"/>
      <w:lvlText w:val="(%1)"/>
      <w:numFmt w:val="lowerLetter"/>
      <w:start w:val="8"/>
    </w:lvl>
  </w:abstractNum>
  <w:abstractNum w:abstractNumId="432">
    <w:nsid w:val="29B0E9A8"/>
    <w:multiLevelType w:val="hybridMultilevel"/>
    <w:lvl w:ilvl="0">
      <w:lvlJc w:val="left"/>
      <w:lvlText w:val="(%1)"/>
      <w:numFmt w:val="lowerLetter"/>
      <w:start w:val="10"/>
    </w:lvl>
    <w:lvl w:ilvl="1">
      <w:lvlJc w:val="left"/>
      <w:lvlText w:val="(%2)"/>
      <w:numFmt w:val="lowerRoman"/>
      <w:start w:val="1"/>
    </w:lvl>
  </w:abstractNum>
  <w:abstractNum w:abstractNumId="433">
    <w:nsid w:val="6F49CD8A"/>
    <w:multiLevelType w:val="hybridMultilevel"/>
    <w:lvl w:ilvl="0">
      <w:lvlJc w:val="left"/>
      <w:lvlText w:val="(%1)"/>
      <w:numFmt w:val="lowerLetter"/>
      <w:start w:val="14"/>
    </w:lvl>
  </w:abstractNum>
  <w:abstractNum w:abstractNumId="434">
    <w:nsid w:val="4DC5D907"/>
    <w:multiLevelType w:val="hybridMultilevel"/>
    <w:lvl w:ilvl="0">
      <w:lvlJc w:val="left"/>
      <w:lvlText w:val="(%1)"/>
      <w:numFmt w:val="lowerLetter"/>
      <w:start w:val="17"/>
    </w:lvl>
  </w:abstractNum>
  <w:abstractNum w:abstractNumId="435">
    <w:nsid w:val="D55945E"/>
    <w:multiLevelType w:val="hybridMultilevel"/>
    <w:lvl w:ilvl="0">
      <w:lvlJc w:val="left"/>
      <w:lvlText w:val="(%1)"/>
      <w:numFmt w:val="lowerLetter"/>
      <w:start w:val="27"/>
    </w:lvl>
  </w:abstractNum>
  <w:abstractNum w:abstractNumId="436">
    <w:nsid w:val="672417E1"/>
    <w:multiLevelType w:val="hybridMultilevel"/>
    <w:lvl w:ilvl="0">
      <w:lvlJc w:val="left"/>
      <w:lvlText w:val="(%1)"/>
      <w:numFmt w:val="lowerLetter"/>
      <w:start w:val="31"/>
    </w:lvl>
  </w:abstractNum>
  <w:abstractNum w:abstractNumId="437">
    <w:nsid w:val="5FF6CA0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38">
    <w:nsid w:val="330B1333"/>
    <w:multiLevelType w:val="hybridMultilevel"/>
    <w:lvl w:ilvl="0">
      <w:lvlJc w:val="left"/>
      <w:lvlText w:val="(%1)"/>
      <w:numFmt w:val="lowerRoman"/>
      <w:start w:val="7"/>
    </w:lvl>
  </w:abstractNum>
  <w:abstractNum w:abstractNumId="439">
    <w:nsid w:val="2EF32EA6"/>
    <w:multiLevelType w:val="hybridMultilevel"/>
    <w:lvl w:ilvl="0">
      <w:lvlJc w:val="left"/>
      <w:lvlText w:val="(%1)"/>
      <w:numFmt w:val="lowerLetter"/>
      <w:start w:val="2"/>
    </w:lvl>
  </w:abstractNum>
  <w:abstractNum w:abstractNumId="440">
    <w:nsid w:val="32766A55"/>
    <w:multiLevelType w:val="hybridMultilevel"/>
    <w:lvl w:ilvl="0">
      <w:lvlJc w:val="left"/>
      <w:lvlText w:val="%1"/>
      <w:numFmt w:val="decimal"/>
      <w:start w:val="1"/>
    </w:lvl>
    <w:lvl w:ilvl="1">
      <w:lvlJc w:val="left"/>
      <w:lvlText w:val="(%2)"/>
      <w:numFmt w:val="lowerLetter"/>
      <w:start w:val="3"/>
    </w:lvl>
  </w:abstractNum>
  <w:abstractNum w:abstractNumId="441">
    <w:nsid w:val="22D71957"/>
    <w:multiLevelType w:val="hybridMultilevel"/>
    <w:lvl w:ilvl="0">
      <w:lvlJc w:val="left"/>
      <w:lvlText w:val="%1."/>
      <w:numFmt w:val="decimal"/>
      <w:start w:val="4"/>
    </w:lvl>
    <w:lvl w:ilvl="1">
      <w:lvlJc w:val="left"/>
      <w:lvlText w:val="(%2)"/>
      <w:numFmt w:val="lowerLetter"/>
      <w:start w:val="1"/>
    </w:lvl>
  </w:abstractNum>
  <w:abstractNum w:abstractNumId="442">
    <w:nsid w:val="4CC1263B"/>
    <w:multiLevelType w:val="hybridMultilevel"/>
    <w:lvl w:ilvl="0">
      <w:lvlJc w:val="left"/>
      <w:lvlText w:val="(%1)"/>
      <w:numFmt w:val="lowerRoman"/>
      <w:start w:val="1"/>
    </w:lvl>
  </w:abstractNum>
  <w:abstractNum w:abstractNumId="443">
    <w:nsid w:val="8BBEB1D"/>
    <w:multiLevelType w:val="hybridMultilevel"/>
    <w:lvl w:ilvl="0">
      <w:lvlJc w:val="left"/>
      <w:lvlText w:val="(%1)"/>
      <w:numFmt w:val="lowerLetter"/>
      <w:start w:val="2"/>
    </w:lvl>
  </w:abstractNum>
  <w:abstractNum w:abstractNumId="444">
    <w:nsid w:val="7365F1E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45">
    <w:nsid w:val="37524CF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46">
    <w:nsid w:val="70CC332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47">
    <w:nsid w:val="5661786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48">
    <w:nsid w:val="3AF6A22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9">
    <w:nsid w:val="3C5EA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50">
    <w:nsid w:val="256E674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51">
    <w:nsid w:val="1CB9A58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52">
    <w:nsid w:val="1F7F42E2"/>
    <w:multiLevelType w:val="hybridMultilevel"/>
    <w:lvl w:ilvl="0">
      <w:lvlJc w:val="left"/>
      <w:lvlText w:val="%1"/>
      <w:numFmt w:val="decimal"/>
      <w:start w:val="1"/>
    </w:lvl>
    <w:lvl w:ilvl="1">
      <w:lvlJc w:val="left"/>
      <w:lvlText w:val="(%2)"/>
      <w:numFmt w:val="lowerLetter"/>
      <w:start w:val="2"/>
    </w:lvl>
  </w:abstractNum>
  <w:abstractNum w:abstractNumId="453">
    <w:nsid w:val="49D1FEA0"/>
    <w:multiLevelType w:val="hybridMultilevel"/>
    <w:lvl w:ilvl="0">
      <w:lvlJc w:val="left"/>
      <w:lvlText w:val="%1."/>
      <w:numFmt w:val="decimal"/>
      <w:start w:val="9"/>
    </w:lvl>
    <w:lvl w:ilvl="1">
      <w:lvlJc w:val="left"/>
      <w:lvlText w:val="(%2)"/>
      <w:numFmt w:val="lowerLetter"/>
      <w:start w:val="1"/>
    </w:lvl>
  </w:abstractNum>
  <w:abstractNum w:abstractNumId="454">
    <w:nsid w:val="268CB37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55">
    <w:nsid w:val="102362F8"/>
    <w:multiLevelType w:val="hybridMultilevel"/>
    <w:lvl w:ilvl="0">
      <w:lvlJc w:val="left"/>
      <w:lvlText w:val="%1."/>
      <w:numFmt w:val="decimal"/>
      <w:start w:val="11"/>
    </w:lvl>
  </w:abstractNum>
  <w:abstractNum w:abstractNumId="456">
    <w:nsid w:val="5FEDC0E3"/>
    <w:multiLevelType w:val="hybridMultilevel"/>
    <w:lvl w:ilvl="0">
      <w:lvlJc w:val="left"/>
      <w:lvlText w:val="(%1)"/>
      <w:numFmt w:val="lowerLetter"/>
      <w:start w:val="3"/>
    </w:lvl>
  </w:abstractNum>
  <w:abstractNum w:abstractNumId="457">
    <w:nsid w:val="3D75BC47"/>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458">
    <w:nsid w:val="3E30D9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459">
    <w:nsid w:val="18A35FE3"/>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460">
    <w:nsid w:val="6DEF5211"/>
    <w:multiLevelType w:val="hybridMultilevel"/>
    <w:lvl w:ilvl="0">
      <w:lvlJc w:val="left"/>
      <w:lvlText w:val="(%1)"/>
      <w:numFmt w:val="lowerLetter"/>
      <w:start w:val="35"/>
    </w:lvl>
    <w:lvl w:ilvl="1">
      <w:lvlJc w:val="left"/>
      <w:lvlText w:val="(%2)"/>
      <w:numFmt w:val="lowerLetter"/>
      <w:start w:val="9"/>
    </w:lvl>
    <w:lvl w:ilvl="2">
      <w:lvlJc w:val="left"/>
      <w:lvlText w:val="(%3)"/>
      <w:numFmt w:val="lowerRoman"/>
      <w:start w:val="1"/>
    </w:lvl>
  </w:abstractNum>
  <w:abstractNum w:abstractNumId="461">
    <w:nsid w:val="1112DBB6"/>
    <w:multiLevelType w:val="hybridMultilevel"/>
    <w:lvl w:ilvl="0">
      <w:lvlJc w:val="left"/>
      <w:lvlText w:val="%1"/>
      <w:numFmt w:val="lowerLetter"/>
      <w:start w:val="1"/>
    </w:lvl>
    <w:lvl w:ilvl="1">
      <w:lvlJc w:val="left"/>
      <w:lvlText w:val="(%2)"/>
      <w:numFmt w:val="lowerRoman"/>
      <w:start w:val="2"/>
    </w:lvl>
  </w:abstractNum>
  <w:abstractNum w:abstractNumId="462">
    <w:nsid w:val="2586A498"/>
    <w:multiLevelType w:val="hybridMultilevel"/>
    <w:lvl w:ilvl="0">
      <w:lvlJc w:val="left"/>
      <w:lvlText w:val="(%1)"/>
      <w:numFmt w:val="lowerLetter"/>
      <w:start w:val="11"/>
    </w:lvl>
    <w:lvl w:ilvl="1">
      <w:lvlJc w:val="left"/>
      <w:lvlText w:val="%2"/>
      <w:numFmt w:val="lowerRoman"/>
      <w:start w:val="1"/>
    </w:lvl>
  </w:abstractNum>
  <w:abstractNum w:abstractNumId="463">
    <w:nsid w:val="17A03BB9"/>
    <w:multiLevelType w:val="hybridMultilevel"/>
    <w:lvl w:ilvl="0">
      <w:lvlJc w:val="left"/>
      <w:lvlText w:val="%1."/>
      <w:numFmt w:val="decimal"/>
      <w:start w:val="13"/>
    </w:lvl>
  </w:abstractNum>
  <w:abstractNum w:abstractNumId="464">
    <w:nsid w:val="5CA941"/>
    <w:multiLevelType w:val="hybridMultilevel"/>
    <w:lvl w:ilvl="0">
      <w:lvlJc w:val="left"/>
      <w:lvlText w:val="%1."/>
      <w:numFmt w:val="decimal"/>
      <w:start w:val="1"/>
    </w:lvl>
    <w:lvl w:ilvl="1">
      <w:lvlJc w:val="left"/>
      <w:lvlText w:val="(%2)"/>
      <w:numFmt w:val="lowerLetter"/>
      <w:start w:val="1"/>
    </w:lvl>
  </w:abstractNum>
  <w:abstractNum w:abstractNumId="465">
    <w:nsid w:val="734C7D9F"/>
    <w:multiLevelType w:val="hybridMultilevel"/>
    <w:lvl w:ilvl="0">
      <w:lvlJc w:val="left"/>
      <w:lvlText w:val="(%1)"/>
      <w:numFmt w:val="lowerRoman"/>
      <w:start w:val="6"/>
    </w:lvl>
  </w:abstractNum>
  <w:abstractNum w:abstractNumId="466">
    <w:nsid w:val="24F5D018"/>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67">
    <w:nsid w:val="6780C12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68">
    <w:nsid w:val="534347A8"/>
    <w:multiLevelType w:val="hybridMultilevel"/>
    <w:lvl w:ilvl="0">
      <w:lvlJc w:val="left"/>
      <w:lvlText w:val="(%1)"/>
      <w:numFmt w:val="lowerLetter"/>
      <w:start w:val="8"/>
    </w:lvl>
  </w:abstractNum>
  <w:abstractNum w:abstractNumId="469">
    <w:nsid w:val="5800E34B"/>
    <w:multiLevelType w:val="hybridMultilevel"/>
    <w:lvl w:ilvl="0">
      <w:lvlJc w:val="left"/>
      <w:lvlText w:val="[***]"/>
      <w:numFmt w:val="bullet"/>
      <w:start w:val="1"/>
    </w:lvl>
    <w:lvl w:ilvl="1">
      <w:lvlJc w:val="left"/>
      <w:lvlText w:val="(%2)"/>
      <w:numFmt w:val="lowerLetter"/>
      <w:start w:val="14"/>
    </w:lvl>
    <w:lvl w:ilvl="2">
      <w:lvlJc w:val="left"/>
      <w:lvlText w:val="(%3)"/>
      <w:numFmt w:val="lowerRoman"/>
      <w:start w:val="1"/>
    </w:lvl>
  </w:abstractNum>
  <w:abstractNum w:abstractNumId="470">
    <w:nsid w:val="1673EFC8"/>
    <w:multiLevelType w:val="hybridMultilevel"/>
    <w:lvl w:ilvl="0">
      <w:lvlJc w:val="left"/>
      <w:lvlText w:val="%1"/>
      <w:numFmt w:val="decimal"/>
      <w:start w:val="1"/>
    </w:lvl>
    <w:lvl w:ilvl="1">
      <w:lvlJc w:val="left"/>
      <w:lvlText w:val="(%2)"/>
      <w:numFmt w:val="lowerLetter"/>
      <w:start w:val="17"/>
    </w:lvl>
  </w:abstractNum>
  <w:abstractNum w:abstractNumId="471">
    <w:nsid w:val="5B9B1FD"/>
    <w:multiLevelType w:val="hybridMultilevel"/>
    <w:lvl w:ilvl="0">
      <w:lvlJc w:val="left"/>
      <w:lvlText w:val="%1."/>
      <w:numFmt w:val="decimal"/>
      <w:start w:val="3"/>
    </w:lvl>
    <w:lvl w:ilvl="1">
      <w:lvlJc w:val="left"/>
      <w:lvlText w:val="(%2)"/>
      <w:numFmt w:val="lowerLetter"/>
      <w:start w:val="1"/>
    </w:lvl>
  </w:abstractNum>
  <w:abstractNum w:abstractNumId="472">
    <w:nsid w:val="7AD7FCA2"/>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473">
    <w:nsid w:val="63351604"/>
    <w:multiLevelType w:val="hybridMultilevel"/>
    <w:lvl w:ilvl="0">
      <w:lvlJc w:val="left"/>
      <w:lvlText w:val="%1."/>
      <w:numFmt w:val="decimal"/>
      <w:start w:val="5"/>
    </w:lvl>
  </w:abstractNum>
  <w:abstractNum w:abstractNumId="474">
    <w:nsid w:val="E759D1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5">
    <w:nsid w:val="6E3DEE9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6">
    <w:nsid w:val="1A8762F4"/>
    <w:multiLevelType w:val="hybridMultilevel"/>
    <w:lvl w:ilvl="0">
      <w:lvlJc w:val="left"/>
      <w:lvlText w:val="%1."/>
      <w:numFmt w:val="lowerRoman"/>
      <w:start w:val="3"/>
    </w:lvl>
  </w:abstractNum>
  <w:abstractNum w:abstractNumId="477">
    <w:nsid w:val="7F41D049"/>
    <w:multiLevelType w:val="hybridMultilevel"/>
    <w:lvl w:ilvl="0">
      <w:lvlJc w:val="left"/>
      <w:lvlText w:val="%1."/>
      <w:numFmt w:val="decimal"/>
      <w:start w:val="9"/>
    </w:lvl>
  </w:abstractNum>
  <w:abstractNum w:abstractNumId="478">
    <w:nsid w:val="449F66FE"/>
    <w:multiLevelType w:val="hybridMultilevel"/>
    <w:lvl w:ilvl="0">
      <w:lvlJc w:val="left"/>
      <w:lvlText w:val="%1."/>
      <w:numFmt w:val="decimal"/>
      <w:start w:val="10"/>
    </w:lvl>
  </w:abstractNum>
  <w:abstractNum w:abstractNumId="479">
    <w:nsid w:val="557E0515"/>
    <w:multiLevelType w:val="hybridMultilevel"/>
    <w:lvl w:ilvl="0">
      <w:lvlJc w:val="left"/>
      <w:lvlText w:val="%1."/>
      <w:numFmt w:val="decimal"/>
      <w:start w:val="11"/>
    </w:lvl>
    <w:lvl w:ilvl="1">
      <w:lvlJc w:val="left"/>
      <w:lvlText w:val="(%2)"/>
      <w:numFmt w:val="lowerLetter"/>
      <w:start w:val="1"/>
    </w:lvl>
  </w:abstractNum>
  <w:abstractNum w:abstractNumId="480">
    <w:nsid w:val="3BA0794B"/>
    <w:multiLevelType w:val="hybridMultilevel"/>
    <w:lvl w:ilvl="0">
      <w:lvlJc w:val="left"/>
      <w:lvlText w:val="%1"/>
      <w:numFmt w:val="decimal"/>
      <w:start w:val="1"/>
    </w:lvl>
    <w:lvl w:ilvl="1">
      <w:lvlJc w:val="left"/>
      <w:lvlText w:val="(%2)"/>
      <w:numFmt w:val="lowerLetter"/>
      <w:start w:val="2"/>
    </w:lvl>
  </w:abstractNum>
  <w:abstractNum w:abstractNumId="481">
    <w:nsid w:val="6A0DCE48"/>
    <w:multiLevelType w:val="hybridMultilevel"/>
    <w:lvl w:ilvl="0">
      <w:lvlJc w:val="left"/>
      <w:lvlText w:val="%1."/>
      <w:numFmt w:val="decimal"/>
      <w:start w:val="12"/>
    </w:lvl>
    <w:lvl w:ilvl="1">
      <w:lvlJc w:val="left"/>
      <w:lvlText w:val="%2"/>
      <w:numFmt w:val="lowerLetter"/>
      <w:start w:val="1"/>
    </w:lvl>
  </w:abstractNum>
  <w:abstractNum w:abstractNumId="482">
    <w:nsid w:val="7237AA96"/>
    <w:multiLevelType w:val="hybridMultilevel"/>
    <w:lvl w:ilvl="0">
      <w:lvlJc w:val="left"/>
      <w:lvlText w:val="%1."/>
      <w:numFmt w:val="decimal"/>
      <w:start w:val="13"/>
    </w:lvl>
  </w:abstractNum>
  <w:abstractNum w:abstractNumId="483">
    <w:nsid w:val="5B1FBC2D"/>
    <w:multiLevelType w:val="hybridMultilevel"/>
    <w:lvl w:ilvl="0">
      <w:lvlJc w:val="left"/>
      <w:lvlText w:val="%1."/>
      <w:numFmt w:val="decimal"/>
      <w:start w:val="14"/>
    </w:lvl>
  </w:abstractNum>
  <w:abstractNum w:abstractNumId="484">
    <w:nsid w:val="33DFCCE8"/>
    <w:multiLevelType w:val="hybridMultilevel"/>
    <w:lvl w:ilvl="0">
      <w:lvlJc w:val="left"/>
      <w:lvlText w:val="%1."/>
      <w:numFmt w:val="decimal"/>
      <w:start w:val="15"/>
    </w:lvl>
  </w:abstractNum>
  <w:abstractNum w:abstractNumId="485">
    <w:nsid w:val="18C45E15"/>
    <w:multiLevelType w:val="hybridMultilevel"/>
    <w:lvl w:ilvl="0">
      <w:lvlJc w:val="left"/>
      <w:lvlText w:val="%1."/>
      <w:numFmt w:val="decimal"/>
      <w:start w:val="16"/>
    </w:lvl>
  </w:abstractNum>
  <w:abstractNum w:abstractNumId="486">
    <w:nsid w:val="6B431F25"/>
    <w:multiLevelType w:val="hybridMultilevel"/>
    <w:lvl w:ilvl="0">
      <w:lvlJc w:val="left"/>
      <w:lvlText w:val="%1."/>
      <w:numFmt w:val="decimal"/>
      <w:start w:val="17"/>
    </w:lvl>
  </w:abstractNum>
  <w:abstractNum w:abstractNumId="487">
    <w:nsid w:val="13CD8DCB"/>
    <w:multiLevelType w:val="hybridMultilevel"/>
    <w:lvl w:ilvl="0">
      <w:lvlJc w:val="left"/>
      <w:lvlText w:val="%1."/>
      <w:numFmt w:val="decimal"/>
      <w:start w:val="18"/>
    </w:lvl>
    <w:lvl w:ilvl="1">
      <w:lvlJc w:val="left"/>
      <w:lvlText w:val="(%2)"/>
      <w:numFmt w:val="lowerLetter"/>
      <w:start w:val="1"/>
    </w:lvl>
  </w:abstractNum>
  <w:abstractNum w:abstractNumId="488">
    <w:nsid w:val="563A1A5C"/>
    <w:multiLevelType w:val="hybridMultilevel"/>
    <w:lvl w:ilvl="0">
      <w:lvlJc w:val="left"/>
      <w:lvlText w:val="%1"/>
      <w:numFmt w:val="decimal"/>
      <w:start w:val="1"/>
    </w:lvl>
    <w:lvl w:ilvl="1">
      <w:lvlJc w:val="left"/>
      <w:lvlText w:val="(%2)"/>
      <w:numFmt w:val="lowerLetter"/>
      <w:start w:val="2"/>
    </w:lvl>
  </w:abstractNum>
  <w:abstractNum w:abstractNumId="489">
    <w:nsid w:val="2973F88F"/>
    <w:multiLevelType w:val="hybridMultilevel"/>
    <w:lvl w:ilvl="0">
      <w:lvlJc w:val="left"/>
      <w:lvlText w:val="%1."/>
      <w:numFmt w:val="decimal"/>
      <w:start w:val="19"/>
    </w:lvl>
    <w:lvl w:ilvl="1">
      <w:lvlJc w:val="left"/>
      <w:lvlText w:val="%2"/>
      <w:numFmt w:val="lowerLetter"/>
      <w:start w:val="1"/>
    </w:lvl>
  </w:abstractNum>
  <w:abstractNum w:abstractNumId="490">
    <w:nsid w:val="2C70EDAE"/>
    <w:multiLevelType w:val="hybridMultilevel"/>
    <w:lvl w:ilvl="0">
      <w:lvlJc w:val="left"/>
      <w:lvlText w:val="%1."/>
      <w:numFmt w:val="decimal"/>
      <w:start w:val="20"/>
    </w:lvl>
  </w:abstractNum>
  <w:abstractNum w:abstractNumId="491">
    <w:nsid w:val="44296C6D"/>
    <w:multiLevelType w:val="hybridMultilevel"/>
    <w:lvl w:ilvl="0">
      <w:lvlJc w:val="left"/>
      <w:lvlText w:val="%1."/>
      <w:numFmt w:val="decimal"/>
      <w:start w:val="21"/>
    </w:lvl>
  </w:abstractNum>
  <w:abstractNum w:abstractNumId="492">
    <w:nsid w:val="3A86D445"/>
    <w:multiLevelType w:val="hybridMultilevel"/>
    <w:lvl w:ilvl="0">
      <w:lvlJc w:val="left"/>
      <w:lvlText w:val="%1."/>
      <w:numFmt w:val="upperLetter"/>
      <w:start w:val="1"/>
    </w:lvl>
  </w:abstractNum>
  <w:abstractNum w:abstractNumId="493">
    <w:nsid w:val="51F79246"/>
    <w:multiLevelType w:val="hybridMultilevel"/>
    <w:lvl w:ilvl="0">
      <w:lvlJc w:val="left"/>
      <w:lvlText w:val="%1."/>
      <w:numFmt w:val="decimal"/>
      <w:start w:val="1"/>
    </w:lvl>
  </w:abstractNum>
  <w:abstractNum w:abstractNumId="494">
    <w:nsid w:val="5BC9A827"/>
    <w:multiLevelType w:val="hybridMultilevel"/>
    <w:lvl w:ilvl="0">
      <w:lvlJc w:val="left"/>
      <w:lvlText w:val="%1."/>
      <w:numFmt w:val="decimal"/>
      <w:start w:val="1"/>
    </w:lvl>
    <w:lvl w:ilvl="1">
      <w:lvlJc w:val="left"/>
      <w:lvlText w:val="%2"/>
      <w:numFmt w:val="lowerLetter"/>
      <w:start w:val="1"/>
    </w:lvl>
  </w:abstractNum>
  <w:abstractNum w:abstractNumId="495">
    <w:nsid w:val="3AE37D86"/>
    <w:multiLevelType w:val="hybridMultilevel"/>
    <w:lvl w:ilvl="0">
      <w:lvlJc w:val="left"/>
      <w:lvlText w:val="%1."/>
      <w:numFmt w:val="decimal"/>
      <w:start w:val="3"/>
    </w:lvl>
    <w:lvl w:ilvl="1">
      <w:lvlJc w:val="left"/>
      <w:lvlText w:val="%2"/>
      <w:numFmt w:val="lowerLetter"/>
      <w:start w:val="1"/>
    </w:lvl>
  </w:abstractNum>
  <w:abstractNum w:abstractNumId="496">
    <w:nsid w:val="45440FE5"/>
    <w:multiLevelType w:val="hybridMultilevel"/>
    <w:lvl w:ilvl="0">
      <w:lvlJc w:val="left"/>
      <w:lvlText w:val="%1."/>
      <w:numFmt w:val="lowerLetter"/>
      <w:start w:val="2"/>
    </w:lvl>
  </w:abstractNum>
  <w:abstractNum w:abstractNumId="497">
    <w:nsid w:val="BF783F"/>
    <w:multiLevelType w:val="hybridMultilevel"/>
    <w:lvl w:ilvl="0">
      <w:lvlJc w:val="left"/>
      <w:lvlText w:val="[***]"/>
      <w:numFmt w:val="bullet"/>
      <w:start w:val="1"/>
    </w:lvl>
  </w:abstractNum>
  <w:abstractNum w:abstractNumId="498">
    <w:nsid w:val="22643EA9"/>
    <w:multiLevelType w:val="hybridMultilevel"/>
    <w:lvl w:ilvl="0">
      <w:lvlJc w:val="left"/>
      <w:lvlText w:val="[***]"/>
      <w:numFmt w:val="bullet"/>
      <w:start w:val="1"/>
    </w:lvl>
  </w:abstractNum>
  <w:abstractNum w:abstractNumId="499">
    <w:nsid w:val="1887578D"/>
    <w:multiLevelType w:val="hybridMultilevel"/>
    <w:lvl w:ilvl="0">
      <w:lvlJc w:val="left"/>
      <w:lvlText w:val="%1."/>
      <w:numFmt w:val="lowerLetter"/>
      <w:start w:val="4"/>
    </w:lvl>
  </w:abstractNum>
  <w:abstractNum w:abstractNumId="500">
    <w:nsid w:val="58C05B8A"/>
    <w:multiLevelType w:val="hybridMultilevel"/>
    <w:lvl w:ilvl="0">
      <w:lvlJc w:val="left"/>
      <w:lvlText w:val="%1."/>
      <w:numFmt w:val="lowerLetter"/>
      <w:start w:val="5"/>
    </w:lvl>
  </w:abstractNum>
  <w:abstractNum w:abstractNumId="501">
    <w:nsid w:val="38D82E71"/>
    <w:multiLevelType w:val="hybridMultilevel"/>
    <w:lvl w:ilvl="0">
      <w:lvlJc w:val="left"/>
      <w:lvlText w:val="%1."/>
      <w:numFmt w:val="lowerLetter"/>
      <w:start w:val="6"/>
    </w:lvl>
  </w:abstractNum>
  <w:abstractNum w:abstractNumId="502">
    <w:nsid w:val="1E41098A"/>
    <w:multiLevelType w:val="hybridMultilevel"/>
    <w:lvl w:ilvl="0">
      <w:lvlJc w:val="left"/>
      <w:lvlText w:val="%1."/>
      <w:numFmt w:val="decimal"/>
      <w:start w:val="4"/>
    </w:lvl>
  </w:abstractNum>
  <w:abstractNum w:abstractNumId="503">
    <w:nsid w:val="5398582C"/>
    <w:multiLevelType w:val="hybridMultilevel"/>
    <w:lvl w:ilvl="0">
      <w:lvlJc w:val="left"/>
      <w:lvlText w:val="%1"/>
      <w:numFmt w:val="decimal"/>
      <w:start w:val="1"/>
    </w:lvl>
    <w:lvl w:ilvl="1">
      <w:lvlJc w:val="left"/>
      <w:lvlText w:val="%2."/>
      <w:numFmt w:val="lowerLetter"/>
      <w:start w:val="2"/>
    </w:lvl>
  </w:abstractNum>
  <w:abstractNum w:abstractNumId="504">
    <w:nsid w:val="1C0D4475"/>
    <w:multiLevelType w:val="hybridMultilevel"/>
    <w:lvl w:ilvl="0">
      <w:lvlJc w:val="left"/>
      <w:lvlText w:val="%1."/>
      <w:numFmt w:val="decimal"/>
      <w:start w:val="5"/>
    </w:lvl>
    <w:lvl w:ilvl="1">
      <w:lvlJc w:val="left"/>
      <w:lvlText w:val="%2"/>
      <w:numFmt w:val="lowerLetter"/>
      <w:start w:val="1"/>
    </w:lvl>
  </w:abstractNum>
  <w:abstractNum w:abstractNumId="505">
    <w:nsid w:val="2CB6A6A4"/>
    <w:multiLevelType w:val="hybridMultilevel"/>
    <w:lvl w:ilvl="0">
      <w:lvlJc w:val="left"/>
      <w:lvlText w:val="%1."/>
      <w:numFmt w:val="decimal"/>
      <w:start w:val="6"/>
    </w:lvl>
  </w:abstractNum>
  <w:abstractNum w:abstractNumId="506">
    <w:nsid w:val="41D646BC"/>
    <w:multiLevelType w:val="hybridMultilevel"/>
    <w:lvl w:ilvl="0">
      <w:lvlJc w:val="left"/>
      <w:lvlText w:val="%1."/>
      <w:numFmt w:val="decimal"/>
      <w:start w:val="8"/>
    </w:lvl>
  </w:abstractNum>
  <w:abstractNum w:abstractNumId="507">
    <w:nsid w:val="3694A76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2019-12-21T01:33:32Z</dcterms:created>
  <dcterms:modified xsi:type="dcterms:W3CDTF">2019-12-21T01:33:32Z</dcterms:modified>
</cp:coreProperties>
</file>