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BellRing Brands,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079823100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Group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3,004,274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3,453,922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3,453,922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8.76%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CUSIP No.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Group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3,004,274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3,453,922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3,453,922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8.76%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Investment Advisors Holdings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300" w:type="dxa"/>
            <w:vAlign w:val="bottom"/>
          </w:tcPr>
          <w:p>
            <w:pPr>
              <w:ind w:left="14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30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3,004,274</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30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30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30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300" w:type="dxa"/>
            <w:vAlign w:val="bottom"/>
            <w:vMerge w:val="restart"/>
          </w:tcPr>
          <w:p>
            <w:pPr>
              <w:ind w:left="14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3,453,922</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3,453,922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8.76%</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Arial" w:cs="Arial" w:eastAsia="Arial" w:hAnsi="Arial"/>
                <w:sz w:val="22"/>
                <w:szCs w:val="22"/>
                <w:color w:val="auto"/>
              </w:rPr>
              <w:t>HC</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079823100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4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4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4"/>
        </w:trPr>
        <w:tc>
          <w:tcPr>
            <w:tcW w:w="920" w:type="dxa"/>
            <w:vAlign w:val="bottom"/>
          </w:tcPr>
          <w:p>
            <w:pPr>
              <w:spacing w:after="0"/>
              <w:rPr>
                <w:sz w:val="23"/>
                <w:szCs w:val="23"/>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4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4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Arial" w:cs="Arial" w:eastAsia="Arial" w:hAnsi="Arial"/>
                <w:sz w:val="22"/>
                <w:szCs w:val="22"/>
                <w:color w:val="auto"/>
              </w:rPr>
              <w:t>Delaware</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2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480" w:type="dxa"/>
            <w:vAlign w:val="bottom"/>
          </w:tcPr>
          <w:p>
            <w:pPr>
              <w:spacing w:after="0"/>
              <w:rPr>
                <w:sz w:val="23"/>
                <w:szCs w:val="23"/>
                <w:color w:val="auto"/>
              </w:rPr>
            </w:pPr>
          </w:p>
        </w:tc>
        <w:tc>
          <w:tcPr>
            <w:tcW w:w="6340" w:type="dxa"/>
            <w:vAlign w:val="bottom"/>
          </w:tcPr>
          <w:p>
            <w:pPr>
              <w:ind w:left="180"/>
              <w:spacing w:after="0"/>
              <w:rPr>
                <w:sz w:val="20"/>
                <w:szCs w:val="20"/>
                <w:color w:val="auto"/>
              </w:rPr>
            </w:pPr>
            <w:r>
              <w:rPr>
                <w:rFonts w:ascii="Arial" w:cs="Arial" w:eastAsia="Arial" w:hAnsi="Arial"/>
                <w:sz w:val="22"/>
                <w:szCs w:val="22"/>
                <w:color w:val="auto"/>
              </w:rPr>
              <w:t>5. SOLE VOTING POWER</w:t>
            </w:r>
          </w:p>
        </w:tc>
        <w:tc>
          <w:tcPr>
            <w:tcW w:w="2700" w:type="dxa"/>
            <w:vAlign w:val="bottom"/>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2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6340" w:type="dxa"/>
            <w:vAlign w:val="bottom"/>
          </w:tcPr>
          <w:p>
            <w:pPr>
              <w:spacing w:after="0"/>
              <w:rPr>
                <w:sz w:val="4"/>
                <w:szCs w:val="4"/>
                <w:color w:val="auto"/>
              </w:rPr>
            </w:pPr>
          </w:p>
        </w:tc>
        <w:tc>
          <w:tcPr>
            <w:tcW w:w="2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480" w:type="dxa"/>
            <w:vAlign w:val="bottom"/>
          </w:tcPr>
          <w:p>
            <w:pPr>
              <w:spacing w:after="0"/>
              <w:rPr>
                <w:sz w:val="21"/>
                <w:szCs w:val="21"/>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6. SHARED VOTING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2,980,376</w:t>
            </w:r>
          </w:p>
        </w:tc>
        <w:tc>
          <w:tcPr>
            <w:tcW w:w="0" w:type="dxa"/>
            <w:vAlign w:val="bottom"/>
          </w:tcPr>
          <w:p>
            <w:pPr>
              <w:spacing w:after="0"/>
              <w:rPr>
                <w:sz w:val="1"/>
                <w:szCs w:val="1"/>
                <w:color w:val="auto"/>
              </w:rPr>
            </w:pPr>
          </w:p>
        </w:tc>
      </w:tr>
      <w:tr>
        <w:trPr>
          <w:trHeight w:val="166"/>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480" w:type="dxa"/>
            <w:vAlign w:val="bottom"/>
          </w:tcPr>
          <w:p>
            <w:pPr>
              <w:spacing w:after="0"/>
              <w:rPr>
                <w:sz w:val="14"/>
                <w:szCs w:val="14"/>
                <w:color w:val="auto"/>
              </w:rPr>
            </w:pPr>
          </w:p>
        </w:tc>
        <w:tc>
          <w:tcPr>
            <w:tcW w:w="6340" w:type="dxa"/>
            <w:vAlign w:val="bottom"/>
            <w:vMerge w:val="continue"/>
          </w:tcPr>
          <w:p>
            <w:pPr>
              <w:spacing w:after="0"/>
              <w:rPr>
                <w:sz w:val="14"/>
                <w:szCs w:val="14"/>
                <w:color w:val="auto"/>
              </w:rPr>
            </w:pP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340" w:type="dxa"/>
            <w:vAlign w:val="bottom"/>
          </w:tcPr>
          <w:p>
            <w:pPr>
              <w:spacing w:after="0"/>
              <w:rPr>
                <w:sz w:val="6"/>
                <w:szCs w:val="6"/>
                <w:color w:val="auto"/>
              </w:rPr>
            </w:pPr>
          </w:p>
        </w:tc>
        <w:tc>
          <w:tcPr>
            <w:tcW w:w="2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7. SOLE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2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480" w:type="dxa"/>
            <w:vAlign w:val="bottom"/>
          </w:tcPr>
          <w:p>
            <w:pPr>
              <w:spacing w:after="0"/>
              <w:rPr>
                <w:sz w:val="12"/>
                <w:szCs w:val="12"/>
                <w:color w:val="auto"/>
              </w:rPr>
            </w:pPr>
          </w:p>
        </w:tc>
        <w:tc>
          <w:tcPr>
            <w:tcW w:w="634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6340" w:type="dxa"/>
            <w:vAlign w:val="bottom"/>
          </w:tcPr>
          <w:p>
            <w:pPr>
              <w:spacing w:after="0"/>
              <w:rPr>
                <w:sz w:val="9"/>
                <w:szCs w:val="9"/>
                <w:color w:val="auto"/>
              </w:rPr>
            </w:pPr>
          </w:p>
        </w:tc>
        <w:tc>
          <w:tcPr>
            <w:tcW w:w="2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480" w:type="dxa"/>
            <w:vAlign w:val="bottom"/>
          </w:tcPr>
          <w:p>
            <w:pPr>
              <w:spacing w:after="0"/>
              <w:rPr>
                <w:sz w:val="23"/>
                <w:szCs w:val="23"/>
                <w:color w:val="auto"/>
              </w:rPr>
            </w:pPr>
          </w:p>
        </w:tc>
        <w:tc>
          <w:tcPr>
            <w:tcW w:w="6340" w:type="dxa"/>
            <w:vAlign w:val="bottom"/>
            <w:vMerge w:val="restart"/>
          </w:tcPr>
          <w:p>
            <w:pPr>
              <w:ind w:left="180"/>
              <w:spacing w:after="0"/>
              <w:rPr>
                <w:sz w:val="20"/>
                <w:szCs w:val="20"/>
                <w:color w:val="auto"/>
              </w:rPr>
            </w:pPr>
            <w:r>
              <w:rPr>
                <w:rFonts w:ascii="Arial" w:cs="Arial" w:eastAsia="Arial" w:hAnsi="Arial"/>
                <w:sz w:val="22"/>
                <w:szCs w:val="22"/>
                <w:color w:val="auto"/>
              </w:rPr>
              <w:t>8. SHARED DISPOSITIVE POWER</w:t>
            </w:r>
          </w:p>
        </w:tc>
        <w:tc>
          <w:tcPr>
            <w:tcW w:w="2700" w:type="dxa"/>
            <w:vAlign w:val="bottom"/>
            <w:vMerge w:val="restart"/>
          </w:tcPr>
          <w:p>
            <w:pPr>
              <w:ind w:left="640"/>
              <w:spacing w:after="0"/>
              <w:rPr>
                <w:sz w:val="20"/>
                <w:szCs w:val="20"/>
                <w:color w:val="auto"/>
              </w:rPr>
            </w:pPr>
            <w:r>
              <w:rPr>
                <w:rFonts w:ascii="Arial" w:cs="Arial" w:eastAsia="Arial" w:hAnsi="Arial"/>
                <w:sz w:val="22"/>
                <w:szCs w:val="22"/>
                <w:color w:val="auto"/>
              </w:rPr>
              <w:t>3,279,194</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34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3,279,194</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3"/>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 ]</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8.32%</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6820" w:type="dxa"/>
            <w:vAlign w:val="bottom"/>
            <w:gridSpan w:val="2"/>
          </w:tcPr>
          <w:p>
            <w:pPr>
              <w:ind w:left="100"/>
              <w:spacing w:after="0"/>
              <w:rPr>
                <w:sz w:val="20"/>
                <w:szCs w:val="20"/>
                <w:color w:val="auto"/>
              </w:rPr>
            </w:pPr>
            <w:r>
              <w:rPr>
                <w:rFonts w:ascii="Arial" w:cs="Arial" w:eastAsia="Arial" w:hAnsi="Arial"/>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480" w:type="dxa"/>
            <w:vAlign w:val="bottom"/>
          </w:tcPr>
          <w:p>
            <w:pPr>
              <w:ind w:left="100"/>
              <w:spacing w:after="0"/>
              <w:rPr>
                <w:sz w:val="20"/>
                <w:szCs w:val="20"/>
                <w:color w:val="auto"/>
              </w:rPr>
            </w:pPr>
            <w:r>
              <w:rPr>
                <w:rFonts w:ascii="Arial" w:cs="Arial" w:eastAsia="Arial" w:hAnsi="Arial"/>
                <w:sz w:val="22"/>
                <w:szCs w:val="22"/>
                <w:color w:val="auto"/>
              </w:rPr>
              <w:t>IA</w:t>
            </w:r>
          </w:p>
        </w:tc>
        <w:tc>
          <w:tcPr>
            <w:tcW w:w="63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634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5" w:name="page6"/>
    <w:bookmarkEnd w:id="5"/>
    <w:p>
      <w:pPr>
        <w:spacing w:after="0" w:line="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60" w:right="7400" w:hanging="401"/>
        <w:spacing w:after="0" w:line="334" w:lineRule="auto"/>
        <w:tabs>
          <w:tab w:leader="none" w:pos="17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BellRing Brands, Inc.</w:t>
      </w:r>
    </w:p>
    <w:p>
      <w:pPr>
        <w:spacing w:after="0" w:line="12" w:lineRule="exact"/>
        <w:rPr>
          <w:rFonts w:ascii="Arial" w:cs="Arial" w:eastAsia="Arial" w:hAnsi="Arial"/>
          <w:sz w:val="19"/>
          <w:szCs w:val="19"/>
          <w:b w:val="1"/>
          <w:bCs w:val="1"/>
          <w:color w:val="auto"/>
        </w:rPr>
      </w:pPr>
    </w:p>
    <w:p>
      <w:pPr>
        <w:ind w:left="1760" w:right="4960" w:hanging="401"/>
        <w:spacing w:after="0" w:line="241" w:lineRule="auto"/>
        <w:tabs>
          <w:tab w:leader="none" w:pos="17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2503 S. Hanley Road</w:t>
      </w:r>
    </w:p>
    <w:p>
      <w:pPr>
        <w:spacing w:after="0" w:line="1" w:lineRule="exact"/>
        <w:rPr>
          <w:rFonts w:ascii="Arial" w:cs="Arial" w:eastAsia="Arial" w:hAnsi="Arial"/>
          <w:sz w:val="22"/>
          <w:szCs w:val="22"/>
          <w:b w:val="1"/>
          <w:bCs w:val="1"/>
          <w:color w:val="auto"/>
        </w:rPr>
      </w:pPr>
    </w:p>
    <w:p>
      <w:pPr>
        <w:ind w:left="1760"/>
        <w:spacing w:after="0"/>
        <w:rPr>
          <w:rFonts w:ascii="Arial" w:cs="Arial" w:eastAsia="Arial" w:hAnsi="Arial"/>
          <w:sz w:val="22"/>
          <w:szCs w:val="22"/>
          <w:b w:val="1"/>
          <w:bCs w:val="1"/>
          <w:color w:val="auto"/>
        </w:rPr>
      </w:pPr>
      <w:r>
        <w:rPr>
          <w:rFonts w:ascii="Arial" w:cs="Arial" w:eastAsia="Arial" w:hAnsi="Arial"/>
          <w:sz w:val="22"/>
          <w:szCs w:val="22"/>
          <w:color w:val="auto"/>
        </w:rPr>
        <w:t>St. Lois, MO 63144</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60" w:right="5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Wellington Group Holdings LLP Wellington Investment Advisors Holdings LLP Wellington Management Company LLP</w:t>
      </w:r>
    </w:p>
    <w:p>
      <w:pPr>
        <w:spacing w:after="0" w:line="92" w:lineRule="exact"/>
        <w:rPr>
          <w:rFonts w:ascii="Arial" w:cs="Arial" w:eastAsia="Arial" w:hAnsi="Arial"/>
          <w:sz w:val="22"/>
          <w:szCs w:val="22"/>
          <w:b w:val="1"/>
          <w:bCs w:val="1"/>
          <w:color w:val="auto"/>
        </w:rPr>
      </w:pPr>
    </w:p>
    <w:p>
      <w:pPr>
        <w:ind w:left="1760" w:right="3880" w:hanging="401"/>
        <w:spacing w:after="0" w:line="241" w:lineRule="auto"/>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spacing w:after="0" w:line="1" w:lineRule="exact"/>
        <w:rPr>
          <w:rFonts w:ascii="Arial" w:cs="Arial" w:eastAsia="Arial" w:hAnsi="Arial"/>
          <w:sz w:val="22"/>
          <w:szCs w:val="22"/>
          <w:b w:val="1"/>
          <w:bCs w:val="1"/>
          <w:color w:val="auto"/>
        </w:rPr>
      </w:pPr>
    </w:p>
    <w:p>
      <w:pPr>
        <w:ind w:left="1760" w:right="75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60" w:hanging="401"/>
        <w:spacing w:after="0"/>
        <w:tabs>
          <w:tab w:leader="none" w:pos="17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w:t>
      </w:r>
    </w:p>
    <w:p>
      <w:pPr>
        <w:spacing w:after="0" w:line="14" w:lineRule="exact"/>
        <w:rPr>
          <w:rFonts w:ascii="Arial" w:cs="Arial" w:eastAsia="Arial" w:hAnsi="Arial"/>
          <w:sz w:val="22"/>
          <w:szCs w:val="22"/>
          <w:b w:val="1"/>
          <w:bCs w:val="1"/>
          <w:color w:val="auto"/>
        </w:rPr>
      </w:pPr>
    </w:p>
    <w:p>
      <w:pPr>
        <w:ind w:left="1760" w:right="4180"/>
        <w:spacing w:after="0" w:line="246" w:lineRule="auto"/>
        <w:rPr>
          <w:rFonts w:ascii="Arial" w:cs="Arial" w:eastAsia="Arial" w:hAnsi="Arial"/>
          <w:sz w:val="22"/>
          <w:szCs w:val="22"/>
          <w:b w:val="1"/>
          <w:bCs w:val="1"/>
          <w:color w:val="auto"/>
        </w:rPr>
      </w:pPr>
      <w:r>
        <w:rPr>
          <w:rFonts w:ascii="Arial" w:cs="Arial" w:eastAsia="Arial" w:hAnsi="Arial"/>
          <w:sz w:val="21"/>
          <w:szCs w:val="21"/>
          <w:color w:val="auto"/>
        </w:rPr>
        <w:t>Wellington Management Group LLP - Massachusetts Wellington Group Holdings LLP - Delaware Wellington Investment Advisors Holdings LLP - Delaware Wellington Management Company LLP - Delaware</w:t>
      </w:r>
    </w:p>
    <w:p>
      <w:pPr>
        <w:spacing w:after="0" w:line="92" w:lineRule="exact"/>
        <w:rPr>
          <w:rFonts w:ascii="Arial" w:cs="Arial" w:eastAsia="Arial" w:hAnsi="Arial"/>
          <w:sz w:val="22"/>
          <w:szCs w:val="22"/>
          <w:b w:val="1"/>
          <w:bCs w:val="1"/>
          <w:color w:val="auto"/>
        </w:rPr>
      </w:pPr>
    </w:p>
    <w:p>
      <w:pPr>
        <w:ind w:left="1760" w:right="688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760" w:right="7800" w:hanging="401"/>
        <w:spacing w:after="0" w:line="334" w:lineRule="auto"/>
        <w:tabs>
          <w:tab w:leader="none" w:pos="176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079823100</w:t>
      </w:r>
    </w:p>
    <w:p>
      <w:pPr>
        <w:spacing w:after="0" w:line="13" w:lineRule="exact"/>
        <w:rPr>
          <w:sz w:val="20"/>
          <w:szCs w:val="20"/>
          <w:color w:val="auto"/>
        </w:rPr>
      </w:pPr>
    </w:p>
    <w:p>
      <w:pPr>
        <w:ind w:left="1360" w:hanging="1349"/>
        <w:spacing w:after="0" w:line="256" w:lineRule="auto"/>
        <w:tabs>
          <w:tab w:leader="none" w:pos="13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7" w:lineRule="exact"/>
        <w:rPr>
          <w:sz w:val="20"/>
          <w:szCs w:val="20"/>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20" w:right="12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 *</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1"/>
          <w:szCs w:val="21"/>
          <w:color w:val="auto"/>
        </w:rPr>
      </w:pPr>
      <w:r>
        <w:rPr>
          <w:rFonts w:ascii="Arial" w:cs="Arial" w:eastAsia="Arial" w:hAnsi="Arial"/>
          <w:sz w:val="21"/>
          <w:szCs w:val="21"/>
          <w:color w:val="auto"/>
        </w:rPr>
        <w:t>[ ]   An employee benefit plan or endowment fund in accordance with Rule 240.13d-1(b)(1)(ii)(F);</w:t>
      </w:r>
    </w:p>
    <w:p>
      <w:pPr>
        <w:spacing w:after="0" w:line="136" w:lineRule="exact"/>
        <w:rPr>
          <w:rFonts w:ascii="Arial" w:cs="Arial" w:eastAsia="Arial" w:hAnsi="Arial"/>
          <w:sz w:val="21"/>
          <w:szCs w:val="21"/>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 parent holding company or control person in accordance with Rule 240.13d-1(b)(1)(ii)(G);</w:t>
      </w:r>
    </w:p>
    <w:p>
      <w:pPr>
        <w:spacing w:after="0" w:line="125" w:lineRule="exact"/>
        <w:rPr>
          <w:rFonts w:ascii="Arial" w:cs="Arial" w:eastAsia="Arial" w:hAnsi="Arial"/>
          <w:sz w:val="22"/>
          <w:szCs w:val="22"/>
          <w:color w:val="auto"/>
        </w:rPr>
      </w:pPr>
    </w:p>
    <w:p>
      <w:pPr>
        <w:ind w:left="2220" w:right="46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savings association as defined in Section 3(b) of the Federal Deposit Insurance Act (12 U.S.C. 1813);</w:t>
      </w:r>
    </w:p>
    <w:p>
      <w:pPr>
        <w:spacing w:after="0" w:line="93" w:lineRule="exact"/>
        <w:rPr>
          <w:rFonts w:ascii="Arial" w:cs="Arial" w:eastAsia="Arial" w:hAnsi="Arial"/>
          <w:sz w:val="22"/>
          <w:szCs w:val="22"/>
          <w:color w:val="auto"/>
        </w:rPr>
      </w:pPr>
    </w:p>
    <w:p>
      <w:pPr>
        <w:ind w:left="2220" w:right="140" w:hanging="861"/>
        <w:spacing w:after="0" w:line="250" w:lineRule="auto"/>
        <w:tabs>
          <w:tab w:leader="none" w:pos="176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3" w:lineRule="exact"/>
        <w:rPr>
          <w:rFonts w:ascii="Arial" w:cs="Arial" w:eastAsia="Arial" w:hAnsi="Arial"/>
          <w:sz w:val="22"/>
          <w:szCs w:val="22"/>
          <w:color w:val="auto"/>
        </w:rPr>
      </w:pPr>
    </w:p>
    <w:p>
      <w:pPr>
        <w:ind w:left="1760" w:hanging="401"/>
        <w:spacing w:after="0"/>
        <w:tabs>
          <w:tab w:leader="none" w:pos="176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25"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Group LLP - HC</w:t>
      </w:r>
    </w:p>
    <w:p>
      <w:pPr>
        <w:ind w:left="1360"/>
        <w:spacing w:after="0" w:line="238" w:lineRule="auto"/>
        <w:rPr>
          <w:sz w:val="20"/>
          <w:szCs w:val="20"/>
          <w:color w:val="auto"/>
        </w:rPr>
      </w:pPr>
      <w:r>
        <w:rPr>
          <w:rFonts w:ascii="Arial" w:cs="Arial" w:eastAsia="Arial" w:hAnsi="Arial"/>
          <w:sz w:val="22"/>
          <w:szCs w:val="22"/>
          <w:color w:val="auto"/>
        </w:rPr>
        <w:t>Wellington Group Holdings LLP - HC</w:t>
      </w:r>
    </w:p>
    <w:p>
      <w:pPr>
        <w:ind w:left="1360"/>
        <w:spacing w:after="0" w:line="230" w:lineRule="auto"/>
        <w:rPr>
          <w:sz w:val="20"/>
          <w:szCs w:val="20"/>
          <w:color w:val="auto"/>
        </w:rPr>
      </w:pPr>
      <w:r>
        <w:rPr>
          <w:rFonts w:ascii="Arial" w:cs="Arial" w:eastAsia="Arial" w:hAnsi="Arial"/>
          <w:sz w:val="22"/>
          <w:szCs w:val="22"/>
          <w:color w:val="auto"/>
        </w:rPr>
        <w:t>Wellington Investment Advisors Holdings LLP - HC</w:t>
      </w:r>
    </w:p>
    <w:p>
      <w:pPr>
        <w:spacing w:after="0" w:line="1" w:lineRule="exact"/>
        <w:rPr>
          <w:sz w:val="20"/>
          <w:szCs w:val="20"/>
          <w:color w:val="auto"/>
        </w:rPr>
      </w:pPr>
    </w:p>
    <w:p>
      <w:pPr>
        <w:ind w:left="1360"/>
        <w:spacing w:after="0"/>
        <w:rPr>
          <w:sz w:val="20"/>
          <w:szCs w:val="20"/>
          <w:color w:val="auto"/>
        </w:rPr>
      </w:pPr>
      <w:r>
        <w:rPr>
          <w:rFonts w:ascii="Arial" w:cs="Arial" w:eastAsia="Arial" w:hAnsi="Arial"/>
          <w:sz w:val="22"/>
          <w:szCs w:val="22"/>
          <w:color w:val="auto"/>
        </w:rPr>
        <w:t>Wellington Management Company LLP - IA</w:t>
      </w:r>
    </w:p>
    <w:p>
      <w:pPr>
        <w:spacing w:after="0" w:line="101"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ind w:right="68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9 on the attached cover pages.</w:t>
      </w:r>
    </w:p>
    <w:p>
      <w:pPr>
        <w:spacing w:after="0" w:line="125" w:lineRule="exact"/>
        <w:rPr>
          <w:rFonts w:ascii="Arial" w:cs="Arial" w:eastAsia="Arial" w:hAnsi="Arial"/>
          <w:sz w:val="22"/>
          <w:szCs w:val="22"/>
          <w:color w:val="auto"/>
        </w:rPr>
      </w:pPr>
    </w:p>
    <w:p>
      <w:pPr>
        <w:ind w:left="1760" w:hanging="401"/>
        <w:spacing w:after="0"/>
        <w:tabs>
          <w:tab w:leader="none" w:pos="176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60"/>
        <w:spacing w:after="0"/>
        <w:rPr>
          <w:rFonts w:ascii="Arial" w:cs="Arial" w:eastAsia="Arial" w:hAnsi="Arial"/>
          <w:sz w:val="22"/>
          <w:szCs w:val="22"/>
          <w:color w:val="auto"/>
        </w:rPr>
      </w:pPr>
      <w:r>
        <w:rPr>
          <w:rFonts w:ascii="Arial" w:cs="Arial" w:eastAsia="Arial" w:hAnsi="Arial"/>
          <w:sz w:val="22"/>
          <w:szCs w:val="22"/>
          <w:color w:val="auto"/>
        </w:rPr>
        <w:t>See the responses to Item 11 on the attached cover pages.</w:t>
      </w:r>
    </w:p>
    <w:p>
      <w:pPr>
        <w:sectPr>
          <w:pgSz w:w="11900" w:h="16907" w:orient="portrait"/>
          <w:cols w:equalWidth="0" w:num="1">
            <w:col w:w="11040"/>
          </w:cols>
          <w:pgMar w:left="400" w:top="409" w:right="459" w:bottom="0" w:gutter="0" w:footer="0" w:header="0"/>
        </w:sectPr>
      </w:pPr>
    </w:p>
    <w:bookmarkStart w:id="6" w:name="page7"/>
    <w:bookmarkEnd w:id="6"/>
    <w:p>
      <w:pPr>
        <w:spacing w:after="0" w:line="63" w:lineRule="exact"/>
        <w:rPr>
          <w:sz w:val="20"/>
          <w:szCs w:val="20"/>
          <w:color w:val="auto"/>
        </w:rPr>
      </w:pPr>
    </w:p>
    <w:p>
      <w:pPr>
        <w:ind w:left="1760" w:hanging="401"/>
        <w:spacing w:after="0"/>
        <w:tabs>
          <w:tab w:leader="none" w:pos="17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Number of shares as to which such person has:</w:t>
      </w:r>
    </w:p>
    <w:p>
      <w:pPr>
        <w:spacing w:after="0" w:line="159" w:lineRule="exact"/>
        <w:rPr>
          <w:rFonts w:ascii="Arial" w:cs="Arial" w:eastAsia="Arial" w:hAnsi="Arial"/>
          <w:sz w:val="19"/>
          <w:szCs w:val="19"/>
          <w:color w:val="auto"/>
        </w:rPr>
      </w:pPr>
    </w:p>
    <w:p>
      <w:pPr>
        <w:ind w:left="2220" w:hanging="456"/>
        <w:spacing w:after="0"/>
        <w:tabs>
          <w:tab w:leader="none" w:pos="2220" w:val="left"/>
        </w:tabs>
        <w:numPr>
          <w:ilvl w:val="1"/>
          <w:numId w:val="6"/>
        </w:numPr>
        <w:rPr>
          <w:rFonts w:ascii="Arial" w:cs="Arial" w:eastAsia="Arial" w:hAnsi="Arial"/>
          <w:sz w:val="21"/>
          <w:szCs w:val="21"/>
          <w:color w:val="auto"/>
        </w:rPr>
      </w:pPr>
      <w:r>
        <w:rPr>
          <w:rFonts w:ascii="Arial" w:cs="Arial" w:eastAsia="Arial" w:hAnsi="Arial"/>
          <w:sz w:val="21"/>
          <w:szCs w:val="21"/>
          <w:color w:val="auto"/>
        </w:rPr>
        <w:t>sole power to vote or to direct the vote</w:t>
      </w:r>
    </w:p>
    <w:p>
      <w:pPr>
        <w:spacing w:after="0" w:line="258" w:lineRule="exact"/>
        <w:rPr>
          <w:rFonts w:ascii="Arial" w:cs="Arial" w:eastAsia="Arial" w:hAnsi="Arial"/>
          <w:sz w:val="21"/>
          <w:szCs w:val="21"/>
          <w:color w:val="auto"/>
        </w:rPr>
      </w:pPr>
    </w:p>
    <w:p>
      <w:pPr>
        <w:ind w:left="2220" w:hanging="456"/>
        <w:spacing w:after="0"/>
        <w:tabs>
          <w:tab w:leader="none" w:pos="2220" w:val="left"/>
        </w:tabs>
        <w:numPr>
          <w:ilvl w:val="1"/>
          <w:numId w:val="6"/>
        </w:numPr>
        <w:rPr>
          <w:rFonts w:ascii="Arial" w:cs="Arial" w:eastAsia="Arial" w:hAnsi="Arial"/>
          <w:sz w:val="19"/>
          <w:szCs w:val="19"/>
          <w:color w:val="auto"/>
        </w:rPr>
      </w:pPr>
      <w:r>
        <w:rPr>
          <w:rFonts w:ascii="Arial" w:cs="Arial" w:eastAsia="Arial" w:hAnsi="Arial"/>
          <w:sz w:val="19"/>
          <w:szCs w:val="19"/>
          <w:color w:val="auto"/>
        </w:rPr>
        <w:t>shared power to vote or to direct the vote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125" w:lineRule="exact"/>
        <w:rPr>
          <w:sz w:val="20"/>
          <w:szCs w:val="20"/>
          <w:color w:val="auto"/>
        </w:rPr>
      </w:pPr>
    </w:p>
    <w:p>
      <w:pPr>
        <w:ind w:right="80"/>
        <w:spacing w:after="0" w:line="245" w:lineRule="auto"/>
        <w:rPr>
          <w:sz w:val="20"/>
          <w:szCs w:val="20"/>
          <w:color w:val="auto"/>
        </w:rPr>
      </w:pPr>
      <w:r>
        <w:rPr>
          <w:rFonts w:ascii="Arial" w:cs="Arial" w:eastAsia="Arial" w:hAnsi="Arial"/>
          <w:sz w:val="22"/>
          <w:szCs w:val="22"/>
          <w:color w:val="auto"/>
        </w:rPr>
        <w:t>See the responses to Item 6 on the attached cover pages.</w:t>
      </w:r>
    </w:p>
    <w:p>
      <w:pPr>
        <w:spacing w:after="0" w:line="59" w:lineRule="exact"/>
        <w:rPr>
          <w:sz w:val="20"/>
          <w:szCs w:val="20"/>
          <w:color w:val="auto"/>
        </w:rPr>
      </w:pPr>
    </w:p>
    <w:p>
      <w:pPr>
        <w:sectPr>
          <w:pgSz w:w="11900" w:h="16901" w:orient="portrait"/>
          <w:cols w:equalWidth="0" w:num="2">
            <w:col w:w="5900" w:space="720"/>
            <w:col w:w="4320"/>
          </w:cols>
          <w:pgMar w:left="400" w:top="253" w:right="559" w:bottom="0" w:gutter="0" w:footer="0" w:header="0"/>
        </w:sectPr>
      </w:pPr>
    </w:p>
    <w:p>
      <w:pPr>
        <w:ind w:left="2220" w:hanging="456"/>
        <w:spacing w:after="0"/>
        <w:tabs>
          <w:tab w:leader="none" w:pos="2220" w:val="left"/>
        </w:tabs>
        <w:numPr>
          <w:ilvl w:val="0"/>
          <w:numId w:val="7"/>
        </w:numPr>
        <w:rPr>
          <w:rFonts w:ascii="Arial" w:cs="Arial" w:eastAsia="Arial" w:hAnsi="Arial"/>
          <w:sz w:val="34"/>
          <w:szCs w:val="34"/>
          <w:color w:val="auto"/>
          <w:vertAlign w:val="subscript"/>
        </w:rPr>
      </w:pPr>
      <w:r>
        <w:rPr>
          <w:rFonts w:ascii="Arial" w:cs="Arial" w:eastAsia="Arial" w:hAnsi="Arial"/>
          <w:sz w:val="18"/>
          <w:szCs w:val="18"/>
          <w:color w:val="auto"/>
        </w:rPr>
        <w:t>sole</w:t>
      </w:r>
      <w:r>
        <w:rPr>
          <w:rFonts w:ascii="Arial" w:cs="Arial" w:eastAsia="Arial" w:hAnsi="Arial"/>
          <w:sz w:val="34"/>
          <w:szCs w:val="34"/>
          <w:color w:val="auto"/>
          <w:vertAlign w:val="subscript"/>
        </w:rPr>
        <w:t>of</w:t>
      </w:r>
      <w:r>
        <w:rPr>
          <w:rFonts w:ascii="Arial" w:cs="Arial" w:eastAsia="Arial" w:hAnsi="Arial"/>
          <w:sz w:val="18"/>
          <w:szCs w:val="18"/>
          <w:color w:val="auto"/>
        </w:rPr>
        <w:t xml:space="preserve"> power to dispose or to direct the disposition</w:t>
      </w:r>
    </w:p>
    <w:p>
      <w:pPr>
        <w:spacing w:after="0" w:line="275" w:lineRule="exact"/>
        <w:rPr>
          <w:rFonts w:ascii="Arial" w:cs="Arial" w:eastAsia="Arial" w:hAnsi="Arial"/>
          <w:sz w:val="34"/>
          <w:szCs w:val="34"/>
          <w:color w:val="auto"/>
          <w:vertAlign w:val="subscript"/>
        </w:rPr>
      </w:pPr>
    </w:p>
    <w:p>
      <w:pPr>
        <w:ind w:left="2220" w:right="800" w:hanging="456"/>
        <w:spacing w:after="0" w:line="183" w:lineRule="auto"/>
        <w:tabs>
          <w:tab w:leader="none" w:pos="2220" w:val="left"/>
        </w:tabs>
        <w:numPr>
          <w:ilvl w:val="0"/>
          <w:numId w:val="7"/>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color w:val="auto"/>
        </w:rPr>
        <w:t>See the responses to Item 8 on the attached cover pages.</w:t>
      </w:r>
    </w:p>
    <w:p>
      <w:pPr>
        <w:spacing w:after="0" w:line="88" w:lineRule="exact"/>
        <w:rPr>
          <w:sz w:val="20"/>
          <w:szCs w:val="20"/>
          <w:color w:val="auto"/>
        </w:rPr>
      </w:pPr>
    </w:p>
    <w:p>
      <w:pPr>
        <w:sectPr>
          <w:pgSz w:w="11900" w:h="16901" w:orient="portrait"/>
          <w:cols w:equalWidth="0" w:num="2">
            <w:col w:w="6420" w:space="200"/>
            <w:col w:w="4320"/>
          </w:cols>
          <w:pgMar w:left="400" w:top="253" w:right="55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94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Five Percent or Less of Class.</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3"/>
              </w:rPr>
              <w:t>The securities as to which this Schedule is filed are owned of record by clients of one or more investment</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4"/>
              </w:rPr>
              <w:t>advisers identified in Exhibit A directly or indirectly owned by Wellington Management Group LLP. Those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9"/>
              </w:rPr>
              <w:t>clients have the right to receive, or the power to direct the receipt of, dividends from, or the proceeds from the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2"/>
              </w:rPr>
              <w:t>sale of, such securities. No such client is known to have such right or power with respect to more than five</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percent of this class of securities, except as follows:</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w:t>
            </w:r>
          </w:p>
        </w:tc>
      </w:tr>
      <w:tr>
        <w:trPr>
          <w:trHeight w:val="280"/>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See attached Exhibit A.</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000" w:type="dxa"/>
            <w:vAlign w:val="bottom"/>
            <w:gridSpan w:val="3"/>
          </w:tcPr>
          <w:p>
            <w:pPr>
              <w:ind w:left="42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1"/>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87"/>
              </w:rPr>
              <w:t>acquired and are held in the ordinary course of business and were not acquired and are not held for the purpose</w:t>
            </w:r>
          </w:p>
        </w:tc>
      </w:tr>
      <w:tr>
        <w:trPr>
          <w:trHeight w:val="243"/>
        </w:trPr>
        <w:tc>
          <w:tcPr>
            <w:tcW w:w="940" w:type="dxa"/>
            <w:vAlign w:val="bottom"/>
          </w:tcPr>
          <w:p>
            <w:pPr>
              <w:spacing w:after="0"/>
              <w:rPr>
                <w:sz w:val="21"/>
                <w:szCs w:val="21"/>
                <w:color w:val="auto"/>
              </w:rPr>
            </w:pPr>
          </w:p>
        </w:tc>
        <w:tc>
          <w:tcPr>
            <w:tcW w:w="10000" w:type="dxa"/>
            <w:vAlign w:val="bottom"/>
            <w:gridSpan w:val="3"/>
          </w:tcPr>
          <w:p>
            <w:pPr>
              <w:ind w:left="420"/>
              <w:spacing w:after="0" w:line="243" w:lineRule="exact"/>
              <w:rPr>
                <w:sz w:val="20"/>
                <w:szCs w:val="20"/>
                <w:color w:val="auto"/>
              </w:rPr>
            </w:pPr>
            <w:r>
              <w:rPr>
                <w:rFonts w:ascii="Arial" w:cs="Arial" w:eastAsia="Arial" w:hAnsi="Arial"/>
                <w:sz w:val="22"/>
                <w:szCs w:val="22"/>
                <w:color w:val="auto"/>
                <w:w w:val="90"/>
              </w:rPr>
              <w:t>of or with the effect of changing or influencing the control of the issuer of the securities and were not acquired</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420"/>
              <w:spacing w:after="0"/>
              <w:rPr>
                <w:sz w:val="20"/>
                <w:szCs w:val="20"/>
                <w:color w:val="auto"/>
              </w:rPr>
            </w:pPr>
            <w:r>
              <w:rPr>
                <w:rFonts w:ascii="Arial" w:cs="Arial" w:eastAsia="Arial" w:hAnsi="Arial"/>
                <w:sz w:val="22"/>
                <w:szCs w:val="22"/>
                <w:color w:val="auto"/>
                <w:w w:val="96"/>
              </w:rPr>
              <w:t>and 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100" w:type="dxa"/>
            <w:vAlign w:val="bottom"/>
            <w:gridSpan w:val="2"/>
          </w:tcPr>
          <w:p>
            <w:pPr>
              <w:ind w:left="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4"/>
        </w:trPr>
        <w:tc>
          <w:tcPr>
            <w:tcW w:w="940" w:type="dxa"/>
            <w:vAlign w:val="bottom"/>
          </w:tcPr>
          <w:p>
            <w:pPr>
              <w:spacing w:after="0"/>
              <w:rPr>
                <w:sz w:val="23"/>
                <w:szCs w:val="23"/>
                <w:color w:val="auto"/>
              </w:rPr>
            </w:pPr>
          </w:p>
        </w:tc>
        <w:tc>
          <w:tcPr>
            <w:tcW w:w="10000" w:type="dxa"/>
            <w:vAlign w:val="bottom"/>
            <w:gridSpan w:val="3"/>
          </w:tcPr>
          <w:p>
            <w:pPr>
              <w:ind w:left="16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Management Group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Borders>
              <w:left w:val="single" w:sz="8" w:color="auto"/>
            </w:tcBorders>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Group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Title: Regulatory Analyst</w:t>
            </w:r>
          </w:p>
        </w:tc>
      </w:tr>
      <w:tr>
        <w:trPr>
          <w:trHeight w:val="297"/>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Date: February 15, 2021</w:t>
            </w:r>
          </w:p>
        </w:tc>
      </w:tr>
      <w:tr>
        <w:trPr>
          <w:trHeight w:val="594"/>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By: Wellington Investment Advisors Holdings LLP</w:t>
            </w:r>
          </w:p>
        </w:tc>
      </w:tr>
      <w:tr>
        <w:trPr>
          <w:trHeight w:val="246"/>
        </w:trPr>
        <w:tc>
          <w:tcPr>
            <w:tcW w:w="940" w:type="dxa"/>
            <w:vAlign w:val="bottom"/>
          </w:tcPr>
          <w:p>
            <w:pPr>
              <w:spacing w:after="0"/>
              <w:rPr>
                <w:sz w:val="21"/>
                <w:szCs w:val="21"/>
                <w:color w:val="auto"/>
              </w:rPr>
            </w:pPr>
          </w:p>
        </w:tc>
        <w:tc>
          <w:tcPr>
            <w:tcW w:w="10000" w:type="dxa"/>
            <w:vAlign w:val="bottom"/>
            <w:gridSpan w:val="3"/>
          </w:tcPr>
          <w:p>
            <w:pPr>
              <w:ind w:left="3540"/>
              <w:spacing w:after="0" w:line="246" w:lineRule="exact"/>
              <w:rPr>
                <w:sz w:val="20"/>
                <w:szCs w:val="20"/>
                <w:color w:val="auto"/>
              </w:rPr>
            </w:pPr>
            <w:r>
              <w:rPr>
                <w:rFonts w:ascii="Arial" w:cs="Arial" w:eastAsia="Arial" w:hAnsi="Arial"/>
                <w:sz w:val="22"/>
                <w:szCs w:val="22"/>
                <w:color w:val="auto"/>
              </w:rPr>
              <w:t>By: /s/ Taisia Lowe</w:t>
            </w:r>
          </w:p>
        </w:tc>
      </w:tr>
      <w:tr>
        <w:trPr>
          <w:trHeight w:val="20"/>
        </w:trPr>
        <w:tc>
          <w:tcPr>
            <w:tcW w:w="9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000" w:type="dxa"/>
            <w:vAlign w:val="bottom"/>
            <w:gridSpan w:val="3"/>
          </w:tcPr>
          <w:p>
            <w:pPr>
              <w:ind w:left="3540"/>
              <w:spacing w:after="0"/>
              <w:rPr>
                <w:sz w:val="20"/>
                <w:szCs w:val="20"/>
                <w:color w:val="auto"/>
              </w:rPr>
            </w:pPr>
            <w:r>
              <w:rPr>
                <w:rFonts w:ascii="Arial" w:cs="Arial" w:eastAsia="Arial" w:hAnsi="Arial"/>
                <w:sz w:val="22"/>
                <w:szCs w:val="22"/>
                <w:color w:val="auto"/>
              </w:rPr>
              <w:t>Name: Taisia Lowe</w:t>
            </w:r>
          </w:p>
        </w:tc>
      </w:tr>
    </w:tbl>
    <w:p>
      <w:pPr>
        <w:sectPr>
          <w:pgSz w:w="11900" w:h="16901" w:orient="portrait"/>
          <w:cols w:equalWidth="0" w:num="1">
            <w:col w:w="10940"/>
          </w:cols>
          <w:pgMar w:left="400" w:top="253" w:right="559" w:bottom="0" w:gutter="0" w:footer="0" w:header="0"/>
          <w:type w:val="continuous"/>
        </w:sectPr>
      </w:pPr>
    </w:p>
    <w:bookmarkStart w:id="7" w:name="page8"/>
    <w:bookmarkEnd w:id="7"/>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356870</wp:posOffset>
            </wp:positionV>
            <wp:extent cx="573024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A</w:t>
      </w:r>
    </w:p>
    <w:p>
      <w:pPr>
        <w:spacing w:after="0" w:line="320" w:lineRule="exact"/>
        <w:rPr>
          <w:sz w:val="20"/>
          <w:szCs w:val="20"/>
          <w:color w:val="auto"/>
        </w:rPr>
      </w:pPr>
    </w:p>
    <w:p>
      <w:pPr>
        <w:ind w:left="60" w:right="219"/>
        <w:spacing w:after="0"/>
        <w:rPr>
          <w:sz w:val="20"/>
          <w:szCs w:val="20"/>
          <w:color w:val="auto"/>
        </w:rPr>
      </w:pPr>
      <w:r>
        <w:rPr>
          <w:rFonts w:ascii="Arial" w:cs="Arial" w:eastAsia="Arial" w:hAnsi="Arial"/>
          <w:sz w:val="22"/>
          <w:szCs w:val="22"/>
          <w:color w:val="auto"/>
        </w:rPr>
        <w:t>Pursuant to the instructions in Item 7 of Schedule 13G, the following lists the identity and Item 3 classification of each relevant entity that beneficially owns shares of the security class being reported on this Schedule 13G.</w:t>
      </w:r>
    </w:p>
    <w:p>
      <w:pPr>
        <w:spacing w:after="0" w:line="267" w:lineRule="exact"/>
        <w:rPr>
          <w:sz w:val="20"/>
          <w:szCs w:val="20"/>
          <w:color w:val="auto"/>
        </w:rPr>
      </w:pPr>
    </w:p>
    <w:p>
      <w:pPr>
        <w:ind w:left="60" w:right="4399"/>
        <w:spacing w:after="0" w:line="311" w:lineRule="auto"/>
        <w:rPr>
          <w:sz w:val="20"/>
          <w:szCs w:val="20"/>
          <w:color w:val="auto"/>
        </w:rPr>
      </w:pPr>
      <w:r>
        <w:rPr>
          <w:rFonts w:ascii="Arial" w:cs="Arial" w:eastAsia="Arial" w:hAnsi="Arial"/>
          <w:sz w:val="21"/>
          <w:szCs w:val="21"/>
          <w:color w:val="auto"/>
        </w:rPr>
        <w:t>Wellington Group Holdings LLP – HC Wellington Investment Advisors LLP – HC Wellington Management Global Holdings, Ltd. - HC</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22"/>
          <w:szCs w:val="22"/>
          <w:color w:val="auto"/>
        </w:rPr>
        <w:t>One or more of the following investment advisers (the “Wellington Investment Advisers”):</w:t>
      </w:r>
    </w:p>
    <w:p>
      <w:pPr>
        <w:spacing w:after="0" w:line="287"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Company LLP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Canada LLC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Singapore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Hong Kong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International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Japan Pte Ltd – IA</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22"/>
          <w:szCs w:val="22"/>
          <w:color w:val="auto"/>
        </w:rPr>
        <w:t>Wellington Management Australia Pty Ltd - IA</w:t>
      </w:r>
    </w:p>
    <w:p>
      <w:pPr>
        <w:spacing w:after="0" w:line="287" w:lineRule="exact"/>
        <w:rPr>
          <w:sz w:val="20"/>
          <w:szCs w:val="20"/>
          <w:color w:val="auto"/>
        </w:rPr>
      </w:pPr>
    </w:p>
    <w:p>
      <w:pPr>
        <w:ind w:left="60" w:right="119"/>
        <w:spacing w:after="0" w:line="234" w:lineRule="auto"/>
        <w:rPr>
          <w:sz w:val="20"/>
          <w:szCs w:val="20"/>
          <w:color w:val="auto"/>
        </w:rPr>
      </w:pPr>
      <w:r>
        <w:rPr>
          <w:rFonts w:ascii="Arial" w:cs="Arial" w:eastAsia="Arial" w:hAnsi="Arial"/>
          <w:sz w:val="22"/>
          <w:szCs w:val="22"/>
          <w:color w:val="auto"/>
        </w:rPr>
        <w:t>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158115</wp:posOffset>
            </wp:positionV>
            <wp:extent cx="573024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B</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320" w:lineRule="exact"/>
        <w:rPr>
          <w:sz w:val="20"/>
          <w:szCs w:val="20"/>
          <w:color w:val="auto"/>
        </w:rPr>
      </w:pPr>
    </w:p>
    <w:p>
      <w:pPr>
        <w:ind w:left="60" w:right="199"/>
        <w:spacing w:after="0" w:line="272" w:lineRule="auto"/>
        <w:rPr>
          <w:sz w:val="20"/>
          <w:szCs w:val="20"/>
          <w:color w:val="auto"/>
        </w:rPr>
      </w:pPr>
      <w:r>
        <w:rPr>
          <w:rFonts w:ascii="Arial" w:cs="Arial" w:eastAsia="Arial" w:hAnsi="Arial"/>
          <w:sz w:val="19"/>
          <w:szCs w:val="19"/>
          <w:color w:val="auto"/>
        </w:rPr>
        <w:t>The undersigned hereby agree that this Schedule 13G (the “Schedule 13G”) with respect to the common stock of BellRing Brands,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07"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ectPr>
          <w:pgSz w:w="11900" w:h="16838" w:orient="portrait"/>
          <w:cols w:equalWidth="0" w:num="1">
            <w:col w:w="9019"/>
          </w:cols>
          <w:pgMar w:left="1440" w:top="145" w:right="1440" w:bottom="0" w:gutter="0" w:footer="0" w:header="0"/>
        </w:sectPr>
      </w:pPr>
    </w:p>
    <w:bookmarkStart w:id="8" w:name="page9"/>
    <w:bookmarkEnd w:id="8"/>
    <w:p>
      <w:pPr>
        <w:ind w:left="3440"/>
        <w:spacing w:after="0"/>
        <w:rPr>
          <w:sz w:val="20"/>
          <w:szCs w:val="20"/>
          <w:color w:val="auto"/>
        </w:rPr>
      </w:pPr>
      <w:r>
        <w:rPr>
          <w:rFonts w:ascii="Arial" w:cs="Arial" w:eastAsia="Arial" w:hAnsi="Arial"/>
          <w:sz w:val="22"/>
          <w:szCs w:val="22"/>
          <w:color w:val="auto"/>
        </w:rPr>
        <w:t>Name: Taisia Lowe</w:t>
      </w:r>
    </w:p>
    <w:p>
      <w:pPr>
        <w:spacing w:after="0" w:line="45"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By: Wellington Investment Advisors Holdings LLP</w:t>
      </w:r>
    </w:p>
    <w:p>
      <w:pPr>
        <w:spacing w:after="0" w:line="79"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p>
      <w:pPr>
        <w:spacing w:after="0" w:line="34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Date: February 15, 2021</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24"/>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lvl w:ilvl="1">
      <w:lvlJc w:val="left"/>
      <w:lvlText w:val="(%2)"/>
      <w:numFmt w:val="lowerRoman"/>
      <w:start w:val="1"/>
    </w:lvl>
  </w:abstractNum>
  <w:abstractNum w:abstractNumId="6">
    <w:nsid w:val="41B71EF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2021-02-04T10:06:48Z</dcterms:created>
  <dcterms:modified xsi:type="dcterms:W3CDTF">2021-02-04T10:06:48Z</dcterms:modified>
</cp:coreProperties>
</file>