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DAVENPORT DARCY HORN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BELLRING BRANDS,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2503 S. HANLEY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BELLRING BRANDS, INC.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BRBR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8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11/20/2021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94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PRES. AND CEO</w:t>
      </w:r>
    </w:p>
    <w:p>
      <w:pPr>
        <w:spacing w:after="0" w:line="4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60" w:space="555"/>
            <w:col w:w="3345"/>
          </w:cols>
          <w:pgMar w:left="460" w:top="225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40" w:type="dxa"/>
            <w:vAlign w:val="bottom"/>
            <w:gridSpan w:val="1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gridSpan w:val="6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11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ST. LOUIS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MO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63144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0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10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11/20/2021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8,786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23.11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110,067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300" w:type="dxa"/>
            <w:vAlign w:val="bottom"/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7"/>
              </w:rPr>
              <w:t>1. Surrender of shares in payment of tax withholding due as a result of the vesting of 17,720 RSUs in accordance with Rule 16b-3.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/s/ Craig L. Rosenthal,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11/23/2021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Attorney-in-Fact</w:t>
            </w: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6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-2948305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790322" TargetMode="External"/><Relationship Id="rId13" Type="http://schemas.openxmlformats.org/officeDocument/2006/relationships/hyperlink" Target="http://www.sec.gov/cgi-bin/browse-edgar?action=getcompany&amp;CIK=000177201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2021-11-23T15:55:35Z</dcterms:created>
  <dcterms:modified xsi:type="dcterms:W3CDTF">2021-11-23T15:55:35Z</dcterms:modified>
</cp:coreProperties>
</file>