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BellRing Brands,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07831C103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9,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60" w:hanging="201"/>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060" w:hanging="201"/>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060" w:hanging="201"/>
        <w:spacing w:after="0"/>
        <w:tabs>
          <w:tab w:leader="none" w:pos="10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20" w:type="dxa"/>
            <w:vAlign w:val="bottom"/>
            <w:gridSpan w:val="6"/>
          </w:tcPr>
          <w:p>
            <w:pPr>
              <w:spacing w:after="0"/>
              <w:rPr>
                <w:sz w:val="20"/>
                <w:szCs w:val="20"/>
                <w:color w:val="auto"/>
              </w:rPr>
            </w:pPr>
            <w:r>
              <w:rPr>
                <w:rFonts w:ascii="Arial" w:cs="Arial" w:eastAsia="Arial" w:hAnsi="Arial"/>
                <w:sz w:val="18"/>
                <w:szCs w:val="18"/>
                <w:color w:val="auto"/>
                <w:w w:val="91"/>
              </w:rPr>
              <w:t>CUSIP No. 07831C103</w:t>
            </w:r>
          </w:p>
        </w:tc>
        <w:tc>
          <w:tcPr>
            <w:tcW w:w="6560" w:type="dxa"/>
            <w:vAlign w:val="bottom"/>
          </w:tcPr>
          <w:p>
            <w:pPr>
              <w:ind w:left="3860"/>
              <w:spacing w:after="0"/>
              <w:rPr>
                <w:sz w:val="20"/>
                <w:szCs w:val="20"/>
                <w:color w:val="auto"/>
              </w:rPr>
            </w:pPr>
            <w:r>
              <w:rPr>
                <w:rFonts w:ascii="Arial" w:cs="Arial" w:eastAsia="Arial" w:hAnsi="Arial"/>
                <w:sz w:val="18"/>
                <w:szCs w:val="18"/>
                <w:color w:val="auto"/>
              </w:rPr>
              <w:t>13G</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w w:val="85"/>
              </w:rPr>
              <w:t>Page 2 of 4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4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784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Post Holdings, Inc.</w:t>
            </w: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784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26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20"/>
                <w:szCs w:val="20"/>
                <w:color w:val="auto"/>
              </w:rPr>
            </w:pPr>
            <w:r>
              <w:rPr>
                <w:rFonts w:ascii="Arial" w:cs="Arial" w:eastAsia="Arial" w:hAnsi="Arial"/>
                <w:sz w:val="18"/>
                <w:szCs w:val="18"/>
                <w:color w:val="auto"/>
              </w:rPr>
              <w:t>(b)</w:t>
            </w:r>
          </w:p>
        </w:tc>
        <w:tc>
          <w:tcPr>
            <w:tcW w:w="65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3"/>
              </w:rPr>
              <w:t>SEC Use Only</w:t>
            </w:r>
          </w:p>
        </w:tc>
        <w:tc>
          <w:tcPr>
            <w:tcW w:w="656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4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78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Missouri</w:t>
            </w:r>
          </w:p>
        </w:tc>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2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19,397,339</w:t>
            </w: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Shared Voting Power*</w:t>
            </w:r>
          </w:p>
        </w:tc>
        <w:tc>
          <w:tcPr>
            <w:tcW w:w="2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w w:val="79"/>
              </w:rPr>
              <w:t>0</w:t>
            </w:r>
          </w:p>
        </w:tc>
        <w:tc>
          <w:tcPr>
            <w:tcW w:w="656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68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19,397,339</w:t>
            </w:r>
          </w:p>
        </w:tc>
        <w:tc>
          <w:tcPr>
            <w:tcW w:w="2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684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840" w:type="dxa"/>
            <w:vAlign w:val="bottom"/>
            <w:gridSpan w:val="2"/>
            <w:vMerge w:val="continue"/>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656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684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19,397,339</w:t>
            </w:r>
          </w:p>
        </w:tc>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7840" w:type="dxa"/>
            <w:vAlign w:val="bottom"/>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78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14.2%</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78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Number of shares as of March 10, 2022. See Item 4 below.</w:t>
      </w:r>
    </w:p>
    <w:p>
      <w:pPr>
        <w:sectPr>
          <w:pgSz w:w="11900" w:h="16838" w:orient="portrait"/>
          <w:cols w:equalWidth="0" w:num="1">
            <w:col w:w="11020"/>
          </w:cols>
          <w:pgMar w:left="440" w:top="274" w:right="439" w:bottom="1440" w:gutter="0" w:footer="0" w:header="0"/>
        </w:sectPr>
      </w:pPr>
    </w:p>
    <w:bookmarkStart w:id="2" w:name="page3"/>
    <w:bookmarkEnd w:id="2"/>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07831C103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4 Pages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BellRing Brands, Inc. (“New BellRing”)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 Louis, Missouri 63144</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Post Holdings, Inc. (“Post”)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 Louis, Missouri 63144</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Post is a Missouri corporation.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Common stock, par value $0.01 per share (“Common Stock”)</w:t>
      </w:r>
    </w:p>
    <w:p>
      <w:pPr>
        <w:spacing w:after="0" w:line="329" w:lineRule="exact"/>
        <w:rPr>
          <w:sz w:val="20"/>
          <w:szCs w:val="20"/>
          <w:color w:val="auto"/>
        </w:rPr>
      </w:pPr>
    </w:p>
    <w:p>
      <w:pPr>
        <w:jc w:val="center"/>
        <w:ind w:right="9336"/>
        <w:spacing w:after="0"/>
        <w:rPr>
          <w:sz w:val="20"/>
          <w:szCs w:val="20"/>
          <w:color w:val="auto"/>
        </w:rPr>
      </w:pPr>
      <w:r>
        <w:rPr>
          <w:rFonts w:ascii="Arial" w:cs="Arial" w:eastAsia="Arial" w:hAnsi="Arial"/>
          <w:sz w:val="16"/>
          <w:szCs w:val="16"/>
          <w:b w:val="1"/>
          <w:bCs w:val="1"/>
          <w:color w:val="auto"/>
        </w:rPr>
        <w:t>Item 2(e). CUSIP No.:</w:t>
      </w:r>
    </w:p>
    <w:p>
      <w:pPr>
        <w:spacing w:after="0" w:line="14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07831C103</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i w:val="1"/>
          <w:iCs w:val="1"/>
          <w:color w:val="auto"/>
        </w:rPr>
        <w:t>Explanatory Note</w:t>
      </w:r>
      <w:r>
        <w:rPr>
          <w:rFonts w:ascii="Arial" w:cs="Arial" w:eastAsia="Arial" w:hAnsi="Arial"/>
          <w:sz w:val="16"/>
          <w:szCs w:val="16"/>
          <w:color w:val="auto"/>
        </w:rPr>
        <w:t>: On October 26, 2021, New BellRing (then BellRing Distribution, LLC), a wholly-owned subsidiary of Post,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Agreement and Plan of Merger (as amended February 28, 2022, the “Transaction Agreement”) with Post, BellRing Intermediate Holdings, Inc. (then BellRing Brands, Inc., “Old BellRing”) and BellRing Merger Sub Corporation, a wholly-owned subsidiary of New BellRing (“Merger Sub”). Pursuant to the Transaction Agreement and subject to certain conditions, among other things, (i) on March 9, 2022, Post contributed (such contribution, the “Separation”) its share of BellRing Class B common stock, all of its membership interests of BellRing Brands, LLC and cash to New BellRing in exchange for all of the then-outstanding equity of New BellRing and debt securities of New BellRing, (ii) on March 10, 2022 (the “Closing Date”), New BellRing converted into a Delaware corporation and changed its name to BellRing Brands, Inc., (iii) following the Separation and such conversion, Post distributed an aggregate of 78,076,841 shares of New BellRing Common Stock to Post shareholders in a pro-rata distribution (the “Distribution”) and</w:t>
      </w:r>
    </w:p>
    <w:p>
      <w:pPr>
        <w:spacing w:after="0" w:line="1" w:lineRule="exact"/>
        <w:rPr>
          <w:sz w:val="20"/>
          <w:szCs w:val="20"/>
          <w:color w:val="auto"/>
        </w:rPr>
      </w:pPr>
    </w:p>
    <w:p>
      <w:pPr>
        <w:ind w:left="4" w:right="40" w:hanging="4"/>
        <w:spacing w:after="0" w:line="255" w:lineRule="auto"/>
        <w:tabs>
          <w:tab w:leader="none" w:pos="30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Distribution, Merger Sub merged with and into Old BellRing, with Old BellRing continuing as the surviving corporation and a wholly-owned subsidiary of New BellRing. Immediately following the Distribution, Post owned 19,397,339 shares of Common Stock, or approximately 14.2% of the shares of the Common Stock outstanding as of such time.</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07831C103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4 Pages</w:t>
      </w:r>
    </w:p>
    <w:p>
      <w:pPr>
        <w:spacing w:after="0" w:line="221" w:lineRule="exact"/>
        <w:rPr>
          <w:sz w:val="20"/>
          <w:szCs w:val="20"/>
          <w:color w:val="auto"/>
        </w:rPr>
      </w:pPr>
    </w:p>
    <w:p>
      <w:pPr>
        <w:ind w:left="444" w:right="7860" w:hanging="444"/>
        <w:spacing w:after="0" w:line="488" w:lineRule="auto"/>
        <w:tabs>
          <w:tab w:leader="none" w:pos="2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beneficially owned: </w:t>
      </w:r>
      <w:r>
        <w:rPr>
          <w:rFonts w:ascii="Arial" w:cs="Arial" w:eastAsia="Arial" w:hAnsi="Arial"/>
          <w:sz w:val="16"/>
          <w:szCs w:val="16"/>
          <w:color w:val="auto"/>
        </w:rPr>
        <w:t>19,397,339 shares of Common Stock.</w:t>
      </w:r>
    </w:p>
    <w:p>
      <w:pPr>
        <w:spacing w:after="0" w:line="115" w:lineRule="exact"/>
        <w:rPr>
          <w:rFonts w:ascii="Arial" w:cs="Arial" w:eastAsia="Arial" w:hAnsi="Arial"/>
          <w:sz w:val="16"/>
          <w:szCs w:val="16"/>
          <w:b w:val="1"/>
          <w:bCs w:val="1"/>
          <w:color w:val="auto"/>
        </w:rPr>
      </w:pPr>
    </w:p>
    <w:p>
      <w:pPr>
        <w:ind w:left="264" w:hanging="264"/>
        <w:spacing w:after="0"/>
        <w:tabs>
          <w:tab w:leader="none" w:pos="26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14.2%. The percent of class is determined by dividing the number of shares of Common Stock that Post holds by 136,362,031. The denominator of 136,362,031 is the number of shares of Common Stock of the Issuer issued and outstanding.</w:t>
      </w:r>
    </w:p>
    <w:p>
      <w:pPr>
        <w:spacing w:after="0" w:line="274" w:lineRule="exact"/>
        <w:rPr>
          <w:sz w:val="20"/>
          <w:szCs w:val="20"/>
          <w:color w:val="auto"/>
        </w:rPr>
      </w:pPr>
    </w:p>
    <w:p>
      <w:pPr>
        <w:ind w:left="244" w:hanging="244"/>
        <w:spacing w:after="0"/>
        <w:tabs>
          <w:tab w:leader="none" w:pos="24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4" w:lineRule="exact"/>
        <w:rPr>
          <w:rFonts w:ascii="Arial" w:cs="Arial" w:eastAsia="Arial" w:hAnsi="Arial"/>
          <w:sz w:val="18"/>
          <w:szCs w:val="18"/>
          <w:b w:val="1"/>
          <w:bCs w:val="1"/>
          <w:color w:val="auto"/>
        </w:rPr>
      </w:pPr>
    </w:p>
    <w:p>
      <w:pPr>
        <w:ind w:left="1424" w:right="6740" w:hanging="439"/>
        <w:spacing w:after="0" w:line="383" w:lineRule="auto"/>
        <w:tabs>
          <w:tab w:leader="none" w:pos="1409"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19,397,339</w:t>
      </w:r>
    </w:p>
    <w:p>
      <w:pPr>
        <w:ind w:left="1424" w:right="6560" w:hanging="439"/>
        <w:spacing w:after="0" w:line="383" w:lineRule="auto"/>
        <w:tabs>
          <w:tab w:leader="none" w:pos="1409"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424" w:right="5840" w:hanging="439"/>
        <w:spacing w:after="0" w:line="383" w:lineRule="auto"/>
        <w:tabs>
          <w:tab w:leader="none" w:pos="1409"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19,397,339</w:t>
      </w:r>
    </w:p>
    <w:p>
      <w:pPr>
        <w:ind w:left="1424" w:right="5660" w:hanging="439"/>
        <w:spacing w:after="0" w:line="402" w:lineRule="auto"/>
        <w:tabs>
          <w:tab w:leader="none" w:pos="1409"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4"/>
          </w:cols>
          <w:pgMar w:left="436" w:top="27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color w:val="auto"/>
              </w:rPr>
              <w:t>Date: March 11, 2022</w:t>
            </w:r>
          </w:p>
        </w:tc>
        <w:tc>
          <w:tcPr>
            <w:tcW w:w="7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Post Holdings, Inc.</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Diedre J. Gray</w:t>
            </w:r>
          </w:p>
        </w:tc>
      </w:tr>
      <w:tr>
        <w:trPr>
          <w:trHeight w:val="209"/>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Diedre J. Gray</w:t>
            </w:r>
          </w:p>
        </w:tc>
      </w:tr>
      <w:tr>
        <w:trPr>
          <w:trHeight w:val="216"/>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EVP, General Counsel &amp; Chief Administrative</w:t>
            </w:r>
          </w:p>
        </w:tc>
      </w:tr>
      <w:tr>
        <w:trPr>
          <w:trHeight w:val="230"/>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Officer, Secretary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Roman"/>
      <w:start w:val="4"/>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2022-03-11T15:40:43Z</dcterms:created>
  <dcterms:modified xsi:type="dcterms:W3CDTF">2022-03-11T15:40:43Z</dcterms:modified>
</cp:coreProperties>
</file>