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-234950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5243195</wp:posOffset>
            </wp:positionH>
            <wp:positionV relativeFrom="paragraph">
              <wp:posOffset>-615950</wp:posOffset>
            </wp:positionV>
            <wp:extent cx="57785" cy="629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3955415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-1662430</wp:posOffset>
            </wp:positionH>
            <wp:positionV relativeFrom="paragraph">
              <wp:posOffset>20955</wp:posOffset>
            </wp:positionV>
            <wp:extent cx="7047865" cy="4597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59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JOHNSON JENNIFER KUPERMAN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</w:tcPr>
          <w:p>
            <w:pPr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BELLRING BRANDS, INC.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03/31/2023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2503 S. HANLEY ROAD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63144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60" w:type="dxa"/>
            <w:vAlign w:val="bottom"/>
            <w:gridSpan w:val="1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Brands,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03/31/2023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637.255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637.255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34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11,414.532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Equivalents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260" w:hanging="1"/>
        <w:spacing w:after="0" w:line="237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Common Stock equivalents have no fixed exercisable or expiration dates.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Craig L. Rosenthal,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04/04/2023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4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Attorney-in-Fact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20" w:hanging="1"/>
        <w:spacing w:after="0" w:line="33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90648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2023-04-04T16:58:58Z</dcterms:created>
  <dcterms:modified xsi:type="dcterms:W3CDTF">2023-04-04T16:58:58Z</dcterms:modified>
</cp:coreProperties>
</file>